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CC" w:rsidRDefault="001A43F9">
      <w:pPr>
        <w:jc w:val="center"/>
        <w:rPr>
          <w:rStyle w:val="15"/>
          <w:rFonts w:hint="default"/>
          <w:sz w:val="84"/>
          <w:szCs w:val="84"/>
        </w:rPr>
      </w:pPr>
      <w:r>
        <w:rPr>
          <w:rStyle w:val="15"/>
          <w:rFonts w:hint="default"/>
          <w:sz w:val="84"/>
          <w:szCs w:val="84"/>
        </w:rPr>
        <w:t>雷州</w:t>
      </w:r>
      <w:r>
        <w:rPr>
          <w:rStyle w:val="15"/>
          <w:sz w:val="84"/>
          <w:szCs w:val="84"/>
        </w:rPr>
        <w:t>价格动态</w:t>
      </w:r>
    </w:p>
    <w:p w:rsidR="007367CC" w:rsidRDefault="001A43F9">
      <w:pPr>
        <w:jc w:val="center"/>
        <w:rPr>
          <w:rStyle w:val="15"/>
          <w:rFonts w:hint="default"/>
          <w:color w:val="000000" w:themeColor="text1"/>
          <w:sz w:val="36"/>
          <w:szCs w:val="36"/>
        </w:rPr>
      </w:pPr>
      <w:r>
        <w:rPr>
          <w:rStyle w:val="15"/>
          <w:rFonts w:ascii="黑体" w:eastAsia="黑体" w:hAnsi="黑体" w:cs="黑体"/>
          <w:color w:val="000000" w:themeColor="text1"/>
          <w:sz w:val="36"/>
          <w:szCs w:val="36"/>
        </w:rPr>
        <w:t>2021</w:t>
      </w:r>
      <w:r>
        <w:rPr>
          <w:rStyle w:val="15"/>
          <w:rFonts w:ascii="黑体" w:eastAsia="黑体" w:hAnsi="黑体" w:cs="黑体"/>
          <w:color w:val="000000" w:themeColor="text1"/>
          <w:sz w:val="36"/>
          <w:szCs w:val="36"/>
        </w:rPr>
        <w:t>年第</w:t>
      </w:r>
      <w:r>
        <w:rPr>
          <w:rStyle w:val="15"/>
          <w:rFonts w:ascii="黑体" w:eastAsia="黑体" w:hAnsi="黑体" w:cs="黑体"/>
          <w:color w:val="000000" w:themeColor="text1"/>
          <w:sz w:val="36"/>
          <w:szCs w:val="36"/>
        </w:rPr>
        <w:t>5</w:t>
      </w:r>
      <w:r>
        <w:rPr>
          <w:rStyle w:val="15"/>
          <w:rFonts w:ascii="黑体" w:eastAsia="黑体" w:hAnsi="黑体" w:cs="黑体"/>
          <w:color w:val="000000" w:themeColor="text1"/>
          <w:sz w:val="36"/>
          <w:szCs w:val="36"/>
        </w:rPr>
        <w:t>期</w:t>
      </w:r>
    </w:p>
    <w:p w:rsidR="007367CC" w:rsidRDefault="001A43F9">
      <w:r>
        <w:rPr>
          <w:rStyle w:val="15"/>
          <w:color w:val="000000" w:themeColor="text1"/>
          <w:sz w:val="32"/>
          <w:szCs w:val="32"/>
        </w:rPr>
        <w:t>雷州市发展和改革局</w:t>
      </w:r>
      <w:r>
        <w:rPr>
          <w:rStyle w:val="15"/>
          <w:rFonts w:hint="default"/>
          <w:color w:val="000000" w:themeColor="text1"/>
          <w:sz w:val="32"/>
          <w:szCs w:val="32"/>
        </w:rPr>
        <w:t xml:space="preserve">                  </w:t>
      </w:r>
      <w:r>
        <w:rPr>
          <w:rStyle w:val="15"/>
          <w:color w:val="000000" w:themeColor="text1"/>
          <w:sz w:val="32"/>
          <w:szCs w:val="32"/>
        </w:rPr>
        <w:t>2021</w:t>
      </w:r>
      <w:r>
        <w:rPr>
          <w:rStyle w:val="15"/>
          <w:color w:val="000000" w:themeColor="text1"/>
          <w:sz w:val="32"/>
          <w:szCs w:val="32"/>
        </w:rPr>
        <w:t>年</w:t>
      </w:r>
      <w:r>
        <w:rPr>
          <w:rStyle w:val="15"/>
          <w:color w:val="000000" w:themeColor="text1"/>
          <w:sz w:val="32"/>
          <w:szCs w:val="32"/>
        </w:rPr>
        <w:t>10</w:t>
      </w:r>
      <w:r>
        <w:rPr>
          <w:rStyle w:val="15"/>
          <w:color w:val="000000" w:themeColor="text1"/>
          <w:sz w:val="32"/>
          <w:szCs w:val="32"/>
        </w:rPr>
        <w:t>月</w:t>
      </w:r>
      <w:r>
        <w:rPr>
          <w:rStyle w:val="15"/>
          <w:color w:val="000000" w:themeColor="text1"/>
          <w:sz w:val="32"/>
          <w:szCs w:val="32"/>
        </w:rPr>
        <w:t>28</w:t>
      </w:r>
      <w:r>
        <w:rPr>
          <w:rStyle w:val="15"/>
          <w:color w:val="000000" w:themeColor="text1"/>
          <w:sz w:val="32"/>
          <w:szCs w:val="32"/>
        </w:rPr>
        <w:t>日</w:t>
      </w:r>
      <w:r>
        <w:rPr>
          <w:rStyle w:val="15"/>
          <w:rFonts w:hint="default"/>
          <w:color w:val="000000" w:themeColor="text1"/>
          <w:sz w:val="32"/>
          <w:szCs w:val="32"/>
        </w:rPr>
        <w:t xml:space="preserve"> </w:t>
      </w:r>
      <w:r>
        <w:rPr>
          <w:rStyle w:val="15"/>
          <w:rFonts w:hint="default"/>
          <w:sz w:val="32"/>
          <w:szCs w:val="32"/>
        </w:rPr>
        <w:t xml:space="preserve">   </w:t>
      </w:r>
    </w:p>
    <w:p w:rsidR="007367CC" w:rsidRDefault="007367CC">
      <w:pPr>
        <w:rPr>
          <w:rFonts w:ascii="黑体" w:eastAsia="黑体" w:hAnsi="黑体"/>
          <w:sz w:val="36"/>
          <w:szCs w:val="36"/>
        </w:rPr>
      </w:pPr>
      <w:r w:rsidRPr="007367CC">
        <w:rPr>
          <w:sz w:val="36"/>
        </w:rPr>
        <w:pict>
          <v:line id="_x0000_s1026" style="position:absolute;left:0;text-align:left;z-index:251659264" from=".3pt,1.3pt" to="413.55pt,2.05pt" filled="t" fillcolor="red" strokecolor="red" strokeweight="2.5pt"/>
        </w:pict>
      </w:r>
      <w:r w:rsidR="001A43F9">
        <w:rPr>
          <w:rFonts w:ascii="黑体" w:eastAsia="黑体" w:hAnsi="黑体" w:hint="eastAsia"/>
          <w:sz w:val="36"/>
          <w:szCs w:val="36"/>
        </w:rPr>
        <w:t xml:space="preserve">     </w:t>
      </w:r>
      <w:r w:rsidR="001A43F9">
        <w:rPr>
          <w:rFonts w:ascii="黑体" w:eastAsia="黑体" w:hAnsi="黑体" w:hint="eastAsia"/>
          <w:sz w:val="36"/>
          <w:szCs w:val="36"/>
        </w:rPr>
        <w:t>清理规范城镇供水供电供气行业收费</w:t>
      </w:r>
    </w:p>
    <w:p w:rsidR="007367CC" w:rsidRDefault="001A43F9">
      <w:pPr>
        <w:rPr>
          <w:rFonts w:ascii="黑体" w:eastAsia="黑体" w:hAnsi="黑体"/>
          <w:sz w:val="36"/>
          <w:szCs w:val="36"/>
        </w:rPr>
      </w:pPr>
      <w:r>
        <w:rPr>
          <w:rFonts w:ascii="黑体" w:eastAsia="黑体" w:hAnsi="黑体" w:hint="eastAsia"/>
          <w:sz w:val="36"/>
          <w:szCs w:val="36"/>
        </w:rPr>
        <w:t xml:space="preserve">           </w:t>
      </w:r>
      <w:r>
        <w:rPr>
          <w:rFonts w:ascii="黑体" w:eastAsia="黑体" w:hAnsi="黑体" w:hint="eastAsia"/>
          <w:sz w:val="36"/>
          <w:szCs w:val="36"/>
        </w:rPr>
        <w:t>促进行业高质量发展</w:t>
      </w:r>
    </w:p>
    <w:p w:rsidR="007367CC" w:rsidRDefault="001A43F9">
      <w:pPr>
        <w:rPr>
          <w:rFonts w:ascii="仿宋" w:eastAsia="仿宋" w:hAnsi="仿宋"/>
          <w:sz w:val="32"/>
          <w:szCs w:val="32"/>
        </w:rPr>
      </w:pPr>
      <w:r>
        <w:rPr>
          <w:rFonts w:ascii="仿宋" w:eastAsia="仿宋" w:hAnsi="仿宋" w:hint="eastAsia"/>
          <w:noProof/>
          <w:sz w:val="32"/>
          <w:szCs w:val="32"/>
        </w:rPr>
        <w:drawing>
          <wp:inline distT="0" distB="0" distL="114300" distR="114300">
            <wp:extent cx="5266690" cy="3950335"/>
            <wp:effectExtent l="0" t="0" r="10160" b="12065"/>
            <wp:docPr id="1" name="图片 1" descr="微信图片_2021101817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18172406"/>
                    <pic:cNvPicPr>
                      <a:picLocks noChangeAspect="1"/>
                    </pic:cNvPicPr>
                  </pic:nvPicPr>
                  <pic:blipFill>
                    <a:blip r:embed="rId5" cstate="print"/>
                    <a:stretch>
                      <a:fillRect/>
                    </a:stretch>
                  </pic:blipFill>
                  <pic:spPr>
                    <a:xfrm>
                      <a:off x="0" y="0"/>
                      <a:ext cx="5266690" cy="3950335"/>
                    </a:xfrm>
                    <a:prstGeom prst="rect">
                      <a:avLst/>
                    </a:prstGeom>
                  </pic:spPr>
                </pic:pic>
              </a:graphicData>
            </a:graphic>
          </wp:inline>
        </w:drawing>
      </w:r>
    </w:p>
    <w:p w:rsidR="007367CC" w:rsidRDefault="001A43F9">
      <w:pPr>
        <w:ind w:firstLineChars="200" w:firstLine="640"/>
        <w:rPr>
          <w:rFonts w:ascii="仿宋" w:eastAsia="仿宋" w:hAnsi="仿宋"/>
          <w:sz w:val="32"/>
          <w:szCs w:val="32"/>
        </w:rPr>
      </w:pPr>
      <w:r>
        <w:rPr>
          <w:rFonts w:ascii="仿宋" w:eastAsia="仿宋" w:hAnsi="仿宋" w:hint="eastAsia"/>
          <w:sz w:val="32"/>
          <w:szCs w:val="32"/>
        </w:rPr>
        <w:t>根据《国务院</w:t>
      </w:r>
      <w:r>
        <w:rPr>
          <w:rFonts w:ascii="仿宋" w:eastAsia="仿宋" w:hAnsi="仿宋" w:hint="eastAsia"/>
          <w:sz w:val="32"/>
          <w:szCs w:val="32"/>
        </w:rPr>
        <w:t>办公厅转发国家发展改革委等部门关于清理规范城镇供水供电供气供暖行业收费促进行业高质量发展意见的通知》（国办函</w:t>
      </w:r>
      <w:r>
        <w:rPr>
          <w:rFonts w:ascii="仿宋" w:eastAsia="仿宋" w:hAnsi="仿宋" w:hint="eastAsia"/>
          <w:sz w:val="32"/>
          <w:szCs w:val="32"/>
        </w:rPr>
        <w:t>[2020]129</w:t>
      </w:r>
      <w:r>
        <w:rPr>
          <w:rFonts w:ascii="仿宋" w:eastAsia="仿宋" w:hAnsi="仿宋" w:hint="eastAsia"/>
          <w:sz w:val="32"/>
          <w:szCs w:val="32"/>
        </w:rPr>
        <w:t>号）的要求，我局会同</w:t>
      </w:r>
      <w:r>
        <w:rPr>
          <w:rFonts w:ascii="仿宋" w:eastAsia="仿宋" w:hAnsi="仿宋" w:hint="eastAsia"/>
          <w:sz w:val="32"/>
          <w:szCs w:val="32"/>
        </w:rPr>
        <w:t>市场监督管理局</w:t>
      </w:r>
      <w:r>
        <w:rPr>
          <w:rFonts w:ascii="仿宋" w:eastAsia="仿宋" w:hAnsi="仿宋" w:hint="eastAsia"/>
          <w:sz w:val="32"/>
          <w:szCs w:val="32"/>
        </w:rPr>
        <w:t>监督、指导供水供气供电行业清理规范收费。</w:t>
      </w:r>
    </w:p>
    <w:p w:rsidR="007367CC" w:rsidRDefault="001A43F9">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一、</w:t>
      </w:r>
      <w:r>
        <w:rPr>
          <w:rFonts w:ascii="仿宋" w:eastAsia="仿宋" w:hAnsi="仿宋" w:hint="eastAsia"/>
          <w:color w:val="333333"/>
          <w:sz w:val="32"/>
          <w:szCs w:val="32"/>
        </w:rPr>
        <w:t>供水</w:t>
      </w:r>
      <w:r>
        <w:rPr>
          <w:rFonts w:ascii="仿宋" w:eastAsia="仿宋" w:hAnsi="仿宋" w:hint="eastAsia"/>
          <w:color w:val="333333"/>
          <w:sz w:val="32"/>
          <w:szCs w:val="32"/>
        </w:rPr>
        <w:t>企业</w:t>
      </w:r>
      <w:r>
        <w:rPr>
          <w:rFonts w:ascii="仿宋" w:eastAsia="仿宋" w:hAnsi="仿宋" w:hint="eastAsia"/>
          <w:color w:val="333333"/>
          <w:sz w:val="32"/>
          <w:szCs w:val="32"/>
        </w:rPr>
        <w:t>收费</w:t>
      </w:r>
      <w:r>
        <w:rPr>
          <w:rFonts w:ascii="仿宋" w:eastAsia="仿宋" w:hAnsi="仿宋" w:hint="eastAsia"/>
          <w:color w:val="333333"/>
          <w:sz w:val="32"/>
          <w:szCs w:val="32"/>
        </w:rPr>
        <w:t>。城区供水企业</w:t>
      </w:r>
      <w:r>
        <w:rPr>
          <w:rFonts w:ascii="仿宋" w:eastAsia="仿宋" w:hAnsi="仿宋" w:hint="eastAsia"/>
          <w:color w:val="333333"/>
          <w:sz w:val="32"/>
          <w:szCs w:val="32"/>
        </w:rPr>
        <w:t>在用水报装工程验收接入环节</w:t>
      </w:r>
      <w:r>
        <w:rPr>
          <w:rFonts w:ascii="仿宋" w:eastAsia="仿宋" w:hAnsi="仿宋" w:hint="eastAsia"/>
          <w:color w:val="333333"/>
          <w:sz w:val="32"/>
          <w:szCs w:val="32"/>
        </w:rPr>
        <w:t>尚未发现</w:t>
      </w:r>
      <w:r>
        <w:rPr>
          <w:rFonts w:ascii="仿宋" w:eastAsia="仿宋" w:hAnsi="仿宋" w:hint="eastAsia"/>
          <w:color w:val="333333"/>
          <w:sz w:val="32"/>
          <w:szCs w:val="32"/>
        </w:rPr>
        <w:t>向用户收取接水费、增容费、报装费等类</w:t>
      </w:r>
      <w:r>
        <w:rPr>
          <w:rFonts w:ascii="仿宋" w:eastAsia="仿宋" w:hAnsi="仿宋" w:hint="eastAsia"/>
          <w:color w:val="333333"/>
          <w:sz w:val="32"/>
          <w:szCs w:val="32"/>
        </w:rPr>
        <w:lastRenderedPageBreak/>
        <w:t>似名目开户费用，以及开关闸费、竣工核验费、竣工导线测量费、管线探测费、勾头费、水钻工程费、碰头费、出图费等类似名目工程费用。</w:t>
      </w:r>
    </w:p>
    <w:p w:rsidR="007367CC" w:rsidRDefault="001A43F9">
      <w:pPr>
        <w:pStyle w:val="a3"/>
        <w:shd w:val="clear" w:color="auto" w:fill="FFFFFF"/>
        <w:spacing w:before="0" w:beforeAutospacing="0" w:after="0" w:afterAutospacing="0"/>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仿宋" w:eastAsia="仿宋" w:hAnsi="仿宋" w:hint="eastAsia"/>
          <w:color w:val="333333"/>
          <w:sz w:val="32"/>
          <w:szCs w:val="32"/>
        </w:rPr>
        <w:t>二、</w:t>
      </w:r>
      <w:r>
        <w:rPr>
          <w:rFonts w:ascii="仿宋" w:eastAsia="仿宋" w:hAnsi="仿宋" w:hint="eastAsia"/>
          <w:color w:val="333333"/>
          <w:sz w:val="32"/>
          <w:szCs w:val="32"/>
        </w:rPr>
        <w:t>供电</w:t>
      </w:r>
      <w:r>
        <w:rPr>
          <w:rFonts w:ascii="仿宋" w:eastAsia="仿宋" w:hAnsi="仿宋" w:hint="eastAsia"/>
          <w:color w:val="333333"/>
          <w:sz w:val="32"/>
          <w:szCs w:val="32"/>
        </w:rPr>
        <w:t>企业</w:t>
      </w:r>
      <w:r>
        <w:rPr>
          <w:rFonts w:ascii="仿宋" w:eastAsia="仿宋" w:hAnsi="仿宋" w:hint="eastAsia"/>
          <w:color w:val="333333"/>
          <w:sz w:val="32"/>
          <w:szCs w:val="32"/>
        </w:rPr>
        <w:t>收费。</w:t>
      </w:r>
      <w:r>
        <w:rPr>
          <w:rFonts w:ascii="仿宋" w:eastAsia="仿宋" w:hAnsi="仿宋" w:hint="eastAsia"/>
          <w:color w:val="333333"/>
          <w:sz w:val="32"/>
          <w:szCs w:val="32"/>
        </w:rPr>
        <w:t>供电企业</w:t>
      </w:r>
      <w:r>
        <w:rPr>
          <w:rFonts w:ascii="仿宋" w:eastAsia="仿宋" w:hAnsi="仿宋" w:hint="eastAsia"/>
          <w:color w:val="333333"/>
          <w:sz w:val="32"/>
          <w:szCs w:val="32"/>
        </w:rPr>
        <w:t>在用电报装工程验收接入环节</w:t>
      </w:r>
      <w:r>
        <w:rPr>
          <w:rFonts w:ascii="仿宋" w:eastAsia="仿宋" w:hAnsi="仿宋" w:hint="eastAsia"/>
          <w:color w:val="333333"/>
          <w:sz w:val="32"/>
          <w:szCs w:val="32"/>
        </w:rPr>
        <w:t>尚未发现</w:t>
      </w:r>
      <w:r>
        <w:rPr>
          <w:rFonts w:ascii="仿宋" w:eastAsia="仿宋" w:hAnsi="仿宋" w:hint="eastAsia"/>
          <w:color w:val="333333"/>
          <w:sz w:val="32"/>
          <w:szCs w:val="32"/>
        </w:rPr>
        <w:t>向用户收取的移表费、计量装置赔偿费、环境监测费、高压电缆介损试验费、高压电缆震荡波试验费、低压电缆试验费、低压计量检测费、互感器试验费、网络自动化费、配电室试验费、开闭站集资费、调试费等类似名目费用。</w:t>
      </w:r>
    </w:p>
    <w:p w:rsidR="007367CC" w:rsidRDefault="001A43F9">
      <w:pPr>
        <w:pStyle w:val="a3"/>
        <w:shd w:val="clear" w:color="auto" w:fill="FFFFFF"/>
        <w:spacing w:before="0" w:beforeAutospacing="0" w:after="0" w:afterAutospacing="0"/>
        <w:ind w:firstLine="640"/>
        <w:jc w:val="both"/>
        <w:rPr>
          <w:rFonts w:ascii="仿宋" w:eastAsia="仿宋" w:hAnsi="仿宋"/>
          <w:color w:val="333333"/>
          <w:sz w:val="32"/>
          <w:szCs w:val="32"/>
        </w:rPr>
      </w:pPr>
      <w:r>
        <w:rPr>
          <w:rFonts w:ascii="仿宋" w:eastAsia="仿宋" w:hAnsi="仿宋" w:hint="eastAsia"/>
          <w:color w:val="333333"/>
          <w:sz w:val="32"/>
          <w:szCs w:val="32"/>
        </w:rPr>
        <w:t>三、</w:t>
      </w:r>
      <w:r>
        <w:rPr>
          <w:rFonts w:ascii="仿宋" w:eastAsia="仿宋" w:hAnsi="仿宋" w:hint="eastAsia"/>
          <w:color w:val="333333"/>
          <w:sz w:val="32"/>
          <w:szCs w:val="32"/>
        </w:rPr>
        <w:t>供气</w:t>
      </w:r>
      <w:r>
        <w:rPr>
          <w:rFonts w:ascii="仿宋" w:eastAsia="仿宋" w:hAnsi="仿宋" w:hint="eastAsia"/>
          <w:color w:val="333333"/>
          <w:sz w:val="32"/>
          <w:szCs w:val="32"/>
        </w:rPr>
        <w:t>企业</w:t>
      </w:r>
      <w:r>
        <w:rPr>
          <w:rFonts w:ascii="仿宋" w:eastAsia="仿宋" w:hAnsi="仿宋" w:hint="eastAsia"/>
          <w:color w:val="333333"/>
          <w:sz w:val="32"/>
          <w:szCs w:val="32"/>
        </w:rPr>
        <w:t>收费。</w:t>
      </w:r>
      <w:r>
        <w:rPr>
          <w:rFonts w:ascii="仿宋" w:eastAsia="仿宋" w:hAnsi="仿宋" w:hint="eastAsia"/>
          <w:color w:val="333333"/>
          <w:sz w:val="32"/>
          <w:szCs w:val="32"/>
        </w:rPr>
        <w:t>供气企业尚未发现</w:t>
      </w:r>
      <w:r>
        <w:rPr>
          <w:rFonts w:ascii="仿宋" w:eastAsia="仿宋" w:hAnsi="仿宋" w:hint="eastAsia"/>
          <w:color w:val="333333"/>
          <w:sz w:val="32"/>
          <w:szCs w:val="32"/>
        </w:rPr>
        <w:t>向用户收取增压费、增容费、接驳费、开通费、接线</w:t>
      </w:r>
      <w:r>
        <w:rPr>
          <w:rFonts w:ascii="仿宋" w:eastAsia="仿宋" w:hAnsi="仿宋" w:hint="eastAsia"/>
          <w:color w:val="333333"/>
          <w:sz w:val="32"/>
          <w:szCs w:val="32"/>
        </w:rPr>
        <w:t>费、切线费、吹扫费、放散费等建设及验收接入环节费用；也没有向用户收取涉及建筑区划红线内至燃气表的设施维修维护、到期表具更换等费用和建筑区划红线内燃气工程安装不相关或已纳入工程安装成本的收费项目，包括开口费、开户费、接口费、接入费、入网费、清管费、通气费、点火费等类似名目费用。</w:t>
      </w:r>
    </w:p>
    <w:p w:rsidR="007367CC" w:rsidRDefault="001A43F9">
      <w:pPr>
        <w:widowControl/>
        <w:spacing w:before="151" w:after="432"/>
        <w:jc w:val="left"/>
      </w:pPr>
      <w:r>
        <w:rPr>
          <w:rFonts w:ascii="仿宋" w:eastAsia="仿宋" w:hAnsi="仿宋" w:hint="eastAsia"/>
          <w:noProof/>
          <w:color w:val="333333"/>
          <w:sz w:val="32"/>
          <w:szCs w:val="32"/>
        </w:rPr>
        <w:drawing>
          <wp:inline distT="0" distB="0" distL="114300" distR="114300">
            <wp:extent cx="5212080" cy="2266950"/>
            <wp:effectExtent l="0" t="0" r="7620" b="0"/>
            <wp:docPr id="2" name="图片 2" descr="C:/Users/Administrator/AppData/Local/Temp/picturecompress_2021110110283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1101102832/output_1.jpgoutput_1"/>
                    <pic:cNvPicPr>
                      <a:picLocks noChangeAspect="1"/>
                    </pic:cNvPicPr>
                  </pic:nvPicPr>
                  <pic:blipFill>
                    <a:blip r:embed="rId6" cstate="print"/>
                    <a:stretch>
                      <a:fillRect/>
                    </a:stretch>
                  </pic:blipFill>
                  <pic:spPr>
                    <a:xfrm>
                      <a:off x="0" y="0"/>
                      <a:ext cx="5212080" cy="2266950"/>
                    </a:xfrm>
                    <a:prstGeom prst="rect">
                      <a:avLst/>
                    </a:prstGeom>
                  </pic:spPr>
                </pic:pic>
              </a:graphicData>
            </a:graphic>
          </wp:inline>
        </w:drawing>
      </w:r>
      <w:bookmarkStart w:id="0" w:name="_GoBack"/>
      <w:bookmarkEnd w:id="0"/>
    </w:p>
    <w:sectPr w:rsidR="007367CC" w:rsidSect="007367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6DA"/>
    <w:rsid w:val="000C06DA"/>
    <w:rsid w:val="001A43F9"/>
    <w:rsid w:val="007367CC"/>
    <w:rsid w:val="00D50EF5"/>
    <w:rsid w:val="011041DB"/>
    <w:rsid w:val="01231D8E"/>
    <w:rsid w:val="0180603F"/>
    <w:rsid w:val="04996E7E"/>
    <w:rsid w:val="04B70E5F"/>
    <w:rsid w:val="04CB3244"/>
    <w:rsid w:val="05365134"/>
    <w:rsid w:val="072D1911"/>
    <w:rsid w:val="08520FD3"/>
    <w:rsid w:val="0CBE7930"/>
    <w:rsid w:val="105324E0"/>
    <w:rsid w:val="11AB7798"/>
    <w:rsid w:val="11F66F9D"/>
    <w:rsid w:val="1233065E"/>
    <w:rsid w:val="151E6008"/>
    <w:rsid w:val="17FF52FE"/>
    <w:rsid w:val="1CDC4E42"/>
    <w:rsid w:val="1D6D143A"/>
    <w:rsid w:val="1E2D07F5"/>
    <w:rsid w:val="1E4726B9"/>
    <w:rsid w:val="1F6124C7"/>
    <w:rsid w:val="1FB3736C"/>
    <w:rsid w:val="2052495E"/>
    <w:rsid w:val="20BB3EF9"/>
    <w:rsid w:val="20EE5D20"/>
    <w:rsid w:val="21003BFF"/>
    <w:rsid w:val="215D0EFD"/>
    <w:rsid w:val="21A01C11"/>
    <w:rsid w:val="22DD72E0"/>
    <w:rsid w:val="230131E2"/>
    <w:rsid w:val="235B2E07"/>
    <w:rsid w:val="2376365B"/>
    <w:rsid w:val="23C060BE"/>
    <w:rsid w:val="23C26DFB"/>
    <w:rsid w:val="24B06CED"/>
    <w:rsid w:val="27742BCB"/>
    <w:rsid w:val="292D0D2D"/>
    <w:rsid w:val="29B026BE"/>
    <w:rsid w:val="2B813ED9"/>
    <w:rsid w:val="2B862E35"/>
    <w:rsid w:val="2BD12694"/>
    <w:rsid w:val="2C000712"/>
    <w:rsid w:val="2E0D23C0"/>
    <w:rsid w:val="30017201"/>
    <w:rsid w:val="30BB4208"/>
    <w:rsid w:val="310D2150"/>
    <w:rsid w:val="34052AEE"/>
    <w:rsid w:val="350F4803"/>
    <w:rsid w:val="382C1FF4"/>
    <w:rsid w:val="3BFD5C07"/>
    <w:rsid w:val="3CCE5A15"/>
    <w:rsid w:val="3CE15C39"/>
    <w:rsid w:val="3F7E709E"/>
    <w:rsid w:val="4139380E"/>
    <w:rsid w:val="415F3AA3"/>
    <w:rsid w:val="421C7DF7"/>
    <w:rsid w:val="433C7DB9"/>
    <w:rsid w:val="43526B60"/>
    <w:rsid w:val="441A4A1A"/>
    <w:rsid w:val="461E6BF1"/>
    <w:rsid w:val="47183A79"/>
    <w:rsid w:val="499A1A07"/>
    <w:rsid w:val="49E05741"/>
    <w:rsid w:val="4A731EE9"/>
    <w:rsid w:val="4AF615A7"/>
    <w:rsid w:val="4B130DAF"/>
    <w:rsid w:val="4B923D41"/>
    <w:rsid w:val="4B9E72BA"/>
    <w:rsid w:val="4C2D28B6"/>
    <w:rsid w:val="4C553602"/>
    <w:rsid w:val="4CAA6DD7"/>
    <w:rsid w:val="4CCE0C80"/>
    <w:rsid w:val="4CFC3BA5"/>
    <w:rsid w:val="4F3F2300"/>
    <w:rsid w:val="500306CD"/>
    <w:rsid w:val="50E479C1"/>
    <w:rsid w:val="52581713"/>
    <w:rsid w:val="53F952EB"/>
    <w:rsid w:val="54C842E6"/>
    <w:rsid w:val="56A3776F"/>
    <w:rsid w:val="56B8724C"/>
    <w:rsid w:val="57223BC2"/>
    <w:rsid w:val="57304535"/>
    <w:rsid w:val="57C34978"/>
    <w:rsid w:val="588E5B5D"/>
    <w:rsid w:val="59397966"/>
    <w:rsid w:val="5B266644"/>
    <w:rsid w:val="5C2E4AF0"/>
    <w:rsid w:val="5C942BBA"/>
    <w:rsid w:val="5D41018E"/>
    <w:rsid w:val="5D4F516F"/>
    <w:rsid w:val="5F383B30"/>
    <w:rsid w:val="614A26F0"/>
    <w:rsid w:val="64BB644E"/>
    <w:rsid w:val="64FB3E59"/>
    <w:rsid w:val="654949D0"/>
    <w:rsid w:val="66253B76"/>
    <w:rsid w:val="662E5F2B"/>
    <w:rsid w:val="66C0409C"/>
    <w:rsid w:val="67A24941"/>
    <w:rsid w:val="68170325"/>
    <w:rsid w:val="68DD1368"/>
    <w:rsid w:val="69031B78"/>
    <w:rsid w:val="6A5C5812"/>
    <w:rsid w:val="6AA03896"/>
    <w:rsid w:val="6D015338"/>
    <w:rsid w:val="6D911F28"/>
    <w:rsid w:val="6E262F3C"/>
    <w:rsid w:val="6EA02421"/>
    <w:rsid w:val="6EC70546"/>
    <w:rsid w:val="6F74704A"/>
    <w:rsid w:val="6FF83795"/>
    <w:rsid w:val="70861C6E"/>
    <w:rsid w:val="71930276"/>
    <w:rsid w:val="73346D80"/>
    <w:rsid w:val="73401A19"/>
    <w:rsid w:val="74DE24B4"/>
    <w:rsid w:val="75746D37"/>
    <w:rsid w:val="75962DFC"/>
    <w:rsid w:val="76A86815"/>
    <w:rsid w:val="784F7501"/>
    <w:rsid w:val="785F4D4A"/>
    <w:rsid w:val="79CD5F29"/>
    <w:rsid w:val="7A2F11D0"/>
    <w:rsid w:val="7A83417F"/>
    <w:rsid w:val="7E8C5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CC"/>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7367CC"/>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qFormat/>
    <w:rsid w:val="007367CC"/>
    <w:rPr>
      <w:rFonts w:ascii="宋体" w:eastAsia="宋体" w:hAnsi="宋体" w:hint="eastAsia"/>
      <w:color w:val="FF0000"/>
      <w:sz w:val="72"/>
      <w:szCs w:val="72"/>
    </w:rPr>
  </w:style>
  <w:style w:type="paragraph" w:styleId="a4">
    <w:name w:val="Balloon Text"/>
    <w:basedOn w:val="a"/>
    <w:link w:val="Char"/>
    <w:uiPriority w:val="99"/>
    <w:semiHidden/>
    <w:unhideWhenUsed/>
    <w:rsid w:val="001A43F9"/>
    <w:rPr>
      <w:sz w:val="18"/>
      <w:szCs w:val="18"/>
    </w:rPr>
  </w:style>
  <w:style w:type="character" w:customStyle="1" w:styleId="Char">
    <w:name w:val="批注框文本 Char"/>
    <w:basedOn w:val="a0"/>
    <w:link w:val="a4"/>
    <w:uiPriority w:val="99"/>
    <w:semiHidden/>
    <w:rsid w:val="001A43F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2021-10-29T00:39:00Z</cp:lastPrinted>
  <dcterms:created xsi:type="dcterms:W3CDTF">2021-10-28T02:12:00Z</dcterms:created>
  <dcterms:modified xsi:type="dcterms:W3CDTF">2022-09-20T02:46:00Z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84A6C6A5D43B4A638DFA1381E8BBDB98</vt:lpwstr>
  </property>
</Properties>
</file>