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30" w:lineRule="atLeast"/>
        <w:ind w:left="0" w:right="0" w:firstLine="480" w:firstLineChars="200"/>
        <w:jc w:val="both"/>
        <w:rPr>
          <w:rFonts w:ascii="微软雅黑" w:hAnsi="微软雅黑" w:eastAsia="微软雅黑" w:cs="微软雅黑"/>
          <w:i w:val="0"/>
          <w:iCs w:val="0"/>
          <w:caps w:val="0"/>
          <w:color w:val="282828"/>
          <w:spacing w:val="0"/>
          <w:sz w:val="24"/>
          <w:szCs w:val="24"/>
        </w:rPr>
      </w:pPr>
      <w:bookmarkStart w:id="0" w:name="_GoBack"/>
      <w:bookmarkEnd w:id="0"/>
      <w:r>
        <w:rPr>
          <w:rFonts w:hint="eastAsia" w:ascii="微软雅黑" w:hAnsi="微软雅黑" w:eastAsia="微软雅黑" w:cs="微软雅黑"/>
          <w:i w:val="0"/>
          <w:iCs w:val="0"/>
          <w:caps w:val="0"/>
          <w:color w:val="282828"/>
          <w:spacing w:val="0"/>
          <w:sz w:val="24"/>
          <w:szCs w:val="24"/>
          <w:bdr w:val="none" w:color="auto" w:sz="0" w:space="0"/>
          <w:shd w:val="clear" w:fill="FFFFFF"/>
        </w:rPr>
        <w:t>近日，雷州市人民政府印发了《雷州市贯彻落实国务院&lt;扎实稳住经济的一揽子政策措施&gt;实施方案》（以下简称《实施方案》），现就有关政策解读如下：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Style w:val="5"/>
          <w:rFonts w:hint="eastAsia" w:ascii="微软雅黑" w:hAnsi="微软雅黑" w:eastAsia="微软雅黑" w:cs="微软雅黑"/>
          <w:b/>
          <w:bCs/>
          <w:i w:val="0"/>
          <w:iCs w:val="0"/>
          <w:caps w:val="0"/>
          <w:color w:val="282828"/>
          <w:spacing w:val="0"/>
          <w:sz w:val="24"/>
          <w:szCs w:val="24"/>
          <w:bdr w:val="none" w:color="auto" w:sz="0" w:space="0"/>
          <w:shd w:val="clear" w:fill="FFFFFF"/>
        </w:rPr>
        <w:t>　　一、制定《实施方案》的背景和依据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Fonts w:hint="eastAsia" w:ascii="微软雅黑" w:hAnsi="微软雅黑" w:eastAsia="微软雅黑" w:cs="微软雅黑"/>
          <w:i w:val="0"/>
          <w:iCs w:val="0"/>
          <w:caps w:val="0"/>
          <w:color w:val="282828"/>
          <w:spacing w:val="0"/>
          <w:sz w:val="24"/>
          <w:szCs w:val="24"/>
          <w:bdr w:val="none" w:color="auto" w:sz="0" w:space="0"/>
          <w:shd w:val="clear" w:fill="FFFFFF"/>
        </w:rPr>
        <w:t>　　今年以来，受新冠肺炎疫情和俄乌冲突等超预期因素影响，国内宏观经济环境的复杂性、严峻性、不确定性上升，稳增长、稳就业、稳物价面临新形势。为贯彻落实习近平总书记关于“疫情要防住、经济要稳住、发展要安全”的重要要求，加大宏观政策应对力度，推动经济平稳增长，5月24日国务院印发了《扎实稳住经济的一揽子政策措施》，部署6方面33项政策措施。为全面贯彻落实党中央、国务院和省委、省政府以及湛江市委、市政府决策部署，全力推动国家、省、湛江市扎实稳住经济一揽子政策措施尽快落地见效，我市逐条逐项对应《国务院关于印发扎实稳住经济一揽子政策措施的通知》（国发〔2022〕12号）和《广东省人民政府关于印发广东省贯彻落实国务院扎实稳住经济一揽子政策措施实施方案的通知》（粤府〔2022〕51号）以及《湛江市人民政府关于印发湛江市贯彻落实国务院扎实稳住经济一揽子政策措施实施方案的通知》（湛府〔2022〕44 号），结合我市实际，研究制定了《实施方案》。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Style w:val="5"/>
          <w:rFonts w:hint="eastAsia" w:ascii="微软雅黑" w:hAnsi="微软雅黑" w:eastAsia="微软雅黑" w:cs="微软雅黑"/>
          <w:b/>
          <w:bCs/>
          <w:i w:val="0"/>
          <w:iCs w:val="0"/>
          <w:caps w:val="0"/>
          <w:color w:val="282828"/>
          <w:spacing w:val="0"/>
          <w:sz w:val="24"/>
          <w:szCs w:val="24"/>
          <w:bdr w:val="none" w:color="auto" w:sz="0" w:space="0"/>
          <w:shd w:val="clear" w:fill="FFFFFF"/>
        </w:rPr>
        <w:t>　　二、制定《实施方案》的目的和意义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Fonts w:hint="eastAsia" w:ascii="微软雅黑" w:hAnsi="微软雅黑" w:eastAsia="微软雅黑" w:cs="微软雅黑"/>
          <w:i w:val="0"/>
          <w:iCs w:val="0"/>
          <w:caps w:val="0"/>
          <w:color w:val="282828"/>
          <w:spacing w:val="0"/>
          <w:sz w:val="24"/>
          <w:szCs w:val="24"/>
          <w:bdr w:val="none" w:color="auto" w:sz="0" w:space="0"/>
          <w:shd w:val="clear" w:fill="FFFFFF"/>
        </w:rPr>
        <w:t>　　制定《实施方案》，旨在全面贯彻落实国家、省、湛江市部署要求，助力雷州打造湛江市“三化三大”先行示范试点区，加快打造沿海经济带西翼重要增长极、对接海南自贸港重要腹地和建设湛江市域副中心城市。通过强化统筹、精准施策，拿出实招硬招新招，确保稳经济一揽子政策受益主体应享尽享，高效统筹做好疫情防控和经济发展“两手抓、两不误”，最大限度减少疫情对经济社会发展的影响，助力市场主体尽快渡过难关、恢复元气，全力稳住经济大盘，保持经济运行在合理区间，努力实现全年经济社会发展预期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Style w:val="5"/>
          <w:rFonts w:hint="eastAsia" w:ascii="微软雅黑" w:hAnsi="微软雅黑" w:eastAsia="微软雅黑" w:cs="微软雅黑"/>
          <w:b/>
          <w:bCs/>
          <w:i w:val="0"/>
          <w:iCs w:val="0"/>
          <w:caps w:val="0"/>
          <w:color w:val="282828"/>
          <w:spacing w:val="0"/>
          <w:sz w:val="24"/>
          <w:szCs w:val="24"/>
          <w:bdr w:val="none" w:color="auto" w:sz="0" w:space="0"/>
          <w:shd w:val="clear" w:fill="FFFFFF"/>
        </w:rPr>
        <w:t>　　三、《实施方案》的主要内容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Fonts w:hint="eastAsia" w:ascii="微软雅黑" w:hAnsi="微软雅黑" w:eastAsia="微软雅黑" w:cs="微软雅黑"/>
          <w:i w:val="0"/>
          <w:iCs w:val="0"/>
          <w:caps w:val="0"/>
          <w:color w:val="282828"/>
          <w:spacing w:val="0"/>
          <w:sz w:val="24"/>
          <w:szCs w:val="24"/>
          <w:bdr w:val="none" w:color="auto" w:sz="0" w:space="0"/>
          <w:shd w:val="clear" w:fill="FFFFFF"/>
        </w:rPr>
        <w:t>　　《实施方案》包括6方面32项共114条政策措施，涉及以下领域：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Style w:val="5"/>
          <w:rFonts w:hint="eastAsia" w:ascii="微软雅黑" w:hAnsi="微软雅黑" w:eastAsia="微软雅黑" w:cs="微软雅黑"/>
          <w:b/>
          <w:bCs/>
          <w:i w:val="0"/>
          <w:iCs w:val="0"/>
          <w:caps w:val="0"/>
          <w:color w:val="282828"/>
          <w:spacing w:val="0"/>
          <w:sz w:val="24"/>
          <w:szCs w:val="24"/>
          <w:bdr w:val="none" w:color="auto" w:sz="0" w:space="0"/>
          <w:shd w:val="clear" w:fill="FFFFFF"/>
        </w:rPr>
        <w:t>　　一是</w:t>
      </w:r>
      <w:r>
        <w:rPr>
          <w:rFonts w:hint="eastAsia" w:ascii="微软雅黑" w:hAnsi="微软雅黑" w:eastAsia="微软雅黑" w:cs="微软雅黑"/>
          <w:i w:val="0"/>
          <w:iCs w:val="0"/>
          <w:caps w:val="0"/>
          <w:color w:val="282828"/>
          <w:spacing w:val="0"/>
          <w:sz w:val="24"/>
          <w:szCs w:val="24"/>
          <w:bdr w:val="none" w:color="auto" w:sz="0" w:space="0"/>
          <w:shd w:val="clear" w:fill="FFFFFF"/>
        </w:rPr>
        <w:t>财政政策，包括进一步加大增值税留抵退税政策落实力度、加快财政支出进度、加快地方政府专项债券发行使用并扩大支持范围、用好政府性融资担保等政策、加大政府采购支持中小企业力度、落实社保费缓缴政策、加大稳岗支持力度等7项25条具体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Style w:val="5"/>
          <w:rFonts w:hint="eastAsia" w:ascii="微软雅黑" w:hAnsi="微软雅黑" w:eastAsia="微软雅黑" w:cs="微软雅黑"/>
          <w:b/>
          <w:bCs/>
          <w:i w:val="0"/>
          <w:iCs w:val="0"/>
          <w:caps w:val="0"/>
          <w:color w:val="282828"/>
          <w:spacing w:val="0"/>
          <w:sz w:val="24"/>
          <w:szCs w:val="24"/>
          <w:bdr w:val="none" w:color="auto" w:sz="0" w:space="0"/>
          <w:shd w:val="clear" w:fill="FFFFFF"/>
        </w:rPr>
        <w:t>　　二是</w:t>
      </w:r>
      <w:r>
        <w:rPr>
          <w:rFonts w:hint="eastAsia" w:ascii="微软雅黑" w:hAnsi="微软雅黑" w:eastAsia="微软雅黑" w:cs="微软雅黑"/>
          <w:i w:val="0"/>
          <w:iCs w:val="0"/>
          <w:caps w:val="0"/>
          <w:color w:val="282828"/>
          <w:spacing w:val="0"/>
          <w:sz w:val="24"/>
          <w:szCs w:val="24"/>
          <w:bdr w:val="none" w:color="auto" w:sz="0" w:space="0"/>
          <w:shd w:val="clear" w:fill="FFFFFF"/>
        </w:rPr>
        <w:t>货币金融政策，包括鼓励对中小微企业和个体工商户、货车司机贷款及受疫情影响的个人住房与消费贷款等实施延期还本付息，加大普惠小微贷款支持力度，继续推动实际贷款利率稳中有降，提高资本市场融资效率，加大金融机构对基础设施建设和重大项目的支持力度等5项19条具体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Style w:val="5"/>
          <w:rFonts w:hint="eastAsia" w:ascii="微软雅黑" w:hAnsi="微软雅黑" w:eastAsia="微软雅黑" w:cs="微软雅黑"/>
          <w:b/>
          <w:bCs/>
          <w:i w:val="0"/>
          <w:iCs w:val="0"/>
          <w:caps w:val="0"/>
          <w:color w:val="282828"/>
          <w:spacing w:val="0"/>
          <w:sz w:val="24"/>
          <w:szCs w:val="24"/>
          <w:bdr w:val="none" w:color="auto" w:sz="0" w:space="0"/>
          <w:shd w:val="clear" w:fill="FFFFFF"/>
        </w:rPr>
        <w:t>　　三是</w:t>
      </w:r>
      <w:r>
        <w:rPr>
          <w:rFonts w:hint="eastAsia" w:ascii="微软雅黑" w:hAnsi="微软雅黑" w:eastAsia="微软雅黑" w:cs="微软雅黑"/>
          <w:i w:val="0"/>
          <w:iCs w:val="0"/>
          <w:caps w:val="0"/>
          <w:color w:val="282828"/>
          <w:spacing w:val="0"/>
          <w:sz w:val="24"/>
          <w:szCs w:val="24"/>
          <w:bdr w:val="none" w:color="auto" w:sz="0" w:space="0"/>
          <w:shd w:val="clear" w:fill="FFFFFF"/>
        </w:rPr>
        <w:t>稳投资促消费政策，包括加快推进省重点项目建设、推进一批论证成熟的水利工程项目、加快推动交通基础设施投资、因地制宜继续推进城市地下综合管廊建设、稳定和扩大民间投资、促进平台经济规范健康发展、加快提振重点领域消费等7项23条具体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Style w:val="5"/>
          <w:rFonts w:hint="eastAsia" w:ascii="微软雅黑" w:hAnsi="微软雅黑" w:eastAsia="微软雅黑" w:cs="微软雅黑"/>
          <w:b/>
          <w:bCs/>
          <w:i w:val="0"/>
          <w:iCs w:val="0"/>
          <w:caps w:val="0"/>
          <w:color w:val="282828"/>
          <w:spacing w:val="0"/>
          <w:sz w:val="24"/>
          <w:szCs w:val="24"/>
          <w:bdr w:val="none" w:color="auto" w:sz="0" w:space="0"/>
          <w:shd w:val="clear" w:fill="FFFFFF"/>
        </w:rPr>
        <w:t>　　四是</w:t>
      </w:r>
      <w:r>
        <w:rPr>
          <w:rFonts w:hint="eastAsia" w:ascii="微软雅黑" w:hAnsi="微软雅黑" w:eastAsia="微软雅黑" w:cs="微软雅黑"/>
          <w:i w:val="0"/>
          <w:iCs w:val="0"/>
          <w:caps w:val="0"/>
          <w:color w:val="282828"/>
          <w:spacing w:val="0"/>
          <w:sz w:val="24"/>
          <w:szCs w:val="24"/>
          <w:bdr w:val="none" w:color="auto" w:sz="0" w:space="0"/>
          <w:shd w:val="clear" w:fill="FFFFFF"/>
        </w:rPr>
        <w:t>保粮食能源安全政策，包括健全完善粮食收益保障等政策、抓紧推动实施一批能源项目、加强原油等能源资源储备能力等3项3条具体政策。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Style w:val="5"/>
          <w:rFonts w:hint="eastAsia" w:ascii="微软雅黑" w:hAnsi="微软雅黑" w:eastAsia="微软雅黑" w:cs="微软雅黑"/>
          <w:b/>
          <w:bCs/>
          <w:i w:val="0"/>
          <w:iCs w:val="0"/>
          <w:caps w:val="0"/>
          <w:color w:val="282828"/>
          <w:spacing w:val="0"/>
          <w:sz w:val="24"/>
          <w:szCs w:val="24"/>
          <w:bdr w:val="none" w:color="auto" w:sz="0" w:space="0"/>
          <w:shd w:val="clear" w:fill="FFFFFF"/>
        </w:rPr>
        <w:t>　　五是</w:t>
      </w:r>
      <w:r>
        <w:rPr>
          <w:rFonts w:hint="eastAsia" w:ascii="微软雅黑" w:hAnsi="微软雅黑" w:eastAsia="微软雅黑" w:cs="微软雅黑"/>
          <w:i w:val="0"/>
          <w:iCs w:val="0"/>
          <w:caps w:val="0"/>
          <w:color w:val="282828"/>
          <w:spacing w:val="0"/>
          <w:sz w:val="24"/>
          <w:szCs w:val="24"/>
          <w:bdr w:val="none" w:color="auto" w:sz="0" w:space="0"/>
          <w:shd w:val="clear" w:fill="FFFFFF"/>
        </w:rPr>
        <w:t>保产业链供应链稳定政策，包括降低市场主体用水用电用网等成本、推动阶段性减免市场主体房屋租金、加大对受疫情影响较大行业企业的纾困支持力度、优化企业复工达产政策、完善交通物流保通保畅政策、统筹加大对物流枢纽和物流企业的支持力度、加快推进重大外资项目积极吸引外商投资等7项31条具体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Style w:val="5"/>
          <w:rFonts w:hint="eastAsia" w:ascii="微软雅黑" w:hAnsi="微软雅黑" w:eastAsia="微软雅黑" w:cs="微软雅黑"/>
          <w:b/>
          <w:bCs/>
          <w:i w:val="0"/>
          <w:iCs w:val="0"/>
          <w:caps w:val="0"/>
          <w:color w:val="282828"/>
          <w:spacing w:val="0"/>
          <w:sz w:val="24"/>
          <w:szCs w:val="24"/>
          <w:bdr w:val="none" w:color="auto" w:sz="0" w:space="0"/>
          <w:shd w:val="clear" w:fill="FFFFFF"/>
        </w:rPr>
        <w:t>　　六是</w:t>
      </w:r>
      <w:r>
        <w:rPr>
          <w:rFonts w:hint="eastAsia" w:ascii="微软雅黑" w:hAnsi="微软雅黑" w:eastAsia="微软雅黑" w:cs="微软雅黑"/>
          <w:i w:val="0"/>
          <w:iCs w:val="0"/>
          <w:caps w:val="0"/>
          <w:color w:val="282828"/>
          <w:spacing w:val="0"/>
          <w:sz w:val="24"/>
          <w:szCs w:val="24"/>
          <w:bdr w:val="none" w:color="auto" w:sz="0" w:space="0"/>
          <w:shd w:val="clear" w:fill="FFFFFF"/>
        </w:rPr>
        <w:t>保基本民生政策，包括落实住房公积金阶段性支持政策、完善农业转移人口和农村劳动力就业创业支持政策、完善社会民生兜底保障措施等3项13条具体政策。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Style w:val="5"/>
          <w:rFonts w:hint="eastAsia" w:ascii="微软雅黑" w:hAnsi="微软雅黑" w:eastAsia="微软雅黑" w:cs="微软雅黑"/>
          <w:b/>
          <w:bCs/>
          <w:i w:val="0"/>
          <w:iCs w:val="0"/>
          <w:caps w:val="0"/>
          <w:color w:val="282828"/>
          <w:spacing w:val="0"/>
          <w:sz w:val="24"/>
          <w:szCs w:val="24"/>
          <w:bdr w:val="none" w:color="auto" w:sz="0" w:space="0"/>
          <w:shd w:val="clear" w:fill="FFFFFF"/>
        </w:rPr>
        <w:t>　　四、落实《实施方案》的保障措施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282828"/>
          <w:spacing w:val="0"/>
          <w:sz w:val="24"/>
          <w:szCs w:val="24"/>
        </w:rPr>
      </w:pPr>
      <w:r>
        <w:rPr>
          <w:rFonts w:hint="eastAsia" w:ascii="微软雅黑" w:hAnsi="微软雅黑" w:eastAsia="微软雅黑" w:cs="微软雅黑"/>
          <w:i w:val="0"/>
          <w:iCs w:val="0"/>
          <w:caps w:val="0"/>
          <w:color w:val="282828"/>
          <w:spacing w:val="0"/>
          <w:sz w:val="24"/>
          <w:szCs w:val="24"/>
          <w:bdr w:val="none" w:color="auto" w:sz="0" w:space="0"/>
          <w:shd w:val="clear" w:fill="FFFFFF"/>
        </w:rPr>
        <w:t>　　各镇（街）政府（办事处）、市有关单位要进一步提高政治站位，加强部门联动，加大执行力度，切实担负起稳定宏观经济的责任，确保《实施方案》及时落地见效。强化宣传力度，提高人民群众和企业对助企纾困政策的知晓度，推进相关政策“精准推送”“免申即享”，充分释放政策综合效应。开展对政策执行情况的督促检查，推动相关政策精准落地，加快推动全市经济社会高质量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YjlkMGYyNTUwZjJlZDExYzBkOTZlMGVhOGMzN2MifQ=="/>
  </w:docVars>
  <w:rsids>
    <w:rsidRoot w:val="00000000"/>
    <w:rsid w:val="4526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2022-10-20T07:35:20Z</dcterms:created>
  <dc:creator>Administrator</dc:creator>
  <cp:lastModifiedBy>Cynthia</cp:lastModifiedBy>
  <dcterms:modified xsi:type="dcterms:W3CDTF">2022-10-20T07:35:47Z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8D6441AFDF9F4948BE712B9EF1DACDC8</vt:lpwstr>
  </property>
</Properties>
</file>