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 xml:space="preserve">  </w:t>
      </w:r>
    </w:p>
    <w:p>
      <w:pPr>
        <w:keepNext w:val="0"/>
        <w:keepLines w:val="0"/>
        <w:pageBreakBefore w:val="0"/>
        <w:kinsoku/>
        <w:overflowPunct/>
        <w:topLinePunct w:val="0"/>
        <w:autoSpaceDE/>
        <w:autoSpaceDN/>
        <w:bidi w:val="0"/>
        <w:spacing w:line="360" w:lineRule="auto"/>
        <w:ind w:firstLine="2240" w:firstLineChars="700"/>
        <w:textAlignment w:val="auto"/>
        <w:rPr>
          <w:rFonts w:hint="eastAsia" w:ascii="仿宋" w:hAnsi="仿宋" w:eastAsia="仿宋" w:cs="仿宋"/>
          <w:sz w:val="32"/>
          <w:szCs w:val="32"/>
          <w:highlight w:val="none"/>
        </w:rPr>
        <w:sectPr>
          <w:headerReference r:id="rId3" w:type="default"/>
          <w:footerReference r:id="rId4" w:type="even"/>
          <w:pgSz w:w="11906" w:h="16838"/>
          <w:pgMar w:top="1304" w:right="1304" w:bottom="1304" w:left="1304" w:header="851" w:footer="992" w:gutter="0"/>
          <w:pgNumType w:fmt="decimal" w:start="1"/>
          <w:cols w:space="425" w:num="2"/>
          <w:docGrid w:type="lines" w:linePitch="312" w:charSpace="0"/>
        </w:sectPr>
      </w:pPr>
    </w:p>
    <w:p>
      <w:pPr>
        <w:jc w:val="center"/>
        <w:rPr>
          <w:rFonts w:ascii="方正小标宋简体" w:eastAsia="方正小标宋简体"/>
          <w:sz w:val="52"/>
          <w:szCs w:val="52"/>
          <w:highlight w:val="none"/>
        </w:rPr>
      </w:pPr>
    </w:p>
    <w:p>
      <w:pPr>
        <w:jc w:val="center"/>
        <w:rPr>
          <w:rFonts w:ascii="方正小标宋简体" w:eastAsia="方正小标宋简体"/>
          <w:sz w:val="52"/>
          <w:szCs w:val="52"/>
          <w:highlight w:val="none"/>
        </w:rPr>
      </w:pPr>
    </w:p>
    <w:p>
      <w:pPr>
        <w:jc w:val="center"/>
        <w:rPr>
          <w:rFonts w:ascii="方正小标宋简体" w:eastAsia="方正小标宋简体"/>
          <w:sz w:val="52"/>
          <w:szCs w:val="52"/>
          <w:highlight w:val="none"/>
        </w:rPr>
      </w:pPr>
    </w:p>
    <w:p>
      <w:pPr>
        <w:jc w:val="center"/>
        <w:rPr>
          <w:rFonts w:hint="eastAsia" w:asciiTheme="minorEastAsia" w:hAnsiTheme="minorEastAsia" w:eastAsiaTheme="minorEastAsia"/>
          <w:b/>
          <w:bCs/>
          <w:sz w:val="36"/>
          <w:szCs w:val="36"/>
          <w:highlight w:val="none"/>
          <w:lang w:val="en-US" w:eastAsia="zh-CN"/>
        </w:rPr>
      </w:pPr>
      <w:r>
        <w:rPr>
          <w:rFonts w:hint="eastAsia" w:asciiTheme="minorEastAsia" w:hAnsiTheme="minorEastAsia" w:eastAsiaTheme="minorEastAsia"/>
          <w:b/>
          <w:bCs/>
          <w:sz w:val="36"/>
          <w:szCs w:val="36"/>
          <w:highlight w:val="none"/>
          <w:lang w:val="en-US" w:eastAsia="zh-CN"/>
        </w:rPr>
        <w:t>雷州市市场监督管理局</w:t>
      </w:r>
    </w:p>
    <w:p>
      <w:pPr>
        <w:jc w:val="center"/>
        <w:rPr>
          <w:rFonts w:ascii="Times New Roman" w:hAnsi="Times New Roman" w:eastAsia="仿宋_GB2312"/>
          <w:b/>
          <w:kern w:val="0"/>
          <w:sz w:val="36"/>
          <w:szCs w:val="36"/>
          <w:highlight w:val="none"/>
        </w:rPr>
      </w:pPr>
      <w:r>
        <w:rPr>
          <w:rFonts w:hint="eastAsia" w:asciiTheme="minorEastAsia" w:hAnsiTheme="minorEastAsia" w:eastAsiaTheme="minorEastAsia"/>
          <w:b/>
          <w:bCs/>
          <w:sz w:val="36"/>
          <w:szCs w:val="36"/>
          <w:highlight w:val="none"/>
        </w:rPr>
        <w:t>202</w:t>
      </w:r>
      <w:r>
        <w:rPr>
          <w:rFonts w:hint="eastAsia" w:asciiTheme="minorEastAsia" w:hAnsiTheme="minorEastAsia" w:eastAsiaTheme="minorEastAsia"/>
          <w:b/>
          <w:bCs/>
          <w:sz w:val="36"/>
          <w:szCs w:val="36"/>
          <w:highlight w:val="none"/>
          <w:lang w:val="en-US" w:eastAsia="zh-CN"/>
        </w:rPr>
        <w:t>2</w:t>
      </w:r>
      <w:r>
        <w:rPr>
          <w:rFonts w:hint="eastAsia" w:asciiTheme="minorEastAsia" w:hAnsiTheme="minorEastAsia" w:eastAsiaTheme="minorEastAsia"/>
          <w:b/>
          <w:bCs/>
          <w:sz w:val="36"/>
          <w:szCs w:val="36"/>
          <w:highlight w:val="none"/>
        </w:rPr>
        <w:t>年度</w:t>
      </w:r>
      <w:r>
        <w:rPr>
          <w:rFonts w:hint="eastAsia" w:asciiTheme="minorEastAsia" w:hAnsiTheme="minorEastAsia" w:eastAsiaTheme="minorEastAsia"/>
          <w:b/>
          <w:bCs/>
          <w:sz w:val="36"/>
          <w:szCs w:val="36"/>
          <w:highlight w:val="none"/>
          <w:lang w:eastAsia="zh-CN"/>
        </w:rPr>
        <w:t>部门</w:t>
      </w:r>
      <w:r>
        <w:rPr>
          <w:rFonts w:hint="eastAsia" w:asciiTheme="minorEastAsia" w:hAnsiTheme="minorEastAsia" w:eastAsiaTheme="minorEastAsia"/>
          <w:b/>
          <w:bCs/>
          <w:sz w:val="36"/>
          <w:szCs w:val="36"/>
          <w:highlight w:val="none"/>
        </w:rPr>
        <w:t>整体</w:t>
      </w:r>
      <w:r>
        <w:rPr>
          <w:rFonts w:hint="eastAsia" w:asciiTheme="minorEastAsia" w:hAnsiTheme="minorEastAsia" w:eastAsiaTheme="minorEastAsia"/>
          <w:b/>
          <w:bCs/>
          <w:sz w:val="36"/>
          <w:szCs w:val="36"/>
          <w:highlight w:val="none"/>
          <w:lang w:eastAsia="zh-CN"/>
        </w:rPr>
        <w:t>支出</w:t>
      </w:r>
      <w:r>
        <w:rPr>
          <w:rFonts w:hint="eastAsia" w:asciiTheme="minorEastAsia" w:hAnsiTheme="minorEastAsia" w:eastAsiaTheme="minorEastAsia"/>
          <w:b/>
          <w:bCs/>
          <w:sz w:val="36"/>
          <w:szCs w:val="36"/>
          <w:highlight w:val="none"/>
        </w:rPr>
        <w:t>绩效</w:t>
      </w:r>
      <w:r>
        <w:rPr>
          <w:rFonts w:hint="eastAsia" w:asciiTheme="minorEastAsia" w:hAnsiTheme="minorEastAsia" w:eastAsiaTheme="minorEastAsia"/>
          <w:b/>
          <w:bCs/>
          <w:sz w:val="36"/>
          <w:szCs w:val="36"/>
          <w:highlight w:val="none"/>
          <w:lang w:eastAsia="zh-CN"/>
        </w:rPr>
        <w:t>评价报告</w:t>
      </w:r>
      <w:r>
        <w:rPr>
          <w:rFonts w:hint="eastAsia" w:ascii="Times New Roman" w:hAnsi="Times New Roman" w:eastAsia="仿宋_GB2312"/>
          <w:b/>
          <w:kern w:val="0"/>
          <w:sz w:val="36"/>
          <w:szCs w:val="36"/>
          <w:highlight w:val="none"/>
        </w:rPr>
        <w:t xml:space="preserve"> </w:t>
      </w:r>
    </w:p>
    <w:p>
      <w:pPr>
        <w:rPr>
          <w:rFonts w:ascii="Times New Roman" w:hAnsi="Times New Roman" w:eastAsia="仿宋_GB2312"/>
          <w:kern w:val="0"/>
          <w:sz w:val="32"/>
          <w:szCs w:val="32"/>
          <w:highlight w:val="none"/>
        </w:rPr>
      </w:pPr>
    </w:p>
    <w:p>
      <w:pPr>
        <w:rPr>
          <w:rFonts w:ascii="Times New Roman" w:hAnsi="Times New Roman" w:eastAsia="仿宋_GB2312"/>
          <w:kern w:val="0"/>
          <w:sz w:val="32"/>
          <w:szCs w:val="32"/>
          <w:highlight w:val="none"/>
        </w:rPr>
      </w:pPr>
    </w:p>
    <w:p>
      <w:pPr>
        <w:rPr>
          <w:rFonts w:ascii="Times New Roman" w:hAnsi="Times New Roman" w:eastAsia="仿宋_GB2312"/>
          <w:kern w:val="0"/>
          <w:sz w:val="32"/>
          <w:szCs w:val="32"/>
          <w:highlight w:val="none"/>
        </w:rPr>
      </w:pPr>
    </w:p>
    <w:p>
      <w:pPr>
        <w:rPr>
          <w:rFonts w:ascii="Times New Roman" w:hAnsi="Times New Roman" w:eastAsia="仿宋_GB2312"/>
          <w:kern w:val="0"/>
          <w:sz w:val="32"/>
          <w:szCs w:val="32"/>
          <w:highlight w:val="none"/>
        </w:rPr>
      </w:pPr>
    </w:p>
    <w:p>
      <w:pPr>
        <w:rPr>
          <w:rFonts w:ascii="Times New Roman" w:hAnsi="Times New Roman" w:eastAsia="仿宋_GB2312"/>
          <w:kern w:val="0"/>
          <w:sz w:val="32"/>
          <w:szCs w:val="32"/>
          <w:highlight w:val="none"/>
        </w:rPr>
      </w:pPr>
    </w:p>
    <w:p>
      <w:pPr>
        <w:rPr>
          <w:rFonts w:ascii="Times New Roman" w:hAnsi="Times New Roman" w:eastAsia="仿宋_GB2312"/>
          <w:kern w:val="0"/>
          <w:sz w:val="32"/>
          <w:szCs w:val="32"/>
          <w:highlight w:val="none"/>
        </w:rPr>
      </w:pPr>
    </w:p>
    <w:p>
      <w:pPr>
        <w:rPr>
          <w:rFonts w:ascii="Times New Roman" w:hAnsi="Times New Roman" w:eastAsia="仿宋_GB2312"/>
          <w:kern w:val="0"/>
          <w:sz w:val="32"/>
          <w:szCs w:val="32"/>
          <w:highlight w:val="none"/>
        </w:rPr>
      </w:pPr>
    </w:p>
    <w:p>
      <w:pPr>
        <w:ind w:firstLine="843" w:firstLineChars="300"/>
        <w:rPr>
          <w:rFonts w:ascii="Times New Roman" w:hAnsi="Times New Roman" w:eastAsia="仿宋_GB2312"/>
          <w:kern w:val="0"/>
          <w:sz w:val="28"/>
          <w:szCs w:val="28"/>
          <w:highlight w:val="none"/>
        </w:rPr>
      </w:pPr>
      <w:r>
        <w:rPr>
          <w:rFonts w:hint="eastAsia" w:ascii="仿宋" w:hAnsi="仿宋" w:eastAsia="仿宋" w:cs="仿宋"/>
          <w:b/>
          <w:bCs/>
          <w:kern w:val="0"/>
          <w:sz w:val="28"/>
          <w:szCs w:val="28"/>
          <w:highlight w:val="none"/>
          <w:lang w:eastAsia="zh-CN"/>
        </w:rPr>
        <w:t>委托单位：</w:t>
      </w:r>
      <w:r>
        <w:rPr>
          <w:rFonts w:hint="eastAsia" w:ascii="仿宋" w:hAnsi="仿宋" w:eastAsia="仿宋" w:cs="仿宋"/>
          <w:kern w:val="0"/>
          <w:sz w:val="28"/>
          <w:szCs w:val="28"/>
          <w:highlight w:val="none"/>
          <w:lang w:eastAsia="zh-CN"/>
        </w:rPr>
        <w:t>雷州市财政局</w:t>
      </w:r>
    </w:p>
    <w:p>
      <w:pPr>
        <w:ind w:firstLine="843" w:firstLineChars="300"/>
        <w:rPr>
          <w:rFonts w:hint="eastAsia" w:ascii="仿宋" w:hAnsi="仿宋" w:eastAsia="仿宋" w:cs="仿宋"/>
          <w:kern w:val="0"/>
          <w:sz w:val="28"/>
          <w:szCs w:val="28"/>
          <w:highlight w:val="none"/>
          <w:lang w:eastAsia="zh-CN"/>
        </w:rPr>
      </w:pPr>
      <w:r>
        <w:rPr>
          <w:rFonts w:hint="eastAsia" w:ascii="仿宋" w:hAnsi="仿宋" w:eastAsia="仿宋" w:cs="仿宋"/>
          <w:b/>
          <w:bCs/>
          <w:kern w:val="0"/>
          <w:sz w:val="28"/>
          <w:szCs w:val="28"/>
          <w:highlight w:val="none"/>
          <w:lang w:eastAsia="zh-CN"/>
        </w:rPr>
        <w:t>评价机构：</w:t>
      </w:r>
      <w:r>
        <w:rPr>
          <w:rFonts w:hint="eastAsia" w:ascii="仿宋" w:hAnsi="仿宋" w:eastAsia="仿宋" w:cs="仿宋"/>
          <w:kern w:val="0"/>
          <w:sz w:val="28"/>
          <w:szCs w:val="28"/>
          <w:highlight w:val="none"/>
          <w:lang w:eastAsia="zh-CN"/>
        </w:rPr>
        <w:t>广东诚安信会计师事务所（特殊普通合伙）</w:t>
      </w:r>
    </w:p>
    <w:p>
      <w:pPr>
        <w:ind w:firstLine="843" w:firstLineChars="300"/>
        <w:rPr>
          <w:rFonts w:hint="eastAsia" w:ascii="仿宋" w:hAnsi="仿宋" w:eastAsia="仿宋" w:cs="仿宋"/>
          <w:kern w:val="0"/>
          <w:sz w:val="28"/>
          <w:szCs w:val="28"/>
          <w:highlight w:val="none"/>
          <w:lang w:eastAsia="zh-CN"/>
        </w:rPr>
      </w:pPr>
      <w:r>
        <w:rPr>
          <w:rFonts w:hint="eastAsia" w:ascii="仿宋" w:hAnsi="仿宋" w:eastAsia="仿宋" w:cs="仿宋"/>
          <w:b/>
          <w:bCs/>
          <w:kern w:val="0"/>
          <w:sz w:val="28"/>
          <w:szCs w:val="28"/>
          <w:highlight w:val="none"/>
          <w:lang w:eastAsia="zh-CN"/>
        </w:rPr>
        <w:t>评价日期：</w:t>
      </w:r>
      <w:r>
        <w:rPr>
          <w:rFonts w:hint="eastAsia" w:ascii="仿宋" w:hAnsi="仿宋" w:eastAsia="仿宋" w:cs="仿宋"/>
          <w:kern w:val="0"/>
          <w:sz w:val="28"/>
          <w:szCs w:val="28"/>
          <w:highlight w:val="none"/>
          <w:lang w:eastAsia="zh-CN"/>
        </w:rPr>
        <w:t>202</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年</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lang w:eastAsia="zh-CN"/>
        </w:rPr>
        <w:t>月</w:t>
      </w:r>
    </w:p>
    <w:p>
      <w:pPr>
        <w:pStyle w:val="30"/>
        <w:rPr>
          <w:rFonts w:hint="eastAsia" w:ascii="仿宋_GB2312" w:hAnsi="仿宋_GB2312" w:eastAsia="仿宋_GB2312" w:cs="仿宋_GB2312"/>
          <w:sz w:val="32"/>
          <w:szCs w:val="40"/>
          <w:highlight w:val="none"/>
        </w:rPr>
      </w:pPr>
    </w:p>
    <w:p>
      <w:pPr>
        <w:pStyle w:val="8"/>
        <w:widowControl/>
        <w:tabs>
          <w:tab w:val="right" w:leader="dot" w:pos="8958"/>
        </w:tabs>
        <w:spacing w:before="240" w:after="120" w:line="520" w:lineRule="exact"/>
        <w:jc w:val="both"/>
        <w:rPr>
          <w:rFonts w:hint="eastAsia" w:ascii="Cambria" w:hAnsi="Cambria" w:eastAsia="方正小标宋简体"/>
          <w:caps/>
          <w:sz w:val="36"/>
          <w:szCs w:val="36"/>
          <w:highlight w:val="none"/>
          <w:lang w:val="zh-CN"/>
        </w:rPr>
        <w:sectPr>
          <w:footerReference r:id="rId5" w:type="default"/>
          <w:type w:val="continuous"/>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 xml:space="preserve"> </w:t>
      </w:r>
    </w:p>
    <w:p>
      <w:pPr>
        <w:jc w:val="center"/>
        <w:rPr>
          <w:rFonts w:hint="eastAsia" w:ascii="仿宋" w:hAnsi="仿宋" w:eastAsia="仿宋" w:cs="仿宋"/>
          <w:b/>
          <w:bCs/>
          <w:caps/>
          <w:kern w:val="2"/>
          <w:sz w:val="36"/>
          <w:szCs w:val="36"/>
          <w:highlight w:val="none"/>
          <w:lang w:val="en-US" w:eastAsia="zh-CN" w:bidi="ar-SA"/>
        </w:rPr>
        <w:sectPr>
          <w:headerReference r:id="rId8" w:type="first"/>
          <w:footerReference r:id="rId11" w:type="first"/>
          <w:headerReference r:id="rId6" w:type="default"/>
          <w:footerReference r:id="rId9" w:type="default"/>
          <w:headerReference r:id="rId7" w:type="even"/>
          <w:footerReference r:id="rId10" w:type="even"/>
          <w:type w:val="continuous"/>
          <w:pgSz w:w="11906" w:h="16838"/>
          <w:pgMar w:top="1418" w:right="1418" w:bottom="1418" w:left="1418" w:header="851" w:footer="992" w:gutter="0"/>
          <w:pgNumType w:fmt="decimal"/>
          <w:cols w:space="720" w:num="1"/>
          <w:docGrid w:type="lines" w:linePitch="312" w:charSpace="0"/>
        </w:sectPr>
      </w:pPr>
    </w:p>
    <w:sdt>
      <w:sdtPr>
        <w:rPr>
          <w:rFonts w:ascii="宋体" w:hAnsi="宋体" w:eastAsia="宋体" w:cs="Times New Roman"/>
          <w:kern w:val="2"/>
          <w:sz w:val="21"/>
          <w:szCs w:val="24"/>
          <w:highlight w:val="none"/>
          <w:lang w:val="en-US" w:eastAsia="zh-CN" w:bidi="ar-SA"/>
        </w:rPr>
        <w:id w:val="147451788"/>
        <w15:color w:val="DBDBDB"/>
        <w:docPartObj>
          <w:docPartGallery w:val="Table of Contents"/>
          <w:docPartUnique/>
        </w:docPartObj>
      </w:sdtPr>
      <w:sdtEndPr>
        <w:rPr>
          <w:rFonts w:hint="eastAsia" w:ascii="仿宋" w:hAnsi="仿宋" w:eastAsia="仿宋" w:cs="仿宋"/>
          <w:b/>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pPr>
            <w:spacing w:before="0" w:beforeLines="0" w:after="0" w:afterLines="0" w:line="240" w:lineRule="auto"/>
            <w:ind w:left="0" w:leftChars="0" w:right="0" w:rightChars="0" w:firstLine="0" w:firstLineChars="0"/>
            <w:jc w:val="center"/>
            <w:rPr>
              <w:rFonts w:hint="eastAsia"/>
              <w:sz w:val="32"/>
              <w:szCs w:val="32"/>
              <w:highlight w:val="none"/>
            </w:rPr>
          </w:pPr>
          <w:r>
            <w:rPr>
              <w:rFonts w:hint="eastAsia" w:ascii="仿宋" w:hAnsi="仿宋" w:eastAsia="仿宋" w:cs="仿宋"/>
              <w:b/>
              <w:bCs/>
              <w:sz w:val="32"/>
              <w:szCs w:val="32"/>
              <w:highlight w:val="none"/>
            </w:rPr>
            <w:t>目录</w:t>
          </w:r>
        </w:p>
        <w:p>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"1-2" \h \u </w:instrText>
          </w:r>
          <w:r>
            <w:rPr>
              <w:rFonts w:hint="eastAsia" w:ascii="仿宋" w:hAnsi="仿宋" w:eastAsia="仿宋" w:cs="仿宋"/>
              <w:sz w:val="28"/>
              <w:szCs w:val="28"/>
              <w:highlight w:val="none"/>
            </w:rPr>
            <w:fldChar w:fldCharType="separate"/>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_Toc21761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val="en-US" w:eastAsia="zh-CN"/>
            </w:rPr>
            <w:t>一、基本情况</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_Toc21761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rPr>
            <w:fldChar w:fldCharType="end"/>
          </w:r>
          <w:r>
            <w:rPr>
              <w:rFonts w:hint="eastAsia" w:ascii="仿宋" w:hAnsi="仿宋" w:eastAsia="仿宋" w:cs="仿宋"/>
              <w:b/>
              <w:bCs/>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_Toc8492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（一）部门职能</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_Toc8492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_Toc29526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（二）机构及人员设置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_Toc29526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_Toc24970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（三）部门整体支出绩效</w:t>
          </w:r>
          <w:r>
            <w:rPr>
              <w:rFonts w:hint="eastAsia" w:ascii="仿宋" w:hAnsi="仿宋" w:eastAsia="仿宋" w:cs="仿宋"/>
              <w:sz w:val="28"/>
              <w:szCs w:val="28"/>
              <w:highlight w:val="none"/>
            </w:rPr>
            <w:t>目标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_Toc24970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_Toc3788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（四）部门整体收支情况</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_Toc3788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_Toc28060 </w:instrText>
          </w:r>
          <w:r>
            <w:rPr>
              <w:rFonts w:hint="eastAsia" w:ascii="仿宋" w:hAnsi="仿宋" w:eastAsia="仿宋" w:cs="仿宋"/>
              <w:sz w:val="28"/>
              <w:szCs w:val="28"/>
              <w:highlight w:val="none"/>
            </w:rPr>
            <w:fldChar w:fldCharType="separate"/>
          </w:r>
          <w:r>
            <w:rPr>
              <w:rFonts w:hint="eastAsia" w:ascii="仿宋" w:hAnsi="仿宋" w:eastAsia="仿宋" w:cs="仿宋"/>
              <w:b/>
              <w:bCs w:val="0"/>
              <w:sz w:val="28"/>
              <w:szCs w:val="28"/>
              <w:highlight w:val="none"/>
            </w:rPr>
            <w:t>二、评价</w:t>
          </w:r>
          <w:r>
            <w:rPr>
              <w:rFonts w:hint="eastAsia" w:ascii="仿宋" w:hAnsi="仿宋" w:eastAsia="仿宋" w:cs="仿宋"/>
              <w:b/>
              <w:bCs w:val="0"/>
              <w:sz w:val="28"/>
              <w:szCs w:val="28"/>
              <w:highlight w:val="none"/>
              <w:lang w:eastAsia="zh-CN"/>
            </w:rPr>
            <w:t>工作开展情况</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_Toc28060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_Toc29399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（一）评价目的</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_Toc29399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_Toc15825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评价过程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_Toc15825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_Toc19922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（三）评价原则和方法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_Toc19922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_Toc2101 </w:instrText>
          </w:r>
          <w:r>
            <w:rPr>
              <w:rFonts w:hint="eastAsia" w:ascii="仿宋" w:hAnsi="仿宋" w:eastAsia="仿宋" w:cs="仿宋"/>
              <w:sz w:val="28"/>
              <w:szCs w:val="28"/>
              <w:highlight w:val="none"/>
            </w:rPr>
            <w:fldChar w:fldCharType="separate"/>
          </w:r>
          <w:r>
            <w:rPr>
              <w:rFonts w:hint="eastAsia" w:ascii="仿宋" w:hAnsi="仿宋" w:eastAsia="仿宋" w:cs="仿宋"/>
              <w:b/>
              <w:bCs w:val="0"/>
              <w:sz w:val="28"/>
              <w:szCs w:val="28"/>
              <w:highlight w:val="none"/>
              <w:lang w:eastAsia="zh-CN"/>
            </w:rPr>
            <w:t>三、评价结论与绩效分析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_Toc2101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_Toc8773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）评价结论</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_Toc8773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_Toc7960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（二）绩效分析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_Toc7960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_Toc5002 </w:instrText>
          </w:r>
          <w:r>
            <w:rPr>
              <w:rFonts w:hint="eastAsia" w:ascii="仿宋" w:hAnsi="仿宋" w:eastAsia="仿宋" w:cs="仿宋"/>
              <w:sz w:val="28"/>
              <w:szCs w:val="28"/>
              <w:highlight w:val="none"/>
            </w:rPr>
            <w:fldChar w:fldCharType="separate"/>
          </w:r>
          <w:r>
            <w:rPr>
              <w:rFonts w:hint="eastAsia" w:ascii="仿宋" w:hAnsi="仿宋" w:eastAsia="仿宋" w:cs="仿宋"/>
              <w:b/>
              <w:bCs/>
              <w:kern w:val="2"/>
              <w:sz w:val="28"/>
              <w:szCs w:val="28"/>
              <w:highlight w:val="none"/>
              <w:lang w:val="en-US" w:eastAsia="zh-CN"/>
            </w:rPr>
            <w:t>四、</w:t>
          </w:r>
          <w:r>
            <w:rPr>
              <w:rFonts w:hint="eastAsia" w:ascii="仿宋" w:hAnsi="仿宋" w:eastAsia="仿宋" w:cs="仿宋"/>
              <w:b/>
              <w:bCs/>
              <w:kern w:val="2"/>
              <w:sz w:val="28"/>
              <w:szCs w:val="28"/>
              <w:highlight w:val="none"/>
              <w:lang w:eastAsia="zh-CN"/>
            </w:rPr>
            <w:t>主要绩效</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_Toc5002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_Toc20902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（一）持续优化营商环境，市场主体培育成效明显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_Toc20902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_Toc28774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（二）市场监管领域安全管理成效明显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_Toc28774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_Toc18076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（三）行政执法与监管有力有效</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_Toc18076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_Toc13196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（四）推进知识产权保护和高质量发展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_Toc13196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_Toc18745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（五）农贸市场升级改造如期优质完成任务</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_Toc18745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_Toc12587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（六）食品抽检和食用农产品快筛快检民生实事顺利完成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_Toc12587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_Toc793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（七）学校食堂与社会餐饮店“互联网+明厨亮灶”成效明显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_Toc793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_Toc8691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（八）扎实落实疫情防控各项措施</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_Toc8691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_Toc12711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（九）扎实推进省级文明城市创建活动</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_Toc12711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_Toc32564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lang w:val="en-US" w:eastAsia="zh-CN"/>
            </w:rPr>
            <w:t>（十）禁毒与扫黑除恶工作成效明显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_Toc32564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_Toc7229 </w:instrText>
          </w:r>
          <w:r>
            <w:rPr>
              <w:rFonts w:hint="eastAsia" w:ascii="仿宋" w:hAnsi="仿宋" w:eastAsia="仿宋" w:cs="仿宋"/>
              <w:sz w:val="28"/>
              <w:szCs w:val="28"/>
              <w:highlight w:val="none"/>
            </w:rPr>
            <w:fldChar w:fldCharType="separate"/>
          </w:r>
          <w:r>
            <w:rPr>
              <w:rFonts w:hint="eastAsia" w:ascii="仿宋" w:hAnsi="仿宋" w:eastAsia="仿宋" w:cs="仿宋"/>
              <w:b/>
              <w:bCs/>
              <w:kern w:val="2"/>
              <w:sz w:val="28"/>
              <w:szCs w:val="28"/>
              <w:highlight w:val="none"/>
              <w:lang w:eastAsia="zh-CN"/>
            </w:rPr>
            <w:t>五、</w:t>
          </w:r>
          <w:r>
            <w:rPr>
              <w:rFonts w:hint="eastAsia" w:ascii="仿宋" w:hAnsi="仿宋" w:eastAsia="仿宋" w:cs="仿宋"/>
              <w:b/>
              <w:bCs/>
              <w:kern w:val="2"/>
              <w:sz w:val="28"/>
              <w:szCs w:val="28"/>
              <w:highlight w:val="none"/>
            </w:rPr>
            <w:t>存在问题</w:t>
          </w:r>
          <w:r>
            <w:rPr>
              <w:rFonts w:hint="eastAsia" w:ascii="仿宋" w:hAnsi="仿宋" w:eastAsia="仿宋" w:cs="仿宋"/>
              <w:b/>
              <w:bCs/>
              <w:kern w:val="2"/>
              <w:sz w:val="28"/>
              <w:szCs w:val="28"/>
              <w:highlight w:val="none"/>
              <w:lang w:eastAsia="zh-CN"/>
            </w:rPr>
            <w:t>及相关建议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_Toc7229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_Toc261 </w:instrText>
          </w:r>
          <w:r>
            <w:rPr>
              <w:rFonts w:hint="eastAsia" w:ascii="仿宋" w:hAnsi="仿宋" w:eastAsia="仿宋" w:cs="仿宋"/>
              <w:sz w:val="28"/>
              <w:szCs w:val="28"/>
              <w:highlight w:val="none"/>
            </w:rPr>
            <w:fldChar w:fldCharType="separate"/>
          </w:r>
          <w:r>
            <w:rPr>
              <w:rFonts w:hint="eastAsia" w:ascii="仿宋" w:hAnsi="仿宋" w:eastAsia="仿宋" w:cs="仿宋"/>
              <w:bCs w:val="0"/>
              <w:kern w:val="2"/>
              <w:sz w:val="28"/>
              <w:szCs w:val="28"/>
              <w:highlight w:val="none"/>
            </w:rPr>
            <w:t>（一）存在问题</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9"/>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_Toc30769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rPr>
            <w:t>（二）</w:t>
          </w:r>
          <w:r>
            <w:rPr>
              <w:rFonts w:hint="eastAsia" w:ascii="仿宋" w:hAnsi="仿宋" w:eastAsia="仿宋" w:cs="仿宋"/>
              <w:bCs/>
              <w:kern w:val="2"/>
              <w:sz w:val="28"/>
              <w:szCs w:val="28"/>
              <w:highlight w:val="none"/>
              <w:lang w:val="en-US" w:eastAsia="zh-CN"/>
            </w:rPr>
            <w:t>相关建议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_Toc30769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8"/>
            <w:tabs>
              <w:tab w:val="right" w:leader="dot" w:pos="9070"/>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_Toc22165 </w:instrText>
          </w:r>
          <w:r>
            <w:rPr>
              <w:rFonts w:hint="eastAsia" w:ascii="仿宋" w:hAnsi="仿宋" w:eastAsia="仿宋" w:cs="仿宋"/>
              <w:sz w:val="28"/>
              <w:szCs w:val="28"/>
              <w:highlight w:val="none"/>
            </w:rPr>
            <w:fldChar w:fldCharType="separate"/>
          </w:r>
          <w:r>
            <w:rPr>
              <w:rFonts w:hint="eastAsia" w:ascii="仿宋" w:hAnsi="仿宋" w:eastAsia="仿宋" w:cs="仿宋"/>
              <w:b/>
              <w:bCs w:val="0"/>
              <w:kern w:val="2"/>
              <w:sz w:val="28"/>
              <w:szCs w:val="28"/>
              <w:highlight w:val="none"/>
            </w:rPr>
            <w:t>附件：</w:t>
          </w:r>
          <w:r>
            <w:rPr>
              <w:rFonts w:hint="eastAsia" w:ascii="仿宋" w:hAnsi="仿宋" w:eastAsia="仿宋" w:cs="仿宋"/>
              <w:b/>
              <w:bCs w:val="0"/>
              <w:kern w:val="2"/>
              <w:sz w:val="28"/>
              <w:szCs w:val="28"/>
              <w:highlight w:val="none"/>
              <w:lang w:val="en-US" w:eastAsia="zh-CN"/>
            </w:rPr>
            <w:t>雷州市市场监督管理局2022年部门整体支出绩效指标评分表</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_Toc22165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end"/>
          </w:r>
        </w:p>
      </w:sdtContent>
    </w:sdt>
    <w:p>
      <w:pPr>
        <w:rPr>
          <w:rFonts w:hint="eastAsia" w:eastAsia="宋体"/>
          <w:highlight w:val="none"/>
          <w:lang w:eastAsia="zh-CN"/>
        </w:rPr>
        <w:sectPr>
          <w:footerReference r:id="rId12" w:type="default"/>
          <w:pgSz w:w="11906" w:h="16838"/>
          <w:pgMar w:top="1418" w:right="1418" w:bottom="1418" w:left="1418" w:header="851" w:footer="992" w:gutter="0"/>
          <w:pgNumType w:fmt="decimal" w:start="1"/>
          <w:cols w:space="720" w:num="1"/>
          <w:docGrid w:type="lines" w:linePitch="312" w:charSpace="0"/>
        </w:sectPr>
      </w:pPr>
    </w:p>
    <w:tbl>
      <w:tblPr>
        <w:tblStyle w:val="12"/>
        <w:tblW w:w="0" w:type="auto"/>
        <w:jc w:val="center"/>
        <w:tblLayout w:type="fixed"/>
        <w:tblCellMar>
          <w:top w:w="0" w:type="dxa"/>
          <w:left w:w="108" w:type="dxa"/>
          <w:bottom w:w="0" w:type="dxa"/>
          <w:right w:w="108" w:type="dxa"/>
        </w:tblCellMar>
      </w:tblPr>
      <w:tblGrid>
        <w:gridCol w:w="1276"/>
        <w:gridCol w:w="7226"/>
      </w:tblGrid>
      <w:tr>
        <w:tblPrEx>
          <w:tblCellMar>
            <w:top w:w="0" w:type="dxa"/>
            <w:left w:w="108" w:type="dxa"/>
            <w:bottom w:w="0" w:type="dxa"/>
            <w:right w:w="108" w:type="dxa"/>
          </w:tblCellMar>
        </w:tblPrEx>
        <w:trPr>
          <w:cantSplit/>
          <w:trHeight w:val="629" w:hRule="atLeast"/>
          <w:jc w:val="center"/>
        </w:trPr>
        <w:tc>
          <w:tcPr>
            <w:tcW w:w="1276" w:type="dxa"/>
            <w:vMerge w:val="restart"/>
          </w:tcPr>
          <w:tbl>
            <w:tblPr>
              <w:tblStyle w:val="12"/>
              <w:tblW w:w="0" w:type="auto"/>
              <w:tblInd w:w="0" w:type="dxa"/>
              <w:tblLayout w:type="fixed"/>
              <w:tblCellMar>
                <w:top w:w="0" w:type="dxa"/>
                <w:left w:w="108" w:type="dxa"/>
                <w:bottom w:w="0" w:type="dxa"/>
                <w:right w:w="108" w:type="dxa"/>
              </w:tblCellMar>
            </w:tblPr>
            <w:tblGrid>
              <w:gridCol w:w="2522"/>
              <w:gridCol w:w="2522"/>
            </w:tblGrid>
            <w:tr>
              <w:tblPrEx>
                <w:tblCellMar>
                  <w:top w:w="0" w:type="dxa"/>
                  <w:left w:w="108" w:type="dxa"/>
                  <w:bottom w:w="0" w:type="dxa"/>
                  <w:right w:w="108" w:type="dxa"/>
                </w:tblCellMar>
              </w:tblPrEx>
              <w:trPr>
                <w:cantSplit/>
                <w:trHeight w:val="458" w:hRule="atLeast"/>
              </w:trPr>
              <w:tc>
                <w:tcPr>
                  <w:tcW w:w="2522" w:type="dxa"/>
                  <w:vMerge w:val="restart"/>
                </w:tcPr>
                <w:p>
                  <w:pPr>
                    <w:rPr>
                      <w:highlight w:val="none"/>
                    </w:rPr>
                  </w:pPr>
                  <w:r>
                    <w:rPr>
                      <w:szCs w:val="24"/>
                      <w:highlight w:val="none"/>
                    </w:rPr>
                    <w:drawing>
                      <wp:anchor distT="0" distB="0" distL="114300" distR="114300" simplePos="0" relativeHeight="251660288" behindDoc="0" locked="0" layoutInCell="1" allowOverlap="1">
                        <wp:simplePos x="0" y="0"/>
                        <wp:positionH relativeFrom="column">
                          <wp:posOffset>-62865</wp:posOffset>
                        </wp:positionH>
                        <wp:positionV relativeFrom="paragraph">
                          <wp:posOffset>-1270</wp:posOffset>
                        </wp:positionV>
                        <wp:extent cx="695325" cy="695325"/>
                        <wp:effectExtent l="0" t="0" r="0" b="0"/>
                        <wp:wrapNone/>
                        <wp:docPr id="19" name="图片 19" descr="诚安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诚安信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95325" cy="695325"/>
                                </a:xfrm>
                                <a:prstGeom prst="rect">
                                  <a:avLst/>
                                </a:prstGeom>
                                <a:noFill/>
                                <a:ln>
                                  <a:noFill/>
                                </a:ln>
                              </pic:spPr>
                            </pic:pic>
                          </a:graphicData>
                        </a:graphic>
                      </wp:anchor>
                    </w:drawing>
                  </w:r>
                </w:p>
              </w:tc>
              <w:tc>
                <w:tcPr>
                  <w:tcW w:w="2522" w:type="dxa"/>
                </w:tcPr>
                <w:p>
                  <w:pPr>
                    <w:spacing w:line="240" w:lineRule="atLeast"/>
                    <w:jc w:val="center"/>
                    <w:rPr>
                      <w:szCs w:val="24"/>
                      <w:highlight w:val="none"/>
                    </w:rPr>
                  </w:pPr>
                </w:p>
              </w:tc>
            </w:tr>
            <w:tr>
              <w:tblPrEx>
                <w:tblCellMar>
                  <w:top w:w="0" w:type="dxa"/>
                  <w:left w:w="108" w:type="dxa"/>
                  <w:bottom w:w="0" w:type="dxa"/>
                  <w:right w:w="108" w:type="dxa"/>
                </w:tblCellMar>
              </w:tblPrEx>
              <w:trPr>
                <w:cantSplit/>
                <w:trHeight w:val="254" w:hRule="atLeast"/>
              </w:trPr>
              <w:tc>
                <w:tcPr>
                  <w:tcW w:w="2522" w:type="dxa"/>
                  <w:vMerge w:val="continue"/>
                  <w:vAlign w:val="center"/>
                </w:tcPr>
                <w:p>
                  <w:pPr>
                    <w:rPr>
                      <w:rFonts w:eastAsia="隶书"/>
                      <w:sz w:val="22"/>
                      <w:szCs w:val="24"/>
                      <w:highlight w:val="none"/>
                    </w:rPr>
                  </w:pPr>
                </w:p>
              </w:tc>
              <w:tc>
                <w:tcPr>
                  <w:tcW w:w="2522" w:type="dxa"/>
                </w:tcPr>
                <w:p>
                  <w:pPr>
                    <w:rPr>
                      <w:rFonts w:eastAsia="隶书"/>
                      <w:sz w:val="22"/>
                      <w:szCs w:val="24"/>
                      <w:highlight w:val="none"/>
                    </w:rPr>
                  </w:pPr>
                </w:p>
              </w:tc>
            </w:tr>
          </w:tbl>
          <w:p>
            <w:pPr>
              <w:rPr>
                <w:highlight w:val="none"/>
              </w:rPr>
            </w:pPr>
            <w:r>
              <w:rPr>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254635</wp:posOffset>
                      </wp:positionV>
                      <wp:extent cx="5353050" cy="0"/>
                      <wp:effectExtent l="0" t="9525" r="0" b="9525"/>
                      <wp:wrapNone/>
                      <wp:docPr id="9" name="直接连接符 9"/>
                      <wp:cNvGraphicFramePr/>
                      <a:graphic xmlns:a="http://schemas.openxmlformats.org/drawingml/2006/main">
                        <a:graphicData uri="http://schemas.microsoft.com/office/word/2010/wordprocessingShape">
                          <wps:wsp>
                            <wps:cNvCnPr/>
                            <wps:spPr>
                              <a:xfrm>
                                <a:off x="1097280" y="1628775"/>
                                <a:ext cx="5353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pt;margin-top:20.05pt;height:0pt;width:421.5pt;z-index:251661312;mso-width-relative:page;mso-height-relative:page;" filled="f" stroked="t" coordsize="21600,21600" o:gfxdata="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bBKXUAAAACAEAAA8AAAAAAAAAAQAgAAAAIgAAAGRycy9kb3ducmV2Lnht&#10;bFBLAQIUABQAAAAIAIdO4kDu+4EF/QEAAOADAAAOAAAAAAAAAAEAIAAAACMBAABkcnMvZTJvRG9j&#10;LnhtbFBLBQYAAAAABgAGAFkBAACSBQAAAAA=&#10;">
                      <v:fill on="f" focussize="0,0"/>
                      <v:stroke weight="1.5pt" color="#000000 [3200]" joinstyle="round"/>
                      <v:imagedata o:title=""/>
                      <o:lock v:ext="edit" aspectratio="f"/>
                    </v:line>
                  </w:pict>
                </mc:Fallback>
              </mc:AlternateContent>
            </w:r>
          </w:p>
        </w:tc>
        <w:tc>
          <w:tcPr>
            <w:tcW w:w="7226" w:type="dxa"/>
            <w:vAlign w:val="center"/>
          </w:tcPr>
          <w:p>
            <w:pPr>
              <w:jc w:val="center"/>
              <w:rPr>
                <w:rFonts w:ascii="黑体" w:hAnsi="黑体" w:eastAsia="黑体"/>
                <w:b/>
                <w:sz w:val="30"/>
                <w:szCs w:val="30"/>
                <w:highlight w:val="none"/>
              </w:rPr>
            </w:pPr>
            <w:r>
              <w:rPr>
                <w:rFonts w:hint="eastAsia" w:ascii="黑体" w:hAnsi="黑体" w:eastAsia="黑体"/>
                <w:b/>
                <w:spacing w:val="40"/>
                <w:sz w:val="30"/>
                <w:szCs w:val="30"/>
                <w:highlight w:val="none"/>
              </w:rPr>
              <w:t>广东诚安信会计师事务所（特殊普通合伙）</w:t>
            </w:r>
            <w:r>
              <w:rPr>
                <w:rFonts w:ascii="Times New Roman" w:hAnsi="Times New Roman" w:eastAsia="Arial Unicode MS" w:cs="Times New Roman"/>
                <w:b/>
                <w:bCs/>
                <w:kern w:val="0"/>
                <w:sz w:val="18"/>
                <w:szCs w:val="18"/>
                <w:highlight w:val="none"/>
              </w:rPr>
              <w:t>GUANGDONG  CHENGANXIN  CERTIFIED  PUBLIC  ACCOUNTANTS  LLP</w:t>
            </w:r>
          </w:p>
        </w:tc>
      </w:tr>
      <w:tr>
        <w:tblPrEx>
          <w:tblCellMar>
            <w:top w:w="0" w:type="dxa"/>
            <w:left w:w="108" w:type="dxa"/>
            <w:bottom w:w="0" w:type="dxa"/>
            <w:right w:w="108" w:type="dxa"/>
          </w:tblCellMar>
        </w:tblPrEx>
        <w:trPr>
          <w:cantSplit/>
          <w:trHeight w:val="411" w:hRule="atLeast"/>
          <w:jc w:val="center"/>
        </w:trPr>
        <w:tc>
          <w:tcPr>
            <w:tcW w:w="1276" w:type="dxa"/>
            <w:vMerge w:val="continue"/>
            <w:vAlign w:val="center"/>
          </w:tcPr>
          <w:p>
            <w:pPr>
              <w:rPr>
                <w:highlight w:val="none"/>
              </w:rPr>
            </w:pPr>
          </w:p>
        </w:tc>
        <w:tc>
          <w:tcPr>
            <w:tcW w:w="7226" w:type="dxa"/>
            <w:vAlign w:val="center"/>
          </w:tcPr>
          <w:p>
            <w:pPr>
              <w:widowControl/>
              <w:jc w:val="center"/>
              <w:rPr>
                <w:rFonts w:ascii="Times New Roman" w:hAnsi="Times New Roman" w:eastAsia="Arial Unicode MS" w:cs="Times New Roman"/>
                <w:b/>
                <w:bCs/>
                <w:kern w:val="0"/>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0" w:name="_Toc6468"/>
      <w:r>
        <w:rPr>
          <w:rFonts w:hint="eastAsia" w:ascii="仿宋" w:hAnsi="仿宋" w:eastAsia="仿宋" w:cs="仿宋"/>
          <w:color w:val="auto"/>
          <w:kern w:val="2"/>
          <w:sz w:val="24"/>
          <w:szCs w:val="24"/>
          <w:highlight w:val="none"/>
        </w:rPr>
        <w:t>诚信审咨[202</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XXXX</w:t>
      </w:r>
      <w:r>
        <w:rPr>
          <w:rFonts w:hint="eastAsia" w:ascii="仿宋" w:hAnsi="仿宋" w:eastAsia="仿宋" w:cs="仿宋"/>
          <w:color w:val="auto"/>
          <w:kern w:val="2"/>
          <w:sz w:val="24"/>
          <w:szCs w:val="24"/>
          <w:highlight w:val="none"/>
        </w:rPr>
        <w:t>号</w:t>
      </w:r>
      <w:bookmarkEnd w:id="0"/>
    </w:p>
    <w:p>
      <w:pPr>
        <w:pStyle w:val="3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6"/>
          <w:szCs w:val="36"/>
          <w:highlight w:val="none"/>
        </w:rPr>
      </w:pPr>
      <w:r>
        <w:rPr>
          <w:rFonts w:hint="eastAsia" w:ascii="宋体" w:hAnsi="宋体" w:cs="宋体"/>
          <w:b/>
          <w:bCs/>
          <w:sz w:val="36"/>
          <w:szCs w:val="36"/>
          <w:highlight w:val="none"/>
          <w:lang w:eastAsia="zh-CN"/>
        </w:rPr>
        <w:t>雷州市市场监督管理局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6"/>
          <w:szCs w:val="36"/>
          <w:highlight w:val="none"/>
        </w:rPr>
      </w:pPr>
      <w:r>
        <w:rPr>
          <w:rFonts w:hint="eastAsia" w:ascii="宋体" w:hAnsi="宋体" w:cs="宋体"/>
          <w:b/>
          <w:bCs/>
          <w:sz w:val="36"/>
          <w:szCs w:val="36"/>
          <w:highlight w:val="none"/>
          <w:lang w:eastAsia="zh-CN"/>
        </w:rPr>
        <w:t>2022年</w:t>
      </w:r>
      <w:r>
        <w:rPr>
          <w:rFonts w:hint="eastAsia" w:ascii="宋体" w:hAnsi="宋体" w:eastAsia="宋体" w:cs="宋体"/>
          <w:b/>
          <w:bCs/>
          <w:sz w:val="36"/>
          <w:szCs w:val="36"/>
          <w:highlight w:val="none"/>
        </w:rPr>
        <w:t>度</w:t>
      </w:r>
      <w:r>
        <w:rPr>
          <w:rFonts w:hint="eastAsia" w:ascii="宋体" w:hAnsi="宋体" w:cs="宋体"/>
          <w:b/>
          <w:bCs/>
          <w:sz w:val="36"/>
          <w:szCs w:val="36"/>
          <w:highlight w:val="none"/>
          <w:lang w:eastAsia="zh-CN"/>
        </w:rPr>
        <w:t>部门</w:t>
      </w:r>
      <w:r>
        <w:rPr>
          <w:rFonts w:hint="eastAsia" w:ascii="宋体" w:hAnsi="宋体" w:eastAsia="宋体" w:cs="宋体"/>
          <w:b/>
          <w:bCs/>
          <w:sz w:val="36"/>
          <w:szCs w:val="36"/>
          <w:highlight w:val="none"/>
        </w:rPr>
        <w:t>整体</w:t>
      </w:r>
      <w:r>
        <w:rPr>
          <w:rFonts w:hint="eastAsia" w:ascii="宋体" w:hAnsi="宋体" w:eastAsia="宋体" w:cs="宋体"/>
          <w:b/>
          <w:bCs/>
          <w:sz w:val="36"/>
          <w:szCs w:val="36"/>
          <w:highlight w:val="none"/>
          <w:lang w:eastAsia="zh-CN"/>
        </w:rPr>
        <w:t>支出</w:t>
      </w:r>
      <w:r>
        <w:rPr>
          <w:rFonts w:hint="eastAsia" w:ascii="宋体" w:hAnsi="宋体" w:eastAsia="宋体" w:cs="宋体"/>
          <w:b/>
          <w:bCs/>
          <w:sz w:val="36"/>
          <w:szCs w:val="36"/>
          <w:highlight w:val="none"/>
        </w:rPr>
        <w:t>绩效评价报告</w:t>
      </w:r>
    </w:p>
    <w:p>
      <w:pPr>
        <w:keepNext w:val="0"/>
        <w:keepLines w:val="0"/>
        <w:pageBreakBefore w:val="0"/>
        <w:kinsoku/>
        <w:wordWrap/>
        <w:overflowPunct/>
        <w:topLinePunct w:val="0"/>
        <w:autoSpaceDE/>
        <w:autoSpaceDN/>
        <w:bidi w:val="0"/>
        <w:spacing w:line="360" w:lineRule="auto"/>
        <w:jc w:val="both"/>
        <w:textAlignment w:val="auto"/>
        <w:outlineLvl w:val="9"/>
        <w:rPr>
          <w:rFonts w:hint="eastAsia" w:ascii="仿宋" w:hAnsi="仿宋" w:eastAsia="仿宋" w:cs="仿宋"/>
          <w:b/>
          <w:color w:val="auto"/>
          <w:sz w:val="32"/>
          <w:szCs w:val="32"/>
          <w:highlight w:val="none"/>
          <w:lang w:val="en-US" w:eastAsia="zh-CN"/>
        </w:rPr>
      </w:pPr>
      <w:bookmarkStart w:id="1" w:name="_Toc646"/>
    </w:p>
    <w:bookmarkEnd w:id="1"/>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为全面推进预算绩效管理工作，树立预算单位的绩效观念，提高财政资金使用效益，受</w:t>
      </w:r>
      <w:r>
        <w:rPr>
          <w:rFonts w:hint="eastAsia" w:ascii="仿宋" w:hAnsi="仿宋" w:eastAsia="仿宋" w:cs="仿宋"/>
          <w:color w:val="auto"/>
          <w:kern w:val="2"/>
          <w:sz w:val="28"/>
          <w:szCs w:val="28"/>
          <w:highlight w:val="none"/>
          <w:lang w:eastAsia="zh-CN"/>
        </w:rPr>
        <w:t>贵局</w:t>
      </w:r>
      <w:r>
        <w:rPr>
          <w:rFonts w:hint="eastAsia" w:ascii="仿宋" w:hAnsi="仿宋" w:eastAsia="仿宋" w:cs="仿宋"/>
          <w:color w:val="auto"/>
          <w:kern w:val="2"/>
          <w:sz w:val="28"/>
          <w:szCs w:val="28"/>
          <w:highlight w:val="none"/>
        </w:rPr>
        <w:t>委托，</w:t>
      </w:r>
      <w:r>
        <w:rPr>
          <w:rFonts w:hint="eastAsia" w:ascii="仿宋" w:hAnsi="仿宋" w:eastAsia="仿宋" w:cs="仿宋"/>
          <w:color w:val="auto"/>
          <w:kern w:val="2"/>
          <w:sz w:val="28"/>
          <w:szCs w:val="28"/>
          <w:highlight w:val="none"/>
          <w:lang w:eastAsia="zh-CN"/>
        </w:rPr>
        <w:t>本事务所</w:t>
      </w:r>
      <w:r>
        <w:rPr>
          <w:rFonts w:hint="eastAsia" w:ascii="仿宋" w:hAnsi="仿宋" w:eastAsia="仿宋" w:cs="仿宋"/>
          <w:color w:val="auto"/>
          <w:kern w:val="2"/>
          <w:sz w:val="28"/>
          <w:szCs w:val="28"/>
          <w:highlight w:val="none"/>
        </w:rPr>
        <w:t>本着客观、公平、公正的原则</w:t>
      </w:r>
      <w:r>
        <w:rPr>
          <w:rFonts w:hint="eastAsia" w:ascii="仿宋" w:hAnsi="仿宋" w:eastAsia="仿宋" w:cs="仿宋"/>
          <w:color w:val="auto"/>
          <w:kern w:val="2"/>
          <w:sz w:val="28"/>
          <w:szCs w:val="28"/>
          <w:highlight w:val="none"/>
          <w:lang w:eastAsia="zh-CN"/>
        </w:rPr>
        <w:t>，按照</w:t>
      </w:r>
      <w:r>
        <w:rPr>
          <w:rFonts w:hint="eastAsia" w:ascii="仿宋" w:hAnsi="仿宋" w:eastAsia="仿宋" w:cs="仿宋"/>
          <w:color w:val="auto"/>
          <w:kern w:val="2"/>
          <w:sz w:val="28"/>
          <w:szCs w:val="28"/>
          <w:highlight w:val="none"/>
          <w:lang w:val="en-US" w:eastAsia="zh-CN"/>
        </w:rPr>
        <w:t>雷州市</w:t>
      </w:r>
      <w:r>
        <w:rPr>
          <w:rFonts w:hint="eastAsia" w:ascii="仿宋" w:hAnsi="仿宋" w:eastAsia="仿宋" w:cs="仿宋"/>
          <w:color w:val="auto"/>
          <w:kern w:val="2"/>
          <w:sz w:val="28"/>
          <w:szCs w:val="28"/>
          <w:highlight w:val="none"/>
        </w:rPr>
        <w:t>财政局《</w:t>
      </w:r>
      <w:r>
        <w:rPr>
          <w:rFonts w:hint="eastAsia" w:ascii="仿宋" w:hAnsi="仿宋" w:eastAsia="仿宋" w:cs="仿宋"/>
          <w:color w:val="auto"/>
          <w:kern w:val="2"/>
          <w:sz w:val="28"/>
          <w:szCs w:val="28"/>
          <w:highlight w:val="none"/>
          <w:lang w:val="en-US" w:eastAsia="zh-CN"/>
        </w:rPr>
        <w:t>关于开展2023年雷州市财政资金绩效自评工作的通知》</w:t>
      </w:r>
      <w:r>
        <w:rPr>
          <w:rFonts w:hint="eastAsia" w:ascii="仿宋" w:hAnsi="仿宋" w:eastAsia="仿宋" w:cs="仿宋"/>
          <w:color w:val="auto"/>
          <w:kern w:val="2"/>
          <w:sz w:val="28"/>
          <w:szCs w:val="28"/>
          <w:highlight w:val="none"/>
          <w:lang w:eastAsia="zh-CN"/>
        </w:rPr>
        <w:t>（雷财绩</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2023</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2号</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有关</w:t>
      </w:r>
      <w:r>
        <w:rPr>
          <w:rFonts w:hint="eastAsia" w:ascii="仿宋" w:hAnsi="仿宋" w:eastAsia="仿宋" w:cs="仿宋"/>
          <w:color w:val="auto"/>
          <w:kern w:val="2"/>
          <w:sz w:val="28"/>
          <w:szCs w:val="28"/>
          <w:highlight w:val="none"/>
          <w:lang w:eastAsia="zh-CN"/>
        </w:rPr>
        <w:t>通知</w:t>
      </w:r>
      <w:r>
        <w:rPr>
          <w:rFonts w:hint="eastAsia" w:ascii="仿宋" w:hAnsi="仿宋" w:eastAsia="仿宋" w:cs="仿宋"/>
          <w:color w:val="auto"/>
          <w:kern w:val="2"/>
          <w:sz w:val="28"/>
          <w:szCs w:val="28"/>
          <w:highlight w:val="none"/>
        </w:rPr>
        <w:t>要求，</w:t>
      </w:r>
      <w:r>
        <w:rPr>
          <w:rFonts w:hint="eastAsia" w:ascii="仿宋" w:hAnsi="仿宋" w:eastAsia="仿宋" w:cs="仿宋"/>
          <w:color w:val="auto"/>
          <w:sz w:val="28"/>
          <w:szCs w:val="28"/>
          <w:highlight w:val="none"/>
          <w:lang w:val="en-US" w:eastAsia="zh-CN"/>
        </w:rPr>
        <w:t>对雷州市市场监督管理局2022年度部门整体支出绩效</w:t>
      </w:r>
      <w:r>
        <w:rPr>
          <w:rFonts w:hint="eastAsia" w:ascii="仿宋" w:hAnsi="仿宋" w:eastAsia="仿宋" w:cs="仿宋"/>
          <w:color w:val="auto"/>
          <w:kern w:val="2"/>
          <w:sz w:val="28"/>
          <w:szCs w:val="28"/>
          <w:highlight w:val="none"/>
        </w:rPr>
        <w:t>开展绩效评价工作。经单位自评、书面评审、现场核查及专家评价，形成本评价报告。报告内容具体如下：</w:t>
      </w:r>
    </w:p>
    <w:p>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default" w:ascii="仿宋" w:hAnsi="仿宋" w:eastAsia="仿宋" w:cs="仿宋"/>
          <w:b/>
          <w:bCs/>
          <w:color w:val="auto"/>
          <w:sz w:val="28"/>
          <w:szCs w:val="28"/>
          <w:highlight w:val="none"/>
          <w:lang w:val="en-US" w:eastAsia="zh-CN"/>
        </w:rPr>
      </w:pPr>
      <w:bookmarkStart w:id="2" w:name="_Toc17798"/>
      <w:bookmarkStart w:id="3" w:name="_Toc21761"/>
      <w:bookmarkStart w:id="4" w:name="_Toc19058"/>
      <w:r>
        <w:rPr>
          <w:rFonts w:hint="eastAsia" w:ascii="仿宋" w:hAnsi="仿宋" w:eastAsia="仿宋" w:cs="仿宋"/>
          <w:b/>
          <w:bCs/>
          <w:color w:val="auto"/>
          <w:sz w:val="28"/>
          <w:szCs w:val="28"/>
          <w:highlight w:val="none"/>
          <w:lang w:val="en-US" w:eastAsia="zh-CN"/>
        </w:rPr>
        <w:t>一、</w:t>
      </w:r>
      <w:bookmarkEnd w:id="2"/>
      <w:r>
        <w:rPr>
          <w:rFonts w:hint="eastAsia" w:ascii="仿宋" w:hAnsi="仿宋" w:eastAsia="仿宋" w:cs="仿宋"/>
          <w:b/>
          <w:bCs/>
          <w:color w:val="auto"/>
          <w:sz w:val="28"/>
          <w:szCs w:val="28"/>
          <w:highlight w:val="none"/>
          <w:lang w:val="en-US" w:eastAsia="zh-CN"/>
        </w:rPr>
        <w:t>基本情况</w:t>
      </w:r>
      <w:bookmarkEnd w:id="3"/>
      <w:bookmarkEnd w:id="4"/>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5" w:name="_Toc6078"/>
      <w:bookmarkStart w:id="6" w:name="_Toc8492"/>
      <w:bookmarkStart w:id="7" w:name="_Toc30136"/>
      <w:r>
        <w:rPr>
          <w:rFonts w:hint="eastAsia" w:ascii="仿宋" w:hAnsi="仿宋" w:eastAsia="仿宋" w:cs="仿宋"/>
          <w:color w:val="auto"/>
          <w:sz w:val="28"/>
          <w:szCs w:val="28"/>
          <w:highlight w:val="none"/>
          <w:lang w:eastAsia="zh-CN"/>
        </w:rPr>
        <w:t>（一）</w:t>
      </w:r>
      <w:bookmarkEnd w:id="5"/>
      <w:r>
        <w:rPr>
          <w:rFonts w:hint="eastAsia" w:ascii="仿宋" w:hAnsi="仿宋" w:eastAsia="仿宋" w:cs="仿宋"/>
          <w:color w:val="auto"/>
          <w:sz w:val="28"/>
          <w:szCs w:val="28"/>
          <w:highlight w:val="none"/>
          <w:lang w:eastAsia="zh-CN"/>
        </w:rPr>
        <w:t>部门职能</w:t>
      </w:r>
      <w:bookmarkEnd w:id="6"/>
      <w:bookmarkEnd w:id="7"/>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color w:val="auto"/>
          <w:sz w:val="28"/>
          <w:szCs w:val="28"/>
          <w:highlight w:val="none"/>
          <w:lang w:val="en-US" w:eastAsia="zh-CN"/>
        </w:rPr>
      </w:pPr>
      <w:bookmarkStart w:id="8" w:name="_Toc14172"/>
      <w:r>
        <w:rPr>
          <w:rFonts w:hint="eastAsia" w:ascii="仿宋" w:hAnsi="仿宋" w:eastAsia="仿宋" w:cs="仿宋"/>
          <w:color w:val="auto"/>
          <w:sz w:val="28"/>
          <w:szCs w:val="28"/>
          <w:highlight w:val="none"/>
          <w:lang w:val="en-US" w:eastAsia="zh-CN"/>
        </w:rPr>
        <w:t>雷州市市场监督管理局贯彻落实党中央、省委和湛江市委关于市场监督管理和知识产权工作的方针政策和决策部署，按照市委工作要求，在履行职责的过程中坚持和加强党对市场监督管理和知识产权工作的集中统一领导。主要职责详见表1-1：</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1-1  </w:t>
      </w:r>
      <w:r>
        <w:rPr>
          <w:rFonts w:hint="eastAsia" w:ascii="仿宋" w:hAnsi="仿宋" w:eastAsia="仿宋" w:cs="仿宋"/>
          <w:b/>
          <w:bCs/>
          <w:color w:val="auto"/>
          <w:sz w:val="28"/>
          <w:szCs w:val="28"/>
          <w:highlight w:val="none"/>
          <w:lang w:val="zh-TW" w:eastAsia="zh-TW"/>
        </w:rPr>
        <w:t>部门主要职责</w:t>
      </w:r>
    </w:p>
    <w:p>
      <w:pPr>
        <w:spacing w:line="41" w:lineRule="exact"/>
        <w:rPr>
          <w:rFonts w:hint="eastAsia" w:ascii="仿宋" w:hAnsi="仿宋" w:eastAsia="仿宋" w:cs="仿宋"/>
          <w:highlight w:val="none"/>
        </w:rPr>
      </w:pPr>
    </w:p>
    <w:tbl>
      <w:tblPr>
        <w:tblStyle w:val="4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7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blHeader/>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主要职责内容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1</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综合监督管理和知识产权管理。起草市场监督管理和知识产权有关规章草案，组织实施质量强市战略、食品安全战略、标准化战略、知识产权战略。拟订并组织实施有关规划，规范和维护市场秩序，营造诚实守信、公平竞争的市场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2</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主体统一登记注册。承担市场主体登记注册工作，组织指导全市各类企业、农民专业合作社和从事经营活动的单位、个体工商户等市场主体的登记注册工作。建立市场主体信息公示和共享机制，依法公示和共享有关信息，加强信用监管，推动市场主体信用体系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3</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负责或依据委托实施工业产品、特种设备、计量、食品、药品、医疗器械等行政许可工作，组织推进本系统行政审批制度改革和行政审批标准化工作。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eastAsia="zh-CN"/>
              </w:rPr>
              <w:t>4</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负责市场监管和知识产权综合执法工作。负责全市市场监管综合执法队伍建设，推动实行统一的市场监管。配合查处重大违法案件。规范市场监管和知识产权行政执法行为。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5</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监督管理市场秩序。依法监督管理市场交易、网络商品交易及有关服务的行为。组织指导查处价格收费违法违规、不正当竞争、违法直销、传销、侵犯商标专利知识产权和制售假冒伪劣行为。组织实施食盐、工业盐、电力、成品油行政执法。指导广告业发展，监督管理广告活动。负责全市市场监管相关安全生产工作。组织查处无照生产经营和相关无证生产经营行为。指导市消费者权益保护委员会开展消费维权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6</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反垄断统一执法。负责推进竞争政策实施，指导实施公平竞争审查制度。依据委托开展反垄断调查，开展垄断协议、滥用市场支配地位和滥用行政权力排除、限制竞争等反垄断调查工作。依法对全市经营者集中行为进行监督，并依据委托开展调查。指导企业在国外的反垄断应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7</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负责统一管理标准化工作。依法监督标准的实施。推动企业对标先进标准提质升档。组织实施标准化激励政策,规范标准化活动。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8</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促进知识产权运用。组织实施知识产权激励奖励制度、知识产权转化运用和交易运营政策措施。指导落实商标、专利、原产地地理标志申请的审查、确权相关前置服务工作。指导知识产权无形资产评估、审查评议工作。指导和促进知识产权服务业发展。统筹指导知识产权公共服务体系建设，推动知识产权信息传播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highlight w:val="none"/>
              </w:rPr>
            </w:pPr>
            <w:r>
              <w:rPr>
                <w:rFonts w:hint="eastAsia" w:ascii="仿宋" w:hAnsi="仿宋" w:eastAsia="仿宋" w:cs="仿宋"/>
                <w:sz w:val="24"/>
                <w:szCs w:val="24"/>
                <w:highlight w:val="none"/>
                <w:lang w:val="en-US" w:eastAsia="zh-CN"/>
              </w:rPr>
              <w:t>9</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保护知识产权。组织实施严格保护商标、专利、原产地地理标志等知识产权制度措施。研究提出知识产权保护体系建设方案并组织实施，推动建设知识产权保护体系。负责组织商标、专利执法工作，负责知识产权争议处理、维权援助和纠纷调处。协助上级主管部门落实知识产权预警和涉外保护工作。组织实施鼓励新领域、新业态、新模式创新的知识产权保护、管理和服务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highlight w:val="none"/>
                <w:lang w:val="en-US"/>
              </w:rPr>
            </w:pPr>
            <w:r>
              <w:rPr>
                <w:rFonts w:hint="eastAsia" w:ascii="仿宋" w:hAnsi="仿宋" w:eastAsia="仿宋" w:cs="仿宋"/>
                <w:sz w:val="24"/>
                <w:szCs w:val="24"/>
                <w:highlight w:val="none"/>
                <w:lang w:val="en-US" w:eastAsia="zh-CN"/>
              </w:rPr>
              <w:t>10</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负责产品质量安全监督管理。组织实施产品质量监督抽查、风险监控和伤害监测工作。组织实施质量分级制度、质量安全追溯制度。负责纤维质量监督工作。依据委托，实施工业产品生产许可管理。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bookmarkStart w:id="9" w:name="_Toc17615"/>
            <w:r>
              <w:rPr>
                <w:rFonts w:hint="eastAsia" w:ascii="仿宋" w:hAnsi="仿宋" w:eastAsia="仿宋" w:cs="仿宋"/>
                <w:sz w:val="24"/>
                <w:szCs w:val="24"/>
                <w:highlight w:val="none"/>
                <w:lang w:val="en-US" w:eastAsia="zh-CN"/>
              </w:rPr>
              <w:t>11</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负责产品质量安全监督管理。组织实施产品质量监督抽查、风险监控和伤害监测工作。组织实施质量分级制度、质量安全追溯制度。负责纤维质量监督工作。依据委托，实施工业产品生产许可管理。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食品安全监督管理综合协调。统筹指导全市食品安全工作。负责食品安全应急体系建设，组织指导重大食品安全事件应急处置和调查处理工作。建立健全食品安全重要信息直报制度。承担市食品安全委员会日常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研判、核查处置和风险预警、风险交流工作。组织实施特殊食品及食盐安全监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负责特种设备安全监督管理。综合管理特种设备安全监察、监督、风险防范和伤害监测工作。监督检查高耗能特种设备节能标准和锅炉环境保护标准的执行情况。依法承担特种设备安全事故调查工作。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负责统一管理计量工作。执行国家计量制度，推行法定计量单位，依职责管理计量器具及量值传递和比对工作。规范、监督商品量和市场计量行为。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负责统一管理认证认可与检验检测工作。组织并实施检测监督管理的制度措施。协助推进检验检测机构改革。指导协调全市认证认可与检验检测行业发展。依法监督管理认证认可与检验检测工作。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药品、医疗器械、化妆品安全监督管理。监督实施药品、医疗器械和化妆品标准及分类管理制度，开展质量管理、上市后风险管理和监督检查，推进鼓励药品、医疗器械和化妆品新技术新产品的管理与服务政策。指导执业药师注册工作。组织开展药品不良反应、医疗器械不良事件和化妆品不良反应的监测、评价和处置工作。依法承担药品、医疗器械和化妆品安全风险监测和应急管理工作。配合实施国家基本药物制度。组织开展监督检查、质量抽查检验和行政执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负责市场监督管理、知识产权领域科技和信息化建设、新闻宣传、交流与合作。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贯彻落实党的人才发展政策，履行人才工作相关职责。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5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7568" w:type="dxa"/>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完成雷州市委、市政府和省、湛江市市场监督管理局(省、湛江市知识产权局）、省药监局交办的其他任务。</w:t>
            </w:r>
          </w:p>
        </w:tc>
      </w:tr>
    </w:tbl>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eastAsia="zh-CN"/>
        </w:rPr>
      </w:pPr>
      <w:bookmarkStart w:id="10" w:name="_Toc29526"/>
      <w:r>
        <w:rPr>
          <w:rFonts w:hint="eastAsia" w:ascii="仿宋" w:hAnsi="仿宋" w:eastAsia="仿宋" w:cs="仿宋"/>
          <w:color w:val="auto"/>
          <w:sz w:val="28"/>
          <w:szCs w:val="28"/>
          <w:highlight w:val="none"/>
          <w:lang w:eastAsia="zh-CN"/>
        </w:rPr>
        <w:t>（二）</w:t>
      </w:r>
      <w:bookmarkEnd w:id="8"/>
      <w:r>
        <w:rPr>
          <w:rFonts w:hint="eastAsia" w:ascii="仿宋" w:hAnsi="仿宋" w:eastAsia="仿宋" w:cs="仿宋"/>
          <w:color w:val="auto"/>
          <w:sz w:val="28"/>
          <w:szCs w:val="28"/>
          <w:highlight w:val="none"/>
          <w:lang w:eastAsia="zh-CN"/>
        </w:rPr>
        <w:t>机构及人员设置</w:t>
      </w:r>
      <w:bookmarkEnd w:id="9"/>
      <w:bookmarkEnd w:id="10"/>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bookmarkStart w:id="11" w:name="_Toc7652"/>
      <w:r>
        <w:rPr>
          <w:rFonts w:hint="eastAsia" w:ascii="仿宋" w:hAnsi="仿宋" w:eastAsia="仿宋" w:cs="仿宋"/>
          <w:color w:val="auto"/>
          <w:sz w:val="28"/>
          <w:szCs w:val="28"/>
          <w:highlight w:val="none"/>
          <w:lang w:eastAsia="zh-CN"/>
        </w:rPr>
        <w:t>根据《中共雷州市委办公室</w:t>
      </w:r>
      <w:r>
        <w:rPr>
          <w:rFonts w:hint="eastAsia" w:ascii="仿宋" w:hAnsi="仿宋" w:eastAsia="仿宋" w:cs="仿宋"/>
          <w:color w:val="auto"/>
          <w:sz w:val="28"/>
          <w:szCs w:val="28"/>
          <w:highlight w:val="none"/>
          <w:lang w:val="en-US" w:eastAsia="zh-CN"/>
        </w:rPr>
        <w:t xml:space="preserve"> 雷州市人民政府办公室关于印发&lt;雷州市市场监督管理局职能配置、内设机构和人员编制规定&gt;的通知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eastAsia="zh-CN"/>
        </w:rPr>
        <w:t>雷办发</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2019</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34号</w:t>
      </w:r>
      <w:r>
        <w:rPr>
          <w:rFonts w:hint="eastAsia" w:ascii="仿宋" w:hAnsi="仿宋" w:eastAsia="仿宋" w:cs="仿宋"/>
          <w:color w:val="auto"/>
          <w:sz w:val="28"/>
          <w:szCs w:val="28"/>
          <w:highlight w:val="none"/>
          <w:lang w:eastAsia="zh-CN"/>
        </w:rPr>
        <w:t>）文件内容，雷州市市场监督管理局是市政府工作部门，为正科级，加挂雷州市知识产权局牌子。具体内设机构和下属单位详见表</w:t>
      </w:r>
      <w:r>
        <w:rPr>
          <w:rFonts w:hint="eastAsia" w:ascii="仿宋" w:hAnsi="仿宋" w:eastAsia="仿宋" w:cs="仿宋"/>
          <w:color w:val="auto"/>
          <w:sz w:val="28"/>
          <w:szCs w:val="28"/>
          <w:highlight w:val="none"/>
          <w:lang w:val="en-US" w:eastAsia="zh-CN"/>
        </w:rPr>
        <w:t>1-2：</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1-2  </w:t>
      </w:r>
      <w:r>
        <w:rPr>
          <w:rFonts w:hint="eastAsia" w:ascii="仿宋" w:hAnsi="仿宋" w:eastAsia="仿宋" w:cs="仿宋"/>
          <w:b/>
          <w:bCs/>
          <w:color w:val="auto"/>
          <w:sz w:val="28"/>
          <w:szCs w:val="28"/>
          <w:highlight w:val="none"/>
          <w:lang w:val="zh-TW" w:eastAsia="zh-TW"/>
        </w:rPr>
        <w:t>内设</w:t>
      </w:r>
      <w:r>
        <w:rPr>
          <w:rFonts w:hint="eastAsia" w:ascii="仿宋" w:hAnsi="仿宋" w:eastAsia="仿宋" w:cs="仿宋"/>
          <w:b/>
          <w:bCs/>
          <w:color w:val="auto"/>
          <w:sz w:val="28"/>
          <w:szCs w:val="28"/>
          <w:highlight w:val="none"/>
          <w:lang w:val="zh-TW" w:eastAsia="zh-CN"/>
        </w:rPr>
        <w:t>机构</w:t>
      </w:r>
      <w:r>
        <w:rPr>
          <w:rFonts w:hint="eastAsia" w:ascii="仿宋" w:hAnsi="仿宋" w:eastAsia="仿宋" w:cs="仿宋"/>
          <w:b/>
          <w:bCs/>
          <w:color w:val="auto"/>
          <w:sz w:val="28"/>
          <w:szCs w:val="28"/>
          <w:highlight w:val="none"/>
          <w:lang w:val="zh-TW" w:eastAsia="zh-TW"/>
        </w:rPr>
        <w:t>和下属单位</w:t>
      </w:r>
    </w:p>
    <w:tbl>
      <w:tblPr>
        <w:tblStyle w:val="40"/>
        <w:tblW w:w="866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7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内设机构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政策法规股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经济检查综合业务股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行政许可与登记注册股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协调与应急股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信用风险监管股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价格监督检查与反不正当竞争股(规范直销与打击传销办公室)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计量与标准化股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广告监督管理与知识产权促进保护股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网络交易监督管理股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质量发展与认证认可监督管理股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产品质量安全监督管理股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食品生产安全监督管理股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食品市场安全监督管理股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食品餐饮安全监管股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特种设备安全监察股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药品监督管理股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医疗器械与化妆品安全监管股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人事股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执法一股（执法一大队）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执法二股（执法二大队）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执法三股（执法三大队）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下属单位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雷州市市场监督管理局新城市场监督管理所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雷州市市场监督管理局城内市场监督管理所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雷州市市场监督管理局城外市场监督管理所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雷州市市场监督管理局附城市场监督管理所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雷州市市场监督管理局白沙市场监督管理所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雷州市市场监督管理局客路市场监督管理所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雷州市市场监督管理局纪家市场监督管理所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雷州市市场监督管理局唐家市场监督管理所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雷州市市场监督管理局南兴市场监督管理所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雷州市市场监督管理局龙门市场监督管理所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雷州市市场监督管理局英利市场监督管理所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雷州市市场监督管理局北和市场监督管理所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雷州市市场监督管理局乌石市场监督管理所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雷州市市场监督管理局东里市场监督管理所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54"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406" w:type="dxa"/>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雷州市市场监督管理局调风市场监督管理所</w:t>
            </w:r>
          </w:p>
        </w:tc>
      </w:tr>
    </w:tbl>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sz w:val="28"/>
          <w:szCs w:val="28"/>
          <w:highlight w:val="none"/>
          <w:lang w:eastAsia="zh-CN"/>
        </w:rPr>
      </w:pPr>
      <w:r>
        <w:rPr>
          <w:rFonts w:hint="eastAsia" w:ascii="仿宋" w:hAnsi="仿宋" w:eastAsia="仿宋" w:cs="仿宋"/>
          <w:sz w:val="28"/>
          <w:szCs w:val="28"/>
          <w:highlight w:val="none"/>
          <w:lang w:eastAsia="zh-CN"/>
        </w:rPr>
        <w:t>雷州市市场监督管理局机关行政执法专项编制</w:t>
      </w:r>
      <w:r>
        <w:rPr>
          <w:rFonts w:hint="eastAsia" w:ascii="仿宋" w:hAnsi="仿宋" w:eastAsia="仿宋" w:cs="仿宋"/>
          <w:sz w:val="28"/>
          <w:szCs w:val="28"/>
          <w:highlight w:val="none"/>
          <w:lang w:val="en-US" w:eastAsia="zh-CN"/>
        </w:rPr>
        <w:t>87名。设局长1名，副局长3名；正副股级领导职数42名。</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12" w:name="_Toc24970"/>
      <w:bookmarkStart w:id="13" w:name="_Toc13952"/>
      <w:r>
        <w:rPr>
          <w:rFonts w:hint="eastAsia" w:ascii="仿宋" w:hAnsi="仿宋" w:eastAsia="仿宋" w:cs="仿宋"/>
          <w:color w:val="auto"/>
          <w:sz w:val="28"/>
          <w:szCs w:val="28"/>
          <w:highlight w:val="none"/>
          <w:lang w:eastAsia="zh-CN"/>
        </w:rPr>
        <w:t>（三）部门整体支出绩效</w:t>
      </w:r>
      <w:r>
        <w:rPr>
          <w:rFonts w:hint="eastAsia" w:ascii="仿宋" w:hAnsi="仿宋" w:eastAsia="仿宋" w:cs="仿宋"/>
          <w:color w:val="auto"/>
          <w:sz w:val="28"/>
          <w:szCs w:val="28"/>
          <w:highlight w:val="none"/>
        </w:rPr>
        <w:t>目标</w:t>
      </w:r>
      <w:bookmarkEnd w:id="11"/>
      <w:bookmarkEnd w:id="12"/>
      <w:bookmarkEnd w:id="13"/>
      <w:bookmarkStart w:id="14" w:name="_Toc16787"/>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w:t>
      </w:r>
      <w:r>
        <w:rPr>
          <w:rFonts w:hint="eastAsia" w:ascii="仿宋" w:hAnsi="仿宋" w:eastAsia="仿宋" w:cs="仿宋"/>
          <w:sz w:val="28"/>
          <w:szCs w:val="28"/>
          <w:highlight w:val="none"/>
          <w:lang w:eastAsia="zh-CN"/>
        </w:rPr>
        <w:t>雷州市市场监督管理局</w:t>
      </w:r>
      <w:r>
        <w:rPr>
          <w:rFonts w:hint="eastAsia" w:ascii="仿宋" w:hAnsi="仿宋" w:eastAsia="仿宋" w:cs="仿宋"/>
          <w:color w:val="auto"/>
          <w:sz w:val="28"/>
          <w:szCs w:val="28"/>
          <w:highlight w:val="none"/>
          <w:lang w:val="en-US" w:eastAsia="zh-CN"/>
        </w:rPr>
        <w:t>自评情况，2022年部门整体绩效目标详见表1-3：</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1-3  </w:t>
      </w:r>
      <w:r>
        <w:rPr>
          <w:rFonts w:hint="eastAsia" w:ascii="仿宋" w:hAnsi="仿宋" w:eastAsia="仿宋" w:cs="仿宋"/>
          <w:b/>
          <w:bCs/>
          <w:color w:val="auto"/>
          <w:sz w:val="28"/>
          <w:szCs w:val="28"/>
          <w:highlight w:val="none"/>
          <w:lang w:val="zh-TW" w:eastAsia="zh-TW"/>
        </w:rPr>
        <w:t>202</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TW" w:eastAsia="zh-TW"/>
        </w:rPr>
        <w:t>年部门整体绩效目标情况表</w:t>
      </w:r>
    </w:p>
    <w:p>
      <w:pPr>
        <w:spacing w:line="25" w:lineRule="exact"/>
        <w:rPr>
          <w:highlight w:val="none"/>
        </w:rPr>
      </w:pPr>
    </w:p>
    <w:tbl>
      <w:tblPr>
        <w:tblStyle w:val="40"/>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54"/>
        <w:gridCol w:w="74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4380"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总体目标/工作任务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sz w:val="24"/>
                <w:szCs w:val="24"/>
                <w:highlight w:val="none"/>
                <w:lang w:eastAsia="zh-CN"/>
              </w:rPr>
              <w:t>1</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学习党史，强化党建，建设队伍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sz w:val="24"/>
                <w:szCs w:val="24"/>
                <w:highlight w:val="none"/>
                <w:lang w:eastAsia="zh-CN"/>
              </w:rPr>
              <w:t>2</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持续优化营商环境，市场主体培育成效明显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sz w:val="24"/>
                <w:szCs w:val="24"/>
                <w:highlight w:val="none"/>
                <w:lang w:eastAsia="zh-CN"/>
              </w:rPr>
              <w:t>3</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守住市场监管领域的安全底线，全力做好疫情防控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bookmarkStart w:id="15" w:name="_Toc3963"/>
            <w:bookmarkStart w:id="16" w:name="_Toc3788"/>
            <w:r>
              <w:rPr>
                <w:rFonts w:hint="eastAsia" w:ascii="仿宋" w:hAnsi="仿宋" w:eastAsia="仿宋" w:cs="仿宋"/>
                <w:sz w:val="24"/>
                <w:szCs w:val="24"/>
                <w:highlight w:val="none"/>
                <w:lang w:val="en-US" w:eastAsia="zh-CN"/>
              </w:rPr>
              <w:t>4</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全力推进创卫创文工作，助推雷州“跨坎会战”发展战略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推进知识产权保护和高质量发展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4380"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b/>
                <w:bCs/>
                <w:color w:val="000000"/>
                <w:spacing w:val="0"/>
                <w:w w:val="100"/>
                <w:position w:val="0"/>
                <w:sz w:val="24"/>
                <w:szCs w:val="24"/>
                <w:highlight w:val="none"/>
                <w:lang w:val="en-US" w:eastAsia="zh-CN"/>
              </w:rPr>
              <w:t>年度整体支出绩效目标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保证人员经费和公用经费按照预算合理支出，确保单位办公正常运转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19"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80" w:type="pct"/>
            <w:shd w:val="clear" w:color="auto" w:fill="FFFFFF" w:themeFill="background1"/>
            <w:vAlign w:val="center"/>
          </w:tcPr>
          <w:p>
            <w:pPr>
              <w:pStyle w:val="39"/>
              <w:spacing w:before="110" w:line="280" w:lineRule="auto"/>
              <w:ind w:left="117" w:right="105" w:firstLine="8"/>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zh-TW" w:eastAsia="zh-CN" w:bidi="zh-TW"/>
              </w:rPr>
              <w:t>保证专项资金专款专用</w:t>
            </w:r>
          </w:p>
        </w:tc>
      </w:tr>
    </w:tbl>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w:t>
      </w:r>
      <w:bookmarkEnd w:id="14"/>
      <w:r>
        <w:rPr>
          <w:rFonts w:hint="eastAsia" w:ascii="仿宋" w:hAnsi="仿宋" w:eastAsia="仿宋" w:cs="仿宋"/>
          <w:color w:val="auto"/>
          <w:sz w:val="28"/>
          <w:szCs w:val="28"/>
          <w:highlight w:val="none"/>
          <w:lang w:val="en-US" w:eastAsia="zh-CN"/>
        </w:rPr>
        <w:t>部门整体收支情况</w:t>
      </w:r>
      <w:bookmarkEnd w:id="15"/>
      <w:bookmarkEnd w:id="16"/>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bookmarkStart w:id="17" w:name="_Toc6754"/>
      <w:r>
        <w:rPr>
          <w:rFonts w:hint="eastAsia" w:ascii="仿宋" w:hAnsi="仿宋" w:eastAsia="仿宋" w:cs="仿宋"/>
          <w:b w:val="0"/>
          <w:bCs w:val="0"/>
          <w:color w:val="auto"/>
          <w:sz w:val="28"/>
          <w:szCs w:val="28"/>
          <w:highlight w:val="none"/>
          <w:lang w:eastAsia="zh-CN"/>
        </w:rPr>
        <w:t>2022年</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eastAsia="zh-CN"/>
        </w:rPr>
        <w:t>，财政拨款收入预算</w:t>
      </w:r>
      <w:r>
        <w:rPr>
          <w:rFonts w:hint="eastAsia" w:ascii="仿宋" w:hAnsi="仿宋" w:eastAsia="仿宋" w:cs="仿宋"/>
          <w:b w:val="0"/>
          <w:bCs w:val="0"/>
          <w:color w:val="auto"/>
          <w:sz w:val="28"/>
          <w:szCs w:val="28"/>
          <w:highlight w:val="none"/>
          <w:lang w:val="en-US" w:eastAsia="zh-CN"/>
        </w:rPr>
        <w:t>2725.96</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其中一般公共预算财政拨款</w:t>
      </w:r>
      <w:r>
        <w:rPr>
          <w:rFonts w:hint="eastAsia" w:ascii="仿宋" w:hAnsi="仿宋" w:eastAsia="仿宋" w:cs="仿宋"/>
          <w:b w:val="0"/>
          <w:bCs w:val="0"/>
          <w:color w:val="auto"/>
          <w:sz w:val="28"/>
          <w:szCs w:val="28"/>
          <w:highlight w:val="none"/>
          <w:lang w:val="en-US" w:eastAsia="zh-CN"/>
        </w:rPr>
        <w:t>2177.10万元，政府性基金预算财政拨款548.86万元。</w:t>
      </w:r>
      <w:r>
        <w:rPr>
          <w:rFonts w:hint="eastAsia" w:ascii="仿宋" w:hAnsi="仿宋" w:eastAsia="仿宋" w:cs="仿宋"/>
          <w:b w:val="0"/>
          <w:bCs w:val="0"/>
          <w:color w:val="auto"/>
          <w:sz w:val="28"/>
          <w:szCs w:val="28"/>
          <w:highlight w:val="none"/>
          <w:lang w:eastAsia="zh-CN"/>
        </w:rPr>
        <w:t>财政拨款支出预算</w:t>
      </w:r>
      <w:r>
        <w:rPr>
          <w:rFonts w:hint="eastAsia" w:ascii="仿宋" w:hAnsi="仿宋" w:eastAsia="仿宋" w:cs="仿宋"/>
          <w:b w:val="0"/>
          <w:bCs w:val="0"/>
          <w:color w:val="auto"/>
          <w:sz w:val="28"/>
          <w:szCs w:val="28"/>
          <w:highlight w:val="none"/>
          <w:lang w:val="en-US" w:eastAsia="zh-CN"/>
        </w:rPr>
        <w:t>2725.96</w:t>
      </w:r>
      <w:r>
        <w:rPr>
          <w:rFonts w:hint="eastAsia" w:ascii="仿宋" w:hAnsi="仿宋" w:eastAsia="仿宋" w:cs="仿宋"/>
          <w:b w:val="0"/>
          <w:bCs w:val="0"/>
          <w:color w:val="auto"/>
          <w:sz w:val="28"/>
          <w:szCs w:val="28"/>
          <w:highlight w:val="none"/>
        </w:rPr>
        <w:t>万元，其中基本支出预算</w:t>
      </w:r>
      <w:r>
        <w:rPr>
          <w:rFonts w:hint="eastAsia" w:ascii="仿宋" w:hAnsi="仿宋" w:eastAsia="仿宋" w:cs="仿宋"/>
          <w:b w:val="0"/>
          <w:bCs w:val="0"/>
          <w:color w:val="auto"/>
          <w:sz w:val="28"/>
          <w:szCs w:val="28"/>
          <w:highlight w:val="none"/>
          <w:lang w:val="en-US" w:eastAsia="zh-CN"/>
        </w:rPr>
        <w:t>2095.73</w:t>
      </w:r>
      <w:r>
        <w:rPr>
          <w:rFonts w:hint="eastAsia" w:ascii="仿宋" w:hAnsi="仿宋" w:eastAsia="仿宋" w:cs="仿宋"/>
          <w:b w:val="0"/>
          <w:bCs w:val="0"/>
          <w:color w:val="auto"/>
          <w:sz w:val="28"/>
          <w:szCs w:val="28"/>
          <w:highlight w:val="none"/>
        </w:rPr>
        <w:t>万元，项目支出预算</w:t>
      </w:r>
      <w:r>
        <w:rPr>
          <w:rFonts w:hint="eastAsia" w:ascii="仿宋" w:hAnsi="仿宋" w:eastAsia="仿宋" w:cs="仿宋"/>
          <w:b w:val="0"/>
          <w:bCs w:val="0"/>
          <w:color w:val="auto"/>
          <w:sz w:val="28"/>
          <w:szCs w:val="28"/>
          <w:highlight w:val="none"/>
          <w:lang w:val="en-US" w:eastAsia="zh-CN"/>
        </w:rPr>
        <w:t>630.24</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2022年决算，</w:t>
      </w:r>
      <w:r>
        <w:rPr>
          <w:rFonts w:hint="eastAsia" w:ascii="仿宋" w:hAnsi="仿宋" w:eastAsia="仿宋" w:cs="仿宋"/>
          <w:b w:val="0"/>
          <w:bCs w:val="0"/>
          <w:color w:val="auto"/>
          <w:sz w:val="28"/>
          <w:szCs w:val="28"/>
          <w:highlight w:val="none"/>
          <w:lang w:eastAsia="zh-CN"/>
        </w:rPr>
        <w:t>财政拨款收入决算</w:t>
      </w:r>
      <w:r>
        <w:rPr>
          <w:rFonts w:hint="eastAsia" w:ascii="仿宋" w:hAnsi="仿宋" w:eastAsia="仿宋" w:cs="仿宋"/>
          <w:b w:val="0"/>
          <w:bCs w:val="0"/>
          <w:color w:val="auto"/>
          <w:sz w:val="28"/>
          <w:szCs w:val="28"/>
          <w:highlight w:val="none"/>
          <w:lang w:val="en-US" w:eastAsia="zh-CN"/>
        </w:rPr>
        <w:t>2659.78</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其中一般公共预算财政拨款</w:t>
      </w:r>
      <w:r>
        <w:rPr>
          <w:rFonts w:hint="eastAsia" w:ascii="仿宋" w:hAnsi="仿宋" w:eastAsia="仿宋" w:cs="仿宋"/>
          <w:b w:val="0"/>
          <w:bCs w:val="0"/>
          <w:color w:val="auto"/>
          <w:sz w:val="28"/>
          <w:szCs w:val="28"/>
          <w:highlight w:val="none"/>
          <w:lang w:val="en-US" w:eastAsia="zh-CN"/>
        </w:rPr>
        <w:t>2110.92万元，政府性基金预算财政拨款548.86万元。</w:t>
      </w:r>
      <w:r>
        <w:rPr>
          <w:rFonts w:hint="eastAsia" w:ascii="仿宋" w:hAnsi="仿宋" w:eastAsia="仿宋" w:cs="仿宋"/>
          <w:b w:val="0"/>
          <w:bCs w:val="0"/>
          <w:color w:val="auto"/>
          <w:sz w:val="28"/>
          <w:szCs w:val="28"/>
          <w:highlight w:val="none"/>
          <w:lang w:eastAsia="zh-CN"/>
        </w:rPr>
        <w:t>财政拨款支出决算</w:t>
      </w:r>
      <w:r>
        <w:rPr>
          <w:rFonts w:hint="eastAsia" w:ascii="仿宋" w:hAnsi="仿宋" w:eastAsia="仿宋" w:cs="仿宋"/>
          <w:b w:val="0"/>
          <w:bCs w:val="0"/>
          <w:color w:val="auto"/>
          <w:sz w:val="28"/>
          <w:szCs w:val="28"/>
          <w:highlight w:val="none"/>
          <w:lang w:val="en-US" w:eastAsia="zh-CN"/>
        </w:rPr>
        <w:t>2659.78</w:t>
      </w:r>
      <w:r>
        <w:rPr>
          <w:rFonts w:hint="eastAsia" w:ascii="仿宋" w:hAnsi="仿宋" w:eastAsia="仿宋" w:cs="仿宋"/>
          <w:b w:val="0"/>
          <w:bCs w:val="0"/>
          <w:color w:val="auto"/>
          <w:sz w:val="28"/>
          <w:szCs w:val="28"/>
          <w:highlight w:val="none"/>
        </w:rPr>
        <w:t>万元，其中基本支出预算</w:t>
      </w:r>
      <w:r>
        <w:rPr>
          <w:rFonts w:hint="eastAsia" w:ascii="仿宋" w:hAnsi="仿宋" w:eastAsia="仿宋" w:cs="仿宋"/>
          <w:b w:val="0"/>
          <w:bCs w:val="0"/>
          <w:color w:val="auto"/>
          <w:sz w:val="28"/>
          <w:szCs w:val="28"/>
          <w:highlight w:val="none"/>
          <w:lang w:val="en-US" w:eastAsia="zh-CN"/>
        </w:rPr>
        <w:t>2029.54</w:t>
      </w:r>
      <w:r>
        <w:rPr>
          <w:rFonts w:hint="eastAsia" w:ascii="仿宋" w:hAnsi="仿宋" w:eastAsia="仿宋" w:cs="仿宋"/>
          <w:b w:val="0"/>
          <w:bCs w:val="0"/>
          <w:color w:val="auto"/>
          <w:sz w:val="28"/>
          <w:szCs w:val="28"/>
          <w:highlight w:val="none"/>
        </w:rPr>
        <w:t>万元，项目支出预算</w:t>
      </w:r>
      <w:r>
        <w:rPr>
          <w:rFonts w:hint="eastAsia" w:ascii="仿宋" w:hAnsi="仿宋" w:eastAsia="仿宋" w:cs="仿宋"/>
          <w:b w:val="0"/>
          <w:bCs w:val="0"/>
          <w:color w:val="auto"/>
          <w:sz w:val="28"/>
          <w:szCs w:val="28"/>
          <w:highlight w:val="none"/>
          <w:lang w:val="en-US" w:eastAsia="zh-CN"/>
        </w:rPr>
        <w:t>630.24</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具体收支情况详见表</w:t>
      </w:r>
      <w:r>
        <w:rPr>
          <w:rFonts w:hint="eastAsia" w:ascii="仿宋" w:hAnsi="仿宋" w:eastAsia="仿宋" w:cs="仿宋"/>
          <w:b w:val="0"/>
          <w:bCs w:val="0"/>
          <w:color w:val="auto"/>
          <w:sz w:val="28"/>
          <w:szCs w:val="28"/>
          <w:highlight w:val="none"/>
          <w:lang w:val="en-US" w:eastAsia="zh-CN"/>
        </w:rPr>
        <w:t>1-4：</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 xml:space="preserve">1-4  </w:t>
      </w:r>
      <w:r>
        <w:rPr>
          <w:rFonts w:hint="eastAsia" w:ascii="仿宋" w:hAnsi="仿宋" w:eastAsia="仿宋" w:cs="仿宋"/>
          <w:b/>
          <w:bCs/>
          <w:color w:val="auto"/>
          <w:sz w:val="28"/>
          <w:szCs w:val="28"/>
          <w:highlight w:val="none"/>
          <w:lang w:val="zh-TW" w:eastAsia="zh-TW"/>
        </w:rPr>
        <w:t>202</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TW" w:eastAsia="zh-TW"/>
        </w:rPr>
        <w:t>年度部门整体资金统计表</w:t>
      </w:r>
    </w:p>
    <w:p>
      <w:pPr>
        <w:keepNext w:val="0"/>
        <w:keepLines w:val="0"/>
        <w:pageBreakBefore w:val="0"/>
        <w:kinsoku/>
        <w:wordWrap/>
        <w:overflowPunct/>
        <w:topLinePunct w:val="0"/>
        <w:autoSpaceDE/>
        <w:autoSpaceDN/>
        <w:bidi w:val="0"/>
        <w:adjustRightInd/>
        <w:snapToGrid w:val="0"/>
        <w:spacing w:line="560" w:lineRule="exact"/>
        <w:ind w:firstLine="361" w:firstLineChars="200"/>
        <w:jc w:val="right"/>
        <w:textAlignment w:val="auto"/>
        <w:rPr>
          <w:rFonts w:hint="eastAsia" w:ascii="仿宋" w:hAnsi="仿宋" w:eastAsia="仿宋" w:cs="仿宋"/>
          <w:b/>
          <w:bCs/>
          <w:color w:val="auto"/>
          <w:sz w:val="18"/>
          <w:szCs w:val="18"/>
          <w:highlight w:val="none"/>
          <w:lang w:val="zh-TW" w:eastAsia="zh-CN"/>
        </w:rPr>
      </w:pPr>
      <w:r>
        <w:rPr>
          <w:rFonts w:hint="eastAsia" w:ascii="仿宋" w:hAnsi="仿宋" w:eastAsia="仿宋" w:cs="仿宋"/>
          <w:b/>
          <w:bCs/>
          <w:color w:val="auto"/>
          <w:sz w:val="18"/>
          <w:szCs w:val="18"/>
          <w:highlight w:val="none"/>
          <w:lang w:val="zh-TW" w:eastAsia="zh-CN"/>
        </w:rPr>
        <w:t>金额单位：万元</w:t>
      </w:r>
    </w:p>
    <w:p>
      <w:pPr>
        <w:spacing w:line="25" w:lineRule="exact"/>
        <w:rPr>
          <w:highlight w:val="none"/>
        </w:rPr>
      </w:pPr>
    </w:p>
    <w:tbl>
      <w:tblPr>
        <w:tblStyle w:val="40"/>
        <w:tblW w:w="502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8"/>
        <w:gridCol w:w="2623"/>
        <w:gridCol w:w="1712"/>
        <w:gridCol w:w="1455"/>
        <w:gridCol w:w="14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000" w:type="pct"/>
            <w:gridSpan w:val="5"/>
            <w:shd w:val="clear" w:color="auto" w:fill="FFFFFF" w:themeFill="background1"/>
            <w:vAlign w:val="center"/>
          </w:tcPr>
          <w:p>
            <w:pPr>
              <w:pStyle w:val="39"/>
              <w:spacing w:before="97" w:line="228" w:lineRule="auto"/>
              <w:jc w:val="center"/>
              <w:rPr>
                <w:highlight w:val="none"/>
              </w:rPr>
            </w:pPr>
            <w:r>
              <w:rPr>
                <w:rFonts w:hint="eastAsia" w:ascii="仿宋" w:hAnsi="仿宋" w:eastAsia="仿宋" w:cs="仿宋"/>
                <w:b/>
                <w:bCs/>
                <w:color w:val="000000"/>
                <w:spacing w:val="0"/>
                <w:w w:val="100"/>
                <w:kern w:val="2"/>
                <w:position w:val="0"/>
                <w:sz w:val="24"/>
                <w:szCs w:val="24"/>
                <w:highlight w:val="none"/>
                <w:u w:val="none"/>
                <w:shd w:val="clear" w:color="auto" w:fill="auto"/>
                <w:lang w:val="en-US" w:eastAsia="zh-CN" w:bidi="zh-TW"/>
              </w:rPr>
              <w:t>财政拨款收入情况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81" w:type="pct"/>
            <w:gridSpan w:val="2"/>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资金来源</w:t>
            </w:r>
          </w:p>
        </w:tc>
        <w:tc>
          <w:tcPr>
            <w:tcW w:w="1001"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 xml:space="preserve">年初预算数 </w:t>
            </w:r>
          </w:p>
        </w:tc>
        <w:tc>
          <w:tcPr>
            <w:tcW w:w="851"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 xml:space="preserve">调整预算数 </w:t>
            </w:r>
          </w:p>
        </w:tc>
        <w:tc>
          <w:tcPr>
            <w:tcW w:w="865"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pPr>
              <w:pStyle w:val="39"/>
              <w:spacing w:before="94" w:line="228" w:lineRule="auto"/>
              <w:ind w:left="26"/>
              <w:rPr>
                <w:rFonts w:hint="eastAsia" w:ascii="仿宋" w:hAnsi="仿宋" w:eastAsia="仿宋" w:cs="仿宋"/>
                <w:b/>
                <w:bCs/>
                <w:kern w:val="2"/>
                <w:sz w:val="24"/>
                <w:szCs w:val="24"/>
                <w:highlight w:val="none"/>
                <w:u w:val="none"/>
                <w:shd w:val="clear" w:color="auto" w:fill="auto"/>
                <w:lang w:val="zh-TW" w:eastAsia="zh-CN" w:bidi="zh-TW"/>
              </w:rPr>
            </w:pPr>
            <w:r>
              <w:rPr>
                <w:rFonts w:hint="eastAsia" w:ascii="仿宋" w:hAnsi="仿宋" w:eastAsia="仿宋" w:cs="仿宋"/>
                <w:b/>
                <w:bCs/>
                <w:kern w:val="2"/>
                <w:sz w:val="24"/>
                <w:szCs w:val="24"/>
                <w:highlight w:val="none"/>
                <w:u w:val="none"/>
                <w:shd w:val="clear" w:color="auto" w:fill="auto"/>
                <w:lang w:val="zh-TW" w:eastAsia="zh-CN" w:bidi="zh-TW"/>
              </w:rPr>
              <w:t>年初结转和结余</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pPr>
              <w:pStyle w:val="39"/>
              <w:spacing w:before="94" w:line="228" w:lineRule="auto"/>
              <w:ind w:left="26"/>
              <w:rPr>
                <w:rFonts w:hint="eastAsia" w:ascii="仿宋" w:hAnsi="仿宋" w:eastAsia="仿宋" w:cs="仿宋"/>
                <w:b/>
                <w:bCs/>
                <w:kern w:val="2"/>
                <w:sz w:val="24"/>
                <w:szCs w:val="24"/>
                <w:highlight w:val="none"/>
                <w:u w:val="none"/>
                <w:shd w:val="clear" w:color="auto" w:fill="auto"/>
                <w:lang w:val="zh-TW" w:eastAsia="zh-CN" w:bidi="zh-TW"/>
              </w:rPr>
            </w:pPr>
            <w:r>
              <w:rPr>
                <w:rFonts w:hint="eastAsia" w:ascii="仿宋" w:hAnsi="仿宋" w:eastAsia="仿宋" w:cs="仿宋"/>
                <w:b/>
                <w:bCs/>
                <w:kern w:val="2"/>
                <w:sz w:val="24"/>
                <w:szCs w:val="24"/>
                <w:highlight w:val="none"/>
                <w:u w:val="none"/>
                <w:shd w:val="clear" w:color="auto" w:fill="auto"/>
                <w:lang w:val="en-US" w:eastAsia="zh-CN" w:bidi="zh-TW"/>
              </w:rPr>
              <w:t>财政拨款</w:t>
            </w:r>
            <w:r>
              <w:rPr>
                <w:rFonts w:hint="eastAsia" w:ascii="仿宋" w:hAnsi="仿宋" w:eastAsia="仿宋" w:cs="仿宋"/>
                <w:b/>
                <w:bCs/>
                <w:kern w:val="2"/>
                <w:sz w:val="24"/>
                <w:szCs w:val="24"/>
                <w:highlight w:val="none"/>
                <w:u w:val="none"/>
                <w:shd w:val="clear" w:color="auto" w:fill="auto"/>
                <w:lang w:val="zh-TW" w:eastAsia="zh-CN" w:bidi="zh-TW"/>
              </w:rPr>
              <w:t>收入合计</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2,006.67</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2,725.96</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2,659.78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其中：一般公共预算财政拨款收入</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2,006.67</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2,177.11</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highlight w:val="none"/>
              </w:rPr>
            </w:pPr>
            <w:r>
              <w:rPr>
                <w:rFonts w:hint="eastAsia" w:ascii="仿宋" w:hAnsi="仿宋" w:eastAsia="仿宋" w:cs="仿宋"/>
                <w:i w:val="0"/>
                <w:iCs w:val="0"/>
                <w:color w:val="000000"/>
                <w:kern w:val="0"/>
                <w:sz w:val="20"/>
                <w:szCs w:val="20"/>
                <w:highlight w:val="none"/>
                <w:u w:val="none"/>
                <w:lang w:val="en-US" w:eastAsia="zh-CN" w:bidi="ar"/>
              </w:rPr>
              <w:t>2,110.92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720" w:firstLineChars="30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政府性基金预算财政拨款收入</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548.86</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548.86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pPr>
              <w:pStyle w:val="39"/>
              <w:spacing w:before="94" w:line="228" w:lineRule="auto"/>
              <w:ind w:left="26"/>
              <w:rPr>
                <w:rFonts w:hint="eastAsia" w:ascii="仿宋" w:hAnsi="仿宋" w:eastAsia="仿宋" w:cs="仿宋"/>
                <w:b/>
                <w:bCs/>
                <w:kern w:val="2"/>
                <w:sz w:val="24"/>
                <w:szCs w:val="24"/>
                <w:highlight w:val="none"/>
                <w:u w:val="none"/>
                <w:shd w:val="clear" w:color="auto" w:fill="auto"/>
                <w:lang w:val="zh-TW" w:eastAsia="zh-CN" w:bidi="zh-TW"/>
              </w:rPr>
            </w:pPr>
            <w:r>
              <w:rPr>
                <w:rFonts w:hint="eastAsia" w:ascii="仿宋" w:hAnsi="仿宋" w:eastAsia="仿宋" w:cs="仿宋"/>
                <w:b/>
                <w:bCs/>
                <w:kern w:val="2"/>
                <w:sz w:val="24"/>
                <w:szCs w:val="24"/>
                <w:highlight w:val="none"/>
                <w:u w:val="none"/>
                <w:shd w:val="clear" w:color="auto" w:fill="auto"/>
                <w:lang w:val="zh-TW" w:eastAsia="zh-CN" w:bidi="zh-TW"/>
              </w:rPr>
              <w:t>年末结转和结余</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000" w:type="pct"/>
            <w:gridSpan w:val="5"/>
            <w:shd w:val="clear" w:color="auto" w:fill="FFFFFF" w:themeFill="background1"/>
            <w:vAlign w:val="top"/>
          </w:tcPr>
          <w:p>
            <w:pPr>
              <w:pStyle w:val="39"/>
              <w:spacing w:before="92" w:line="229" w:lineRule="auto"/>
              <w:jc w:val="center"/>
              <w:rPr>
                <w:highlight w:val="none"/>
              </w:rPr>
            </w:pPr>
            <w:r>
              <w:rPr>
                <w:rFonts w:hint="eastAsia" w:ascii="仿宋" w:hAnsi="仿宋" w:eastAsia="仿宋" w:cs="仿宋"/>
                <w:b/>
                <w:bCs/>
                <w:color w:val="000000"/>
                <w:spacing w:val="0"/>
                <w:w w:val="100"/>
                <w:kern w:val="2"/>
                <w:position w:val="0"/>
                <w:sz w:val="24"/>
                <w:szCs w:val="24"/>
                <w:highlight w:val="none"/>
                <w:u w:val="none"/>
                <w:shd w:val="clear" w:color="auto" w:fill="auto"/>
                <w:lang w:val="en-US" w:eastAsia="zh-CN" w:bidi="zh-TW"/>
              </w:rPr>
              <w:t>财政拨款支出情况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7"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支出类型</w:t>
            </w:r>
          </w:p>
        </w:tc>
        <w:tc>
          <w:tcPr>
            <w:tcW w:w="1534"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具体科目/项目</w:t>
            </w:r>
          </w:p>
        </w:tc>
        <w:tc>
          <w:tcPr>
            <w:tcW w:w="1001"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预算金额</w:t>
            </w:r>
          </w:p>
        </w:tc>
        <w:tc>
          <w:tcPr>
            <w:tcW w:w="851"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支出金额</w:t>
            </w:r>
          </w:p>
        </w:tc>
        <w:tc>
          <w:tcPr>
            <w:tcW w:w="865"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支出率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vMerge w:val="restart"/>
            <w:tcBorders>
              <w:bottom w:val="nil"/>
            </w:tcBorders>
            <w:shd w:val="clear" w:color="auto" w:fill="FFFFFF" w:themeFill="background1"/>
            <w:vAlign w:val="top"/>
          </w:tcPr>
          <w:p>
            <w:pPr>
              <w:spacing w:line="414" w:lineRule="auto"/>
              <w:rPr>
                <w:rFonts w:ascii="Arial"/>
                <w:sz w:val="21"/>
                <w:highlight w:val="none"/>
              </w:rPr>
            </w:pPr>
          </w:p>
          <w:p>
            <w:pPr>
              <w:pStyle w:val="39"/>
              <w:spacing w:before="65" w:line="228" w:lineRule="auto"/>
              <w:ind w:left="205"/>
              <w:rPr>
                <w:highlight w:val="none"/>
              </w:rPr>
            </w:pPr>
            <w:r>
              <w:rPr>
                <w:rFonts w:hint="eastAsia" w:ascii="仿宋" w:hAnsi="仿宋" w:eastAsia="仿宋" w:cs="仿宋"/>
                <w:b/>
                <w:bCs/>
                <w:kern w:val="2"/>
                <w:sz w:val="24"/>
                <w:szCs w:val="24"/>
                <w:highlight w:val="none"/>
                <w:u w:val="none"/>
                <w:shd w:val="clear" w:color="auto" w:fill="auto"/>
                <w:lang w:val="zh-TW" w:eastAsia="zh-CN" w:bidi="zh-TW"/>
              </w:rPr>
              <w:t>基本支出</w:t>
            </w:r>
          </w:p>
        </w:tc>
        <w:tc>
          <w:tcPr>
            <w:tcW w:w="1534" w:type="pct"/>
            <w:shd w:val="clear" w:color="auto" w:fill="FFFFFF" w:themeFill="background1"/>
            <w:vAlign w:val="top"/>
          </w:tcPr>
          <w:p>
            <w:pPr>
              <w:pStyle w:val="39"/>
              <w:spacing w:before="93" w:line="230" w:lineRule="auto"/>
              <w:jc w:val="center"/>
              <w:rPr>
                <w:highlight w:val="none"/>
              </w:rPr>
            </w:pPr>
            <w:r>
              <w:rPr>
                <w:rFonts w:hint="eastAsia" w:ascii="仿宋" w:hAnsi="仿宋" w:eastAsia="仿宋" w:cs="仿宋"/>
                <w:b/>
                <w:bCs/>
                <w:kern w:val="2"/>
                <w:sz w:val="24"/>
                <w:szCs w:val="24"/>
                <w:highlight w:val="none"/>
                <w:u w:val="none"/>
                <w:shd w:val="clear" w:color="auto" w:fill="auto"/>
                <w:lang w:val="zh-TW" w:eastAsia="zh-CN" w:bidi="zh-TW"/>
              </w:rPr>
              <w:t>小计</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2,095.73</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2,029.54</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96.84%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vMerge w:val="continue"/>
            <w:tcBorders>
              <w:top w:val="nil"/>
              <w:bottom w:val="nil"/>
            </w:tcBorders>
            <w:shd w:val="clear" w:color="auto" w:fill="FFFFFF" w:themeFill="background1"/>
            <w:vAlign w:val="top"/>
          </w:tcPr>
          <w:p>
            <w:pPr>
              <w:rPr>
                <w:rFonts w:ascii="Arial"/>
                <w:sz w:val="21"/>
                <w:highlight w:val="none"/>
              </w:rPr>
            </w:pPr>
          </w:p>
        </w:tc>
        <w:tc>
          <w:tcPr>
            <w:tcW w:w="1534"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人员经费</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1,884.38</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1,818.20</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96.49%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vMerge w:val="continue"/>
            <w:tcBorders>
              <w:top w:val="nil"/>
            </w:tcBorders>
            <w:shd w:val="clear" w:color="auto" w:fill="FFFFFF" w:themeFill="background1"/>
            <w:vAlign w:val="top"/>
          </w:tcPr>
          <w:p>
            <w:pPr>
              <w:rPr>
                <w:rFonts w:ascii="Arial"/>
                <w:sz w:val="21"/>
                <w:highlight w:val="none"/>
              </w:rPr>
            </w:pPr>
          </w:p>
        </w:tc>
        <w:tc>
          <w:tcPr>
            <w:tcW w:w="1534" w:type="pct"/>
            <w:shd w:val="clear" w:color="auto" w:fill="FFFFFF" w:themeFill="background1"/>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公用经费</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211.34</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211.34</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top"/>
          </w:tcPr>
          <w:p>
            <w:pPr>
              <w:pStyle w:val="39"/>
              <w:spacing w:before="93" w:line="229" w:lineRule="auto"/>
              <w:ind w:left="209"/>
              <w:rPr>
                <w:highlight w:val="none"/>
              </w:rPr>
            </w:pPr>
            <w:r>
              <w:rPr>
                <w:rFonts w:hint="eastAsia" w:ascii="仿宋" w:hAnsi="仿宋" w:eastAsia="仿宋" w:cs="仿宋"/>
                <w:b/>
                <w:bCs/>
                <w:kern w:val="2"/>
                <w:sz w:val="24"/>
                <w:szCs w:val="24"/>
                <w:highlight w:val="none"/>
                <w:u w:val="none"/>
                <w:shd w:val="clear" w:color="auto" w:fill="auto"/>
                <w:lang w:val="zh-TW" w:eastAsia="zh-CN" w:bidi="zh-TW"/>
              </w:rPr>
              <w:t>项目支出</w:t>
            </w:r>
          </w:p>
        </w:tc>
        <w:tc>
          <w:tcPr>
            <w:tcW w:w="1534" w:type="pct"/>
            <w:shd w:val="clear" w:color="auto" w:fill="FFFFFF" w:themeFill="background1"/>
            <w:vAlign w:val="top"/>
          </w:tcPr>
          <w:p>
            <w:pPr>
              <w:pStyle w:val="39"/>
              <w:spacing w:before="93" w:line="230" w:lineRule="auto"/>
              <w:jc w:val="center"/>
              <w:rPr>
                <w:highlight w:val="none"/>
              </w:rPr>
            </w:pPr>
            <w:r>
              <w:rPr>
                <w:rFonts w:hint="eastAsia" w:ascii="仿宋" w:hAnsi="仿宋" w:eastAsia="仿宋" w:cs="仿宋"/>
                <w:b/>
                <w:bCs/>
                <w:kern w:val="2"/>
                <w:sz w:val="24"/>
                <w:szCs w:val="24"/>
                <w:highlight w:val="none"/>
                <w:u w:val="none"/>
                <w:shd w:val="clear" w:color="auto" w:fill="auto"/>
                <w:lang w:val="zh-TW" w:eastAsia="zh-CN" w:bidi="zh-TW"/>
              </w:rPr>
              <w:t>小计</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highlight w:val="none"/>
              </w:rPr>
            </w:pPr>
            <w:r>
              <w:rPr>
                <w:rFonts w:hint="eastAsia" w:ascii="仿宋" w:hAnsi="仿宋" w:eastAsia="仿宋" w:cs="仿宋"/>
                <w:b/>
                <w:bCs/>
                <w:i w:val="0"/>
                <w:iCs w:val="0"/>
                <w:color w:val="000000"/>
                <w:kern w:val="0"/>
                <w:sz w:val="20"/>
                <w:szCs w:val="20"/>
                <w:highlight w:val="none"/>
                <w:u w:val="none"/>
                <w:lang w:val="en-US" w:eastAsia="zh-CN" w:bidi="ar"/>
              </w:rPr>
              <w:t>630.24</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630.24</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7"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2623" w:type="dxa"/>
            <w:shd w:val="clear" w:color="auto" w:fill="FFFFFF" w:themeFill="background1"/>
            <w:vAlign w:val="top"/>
          </w:tcPr>
          <w:p>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补发2021年人员经费</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64.38</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64.38</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p>
        </w:tc>
        <w:tc>
          <w:tcPr>
            <w:tcW w:w="2623" w:type="dxa"/>
            <w:shd w:val="clear" w:color="auto" w:fill="FFFFFF" w:themeFill="background1"/>
            <w:vAlign w:val="top"/>
          </w:tcPr>
          <w:p>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食用农产品快检经费</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17.00</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17.00</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w:t>
            </w:r>
          </w:p>
        </w:tc>
        <w:tc>
          <w:tcPr>
            <w:tcW w:w="2623" w:type="dxa"/>
            <w:shd w:val="clear" w:color="auto" w:fill="FFFFFF" w:themeFill="background1"/>
            <w:vAlign w:val="top"/>
          </w:tcPr>
          <w:p>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食品安全抽检经费</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299.20</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299.20</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47"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p>
        </w:tc>
        <w:tc>
          <w:tcPr>
            <w:tcW w:w="2623" w:type="dxa"/>
            <w:shd w:val="clear" w:color="auto" w:fill="FFFFFF" w:themeFill="background1"/>
            <w:vAlign w:val="top"/>
          </w:tcPr>
          <w:p>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明厨亮灶+互联网</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217.84</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217.84</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7" w:type="pct"/>
            <w:shd w:val="clear" w:color="auto" w:fill="FFFFFF" w:themeFill="background1"/>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w:t>
            </w:r>
          </w:p>
        </w:tc>
        <w:tc>
          <w:tcPr>
            <w:tcW w:w="2623" w:type="dxa"/>
            <w:shd w:val="clear" w:color="auto" w:fill="FFFFFF" w:themeFill="background1"/>
            <w:vAlign w:val="top"/>
          </w:tcPr>
          <w:p>
            <w:pPr>
              <w:pStyle w:val="39"/>
              <w:spacing w:before="110" w:line="280" w:lineRule="auto"/>
              <w:ind w:right="105"/>
              <w:jc w:val="both"/>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业务信息系统支撑保障经费</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31.82</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31.82</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spacing w:val="4"/>
                <w:highlight w:val="none"/>
              </w:rPr>
            </w:pPr>
            <w:r>
              <w:rPr>
                <w:rFonts w:hint="eastAsia" w:ascii="仿宋" w:hAnsi="仿宋" w:eastAsia="仿宋" w:cs="仿宋"/>
                <w:i w:val="0"/>
                <w:iCs w:val="0"/>
                <w:color w:val="000000"/>
                <w:kern w:val="0"/>
                <w:sz w:val="20"/>
                <w:szCs w:val="20"/>
                <w:highlight w:val="none"/>
                <w:u w:val="none"/>
                <w:lang w:val="en-US" w:eastAsia="zh-CN" w:bidi="ar"/>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281" w:type="pct"/>
            <w:gridSpan w:val="2"/>
            <w:shd w:val="clear" w:color="auto" w:fill="FFFFFF" w:themeFill="background1"/>
            <w:vAlign w:val="top"/>
          </w:tcPr>
          <w:p>
            <w:pPr>
              <w:pStyle w:val="39"/>
              <w:spacing w:before="126" w:line="190" w:lineRule="auto"/>
              <w:ind w:left="328"/>
              <w:jc w:val="center"/>
              <w:rPr>
                <w:rFonts w:hint="eastAsia" w:ascii="宋体" w:hAnsi="宋体" w:eastAsia="宋体" w:cs="宋体"/>
                <w:spacing w:val="4"/>
                <w:highlight w:val="none"/>
                <w:lang w:eastAsia="zh-CN"/>
                <w14:textOutline w14:w="3795" w14:cap="sq" w14:cmpd="sng">
                  <w14:solidFill>
                    <w14:srgbClr w14:val="000000"/>
                  </w14:solidFill>
                  <w14:prstDash w14:val="solid"/>
                  <w14:bevel/>
                </w14:textOutline>
              </w:rPr>
            </w:pPr>
            <w:r>
              <w:rPr>
                <w:rFonts w:hint="eastAsia" w:ascii="仿宋" w:hAnsi="仿宋" w:eastAsia="仿宋" w:cs="仿宋"/>
                <w:b/>
                <w:bCs/>
                <w:kern w:val="2"/>
                <w:sz w:val="24"/>
                <w:szCs w:val="24"/>
                <w:highlight w:val="none"/>
                <w:u w:val="none"/>
                <w:shd w:val="clear" w:color="auto" w:fill="auto"/>
                <w:lang w:val="zh-TW" w:eastAsia="zh-CN" w:bidi="zh-TW"/>
              </w:rPr>
              <w:t>总计</w:t>
            </w:r>
          </w:p>
        </w:tc>
        <w:tc>
          <w:tcPr>
            <w:tcW w:w="1712"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2,725.96</w:t>
            </w:r>
          </w:p>
        </w:tc>
        <w:tc>
          <w:tcPr>
            <w:tcW w:w="145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2,659.78</w:t>
            </w:r>
          </w:p>
        </w:tc>
        <w:tc>
          <w:tcPr>
            <w:tcW w:w="1483"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spacing w:val="4"/>
                <w:highlight w:val="none"/>
                <w14:textOutline w14:w="3795" w14:cap="sq" w14:cmpd="sng">
                  <w14:solidFill>
                    <w14:srgbClr w14:val="000000"/>
                  </w14:solidFill>
                  <w14:prstDash w14:val="solid"/>
                  <w14:bevel/>
                </w14:textOutline>
              </w:rPr>
            </w:pPr>
            <w:r>
              <w:rPr>
                <w:rFonts w:hint="eastAsia" w:ascii="仿宋" w:hAnsi="仿宋" w:eastAsia="仿宋" w:cs="仿宋"/>
                <w:b/>
                <w:bCs/>
                <w:i w:val="0"/>
                <w:iCs w:val="0"/>
                <w:color w:val="000000"/>
                <w:kern w:val="0"/>
                <w:sz w:val="20"/>
                <w:szCs w:val="20"/>
                <w:highlight w:val="none"/>
                <w:u w:val="none"/>
                <w:lang w:val="en-US" w:eastAsia="zh-CN" w:bidi="ar"/>
              </w:rPr>
              <w:t>97.57%</w:t>
            </w:r>
          </w:p>
        </w:tc>
      </w:tr>
    </w:tbl>
    <w:p>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eastAsia="zh-CN"/>
        </w:rPr>
      </w:pPr>
      <w:bookmarkStart w:id="18" w:name="_Toc28060"/>
      <w:bookmarkStart w:id="19" w:name="_Toc22929"/>
      <w:r>
        <w:rPr>
          <w:rFonts w:hint="eastAsia" w:ascii="仿宋" w:hAnsi="仿宋" w:eastAsia="仿宋" w:cs="仿宋"/>
          <w:b/>
          <w:bCs/>
          <w:color w:val="auto"/>
          <w:sz w:val="28"/>
          <w:szCs w:val="28"/>
          <w:highlight w:val="none"/>
        </w:rPr>
        <w:t>二、评价</w:t>
      </w:r>
      <w:bookmarkEnd w:id="17"/>
      <w:r>
        <w:rPr>
          <w:rFonts w:hint="eastAsia" w:ascii="仿宋" w:hAnsi="仿宋" w:eastAsia="仿宋" w:cs="仿宋"/>
          <w:b/>
          <w:bCs/>
          <w:color w:val="auto"/>
          <w:sz w:val="28"/>
          <w:szCs w:val="28"/>
          <w:highlight w:val="none"/>
          <w:lang w:eastAsia="zh-CN"/>
        </w:rPr>
        <w:t>工作开展情况</w:t>
      </w:r>
      <w:bookmarkEnd w:id="18"/>
      <w:bookmarkEnd w:id="19"/>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0" w:name="_Toc10065"/>
      <w:bookmarkStart w:id="21" w:name="_Toc7852"/>
      <w:bookmarkStart w:id="22" w:name="_Toc29399"/>
      <w:r>
        <w:rPr>
          <w:rFonts w:hint="eastAsia" w:ascii="仿宋" w:hAnsi="仿宋" w:eastAsia="仿宋" w:cs="仿宋"/>
          <w:color w:val="auto"/>
          <w:sz w:val="28"/>
          <w:szCs w:val="28"/>
          <w:highlight w:val="none"/>
        </w:rPr>
        <w:t>（一）评价目的</w:t>
      </w:r>
      <w:bookmarkEnd w:id="20"/>
      <w:bookmarkEnd w:id="21"/>
      <w:bookmarkEnd w:id="22"/>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过运用科学、规范、合理的评价方法、评价指标和评分标准，对财政资金的分配、管理、使用、产出及效果等进行客观、公正的测量、分析和评判，评价绩效水平，发现存在问题，并分析问题成因，提出改进工作的意见和建议，为下一步财政投入和政策支持提供重要参考依据，强化支出责任和效率意识。</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3" w:name="_Toc15825"/>
      <w:bookmarkStart w:id="24" w:name="_Toc15857"/>
      <w:bookmarkStart w:id="25" w:name="_Toc20897"/>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评价过程</w:t>
      </w:r>
      <w:bookmarkEnd w:id="23"/>
      <w:bookmarkEnd w:id="24"/>
      <w:bookmarkEnd w:id="25"/>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1.前期准备</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接受委托后，项目负责人与委托方进行深入交流并仔细研究有关评价依据，开展项目前期调研，明确绩效评价思路和评价重点等内容，组织制定评价方案及指标体系，组织对项目组的培训。</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2.书面评审</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对自评材料进行书面评审，重点检查自评材料完成质量和财政资金使用绩效。</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3.现场评价</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审核分析被评价单位提交的相关材料后，根据被评价项目特点结合书面评审的情况抽点进行现场核查。</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4.综合评价</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根据书面评审、现场核查等情况，对</w:t>
      </w:r>
      <w:r>
        <w:rPr>
          <w:rFonts w:hint="eastAsia" w:ascii="仿宋" w:hAnsi="仿宋" w:eastAsia="仿宋" w:cs="仿宋"/>
          <w:color w:val="auto"/>
          <w:sz w:val="28"/>
          <w:szCs w:val="28"/>
          <w:highlight w:val="none"/>
          <w:lang w:eastAsia="zh-CN"/>
        </w:rPr>
        <w:t>评价对象</w:t>
      </w:r>
      <w:r>
        <w:rPr>
          <w:rFonts w:hint="eastAsia" w:ascii="仿宋" w:hAnsi="仿宋" w:eastAsia="仿宋" w:cs="仿宋"/>
          <w:color w:val="auto"/>
          <w:sz w:val="28"/>
          <w:szCs w:val="28"/>
          <w:highlight w:val="none"/>
        </w:rPr>
        <w:t>作出综合分析。</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5.撰写报告</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（1）完成评价报告初稿。根据综合评价结果，撰写评价分析报告，报告撰写的内容包括被评价对象的概述、评价指标分析、项目实施效果和存在问题及建议等。</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（2）征求意见。报告初稿征求被评价单位意见。</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（3）形成正式评价报告。根据被评价单位反馈意见，诚安信根据实际情况修订，经专家评审验收后提交正式报告。</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rPr>
      </w:pPr>
      <w:bookmarkStart w:id="26" w:name="_Toc19922"/>
      <w:bookmarkStart w:id="27" w:name="_Toc22988"/>
      <w:bookmarkStart w:id="28" w:name="_Toc19029"/>
      <w:r>
        <w:rPr>
          <w:rFonts w:hint="eastAsia" w:ascii="仿宋" w:hAnsi="仿宋" w:eastAsia="仿宋" w:cs="仿宋"/>
          <w:color w:val="auto"/>
          <w:sz w:val="28"/>
          <w:szCs w:val="28"/>
          <w:highlight w:val="none"/>
        </w:rPr>
        <w:t>（三）评价原则和方法</w:t>
      </w:r>
      <w:bookmarkEnd w:id="26"/>
      <w:bookmarkEnd w:id="27"/>
      <w:bookmarkEnd w:id="28"/>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本次评价基于项目的“经济性、效率性和有效性”，主要考虑</w:t>
      </w:r>
      <w:r>
        <w:rPr>
          <w:rFonts w:hint="eastAsia" w:ascii="仿宋" w:hAnsi="仿宋" w:eastAsia="仿宋" w:cs="仿宋"/>
          <w:color w:val="auto"/>
          <w:sz w:val="28"/>
          <w:szCs w:val="28"/>
          <w:highlight w:val="none"/>
          <w:lang w:eastAsia="zh-CN"/>
        </w:rPr>
        <w:t>的原则，</w:t>
      </w:r>
      <w:r>
        <w:rPr>
          <w:rFonts w:hint="eastAsia" w:ascii="仿宋" w:hAnsi="仿宋" w:eastAsia="仿宋" w:cs="仿宋"/>
          <w:color w:val="auto"/>
          <w:sz w:val="28"/>
          <w:szCs w:val="28"/>
          <w:highlight w:val="none"/>
        </w:rPr>
        <w:t>一是定性与定量分析相结合；二是实施过程与结果评价相结合；三是真实性与规范性</w:t>
      </w:r>
      <w:r>
        <w:rPr>
          <w:rFonts w:hint="eastAsia" w:ascii="仿宋" w:hAnsi="仿宋" w:eastAsia="仿宋" w:cs="仿宋"/>
          <w:color w:val="auto"/>
          <w:sz w:val="28"/>
          <w:szCs w:val="28"/>
          <w:highlight w:val="none"/>
          <w:lang w:eastAsia="zh-CN"/>
        </w:rPr>
        <w:t>相</w:t>
      </w:r>
      <w:r>
        <w:rPr>
          <w:rFonts w:hint="eastAsia" w:ascii="仿宋" w:hAnsi="仿宋" w:eastAsia="仿宋" w:cs="仿宋"/>
          <w:color w:val="auto"/>
          <w:sz w:val="28"/>
          <w:szCs w:val="28"/>
          <w:highlight w:val="none"/>
        </w:rPr>
        <w:t>结合</w:t>
      </w:r>
      <w:r>
        <w:rPr>
          <w:rFonts w:hint="eastAsia" w:ascii="仿宋" w:hAnsi="仿宋" w:eastAsia="仿宋" w:cs="仿宋"/>
          <w:color w:val="auto"/>
          <w:sz w:val="28"/>
          <w:szCs w:val="28"/>
          <w:highlight w:val="none"/>
          <w:lang w:eastAsia="zh-CN"/>
        </w:rPr>
        <w:t>等原则</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项目评价基准日为</w:t>
      </w:r>
      <w:r>
        <w:rPr>
          <w:rFonts w:hint="eastAsia" w:ascii="仿宋" w:hAnsi="仿宋" w:eastAsia="仿宋" w:cs="仿宋"/>
          <w:color w:val="auto"/>
          <w:sz w:val="28"/>
          <w:szCs w:val="28"/>
          <w:highlight w:val="none"/>
          <w:lang w:val="en-US" w:eastAsia="zh-CN"/>
        </w:rPr>
        <w:t>2022年12</w:t>
      </w:r>
      <w:r>
        <w:rPr>
          <w:rFonts w:hint="eastAsia" w:ascii="仿宋" w:hAnsi="仿宋" w:eastAsia="仿宋" w:cs="仿宋"/>
          <w:color w:val="auto"/>
          <w:sz w:val="28"/>
          <w:szCs w:val="28"/>
          <w:highlight w:val="none"/>
        </w:rPr>
        <w:t>月31日。</w:t>
      </w:r>
      <w:bookmarkStart w:id="29" w:name="bookmark68"/>
      <w:bookmarkEnd w:id="29"/>
    </w:p>
    <w:p>
      <w:pPr>
        <w:keepNext w:val="0"/>
        <w:keepLines w:val="0"/>
        <w:pageBreakBefore w:val="0"/>
        <w:kinsoku/>
        <w:wordWrap/>
        <w:overflowPunct/>
        <w:topLinePunct w:val="0"/>
        <w:autoSpaceDE/>
        <w:autoSpaceDN/>
        <w:bidi w:val="0"/>
        <w:adjustRightInd/>
        <w:snapToGrid w:val="0"/>
        <w:spacing w:line="560" w:lineRule="exact"/>
        <w:ind w:firstLine="562" w:firstLineChars="200"/>
        <w:jc w:val="both"/>
        <w:textAlignment w:val="auto"/>
        <w:outlineLvl w:val="0"/>
        <w:rPr>
          <w:rFonts w:hint="eastAsia" w:ascii="仿宋" w:hAnsi="仿宋" w:eastAsia="仿宋" w:cs="仿宋"/>
          <w:b/>
          <w:bCs/>
          <w:color w:val="auto"/>
          <w:sz w:val="28"/>
          <w:szCs w:val="28"/>
          <w:highlight w:val="none"/>
          <w:lang w:val="en-US" w:eastAsia="zh-CN"/>
        </w:rPr>
      </w:pPr>
      <w:bookmarkStart w:id="30" w:name="_Toc1218"/>
      <w:bookmarkStart w:id="31" w:name="_Toc2101"/>
      <w:r>
        <w:rPr>
          <w:rFonts w:hint="eastAsia" w:ascii="仿宋" w:hAnsi="仿宋" w:eastAsia="仿宋" w:cs="仿宋"/>
          <w:b/>
          <w:bCs/>
          <w:color w:val="auto"/>
          <w:sz w:val="28"/>
          <w:szCs w:val="28"/>
          <w:highlight w:val="none"/>
          <w:lang w:eastAsia="zh-CN"/>
        </w:rPr>
        <w:t>三、评价结论与绩效分析</w:t>
      </w:r>
      <w:bookmarkEnd w:id="30"/>
      <w:bookmarkEnd w:id="31"/>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outlineLvl w:val="1"/>
        <w:rPr>
          <w:rFonts w:hint="eastAsia" w:ascii="仿宋" w:hAnsi="仿宋" w:eastAsia="仿宋" w:cs="仿宋"/>
          <w:color w:val="auto"/>
          <w:sz w:val="28"/>
          <w:szCs w:val="28"/>
          <w:highlight w:val="none"/>
          <w:lang w:val="en-US" w:eastAsia="zh-CN"/>
        </w:rPr>
      </w:pPr>
      <w:bookmarkStart w:id="32" w:name="_Toc8773"/>
      <w:bookmarkStart w:id="33" w:name="_Toc719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bookmarkStart w:id="34" w:name="bookmark65"/>
      <w:bookmarkEnd w:id="34"/>
      <w:r>
        <w:rPr>
          <w:rFonts w:hint="eastAsia" w:ascii="仿宋" w:hAnsi="仿宋" w:eastAsia="仿宋" w:cs="仿宋"/>
          <w:color w:val="auto"/>
          <w:sz w:val="28"/>
          <w:szCs w:val="28"/>
          <w:highlight w:val="none"/>
          <w:lang w:eastAsia="zh-CN"/>
        </w:rPr>
        <w:t>评价结论</w:t>
      </w:r>
      <w:bookmarkEnd w:id="32"/>
      <w:bookmarkEnd w:id="33"/>
    </w:p>
    <w:p>
      <w:pPr>
        <w:keepNext w:val="0"/>
        <w:keepLines w:val="0"/>
        <w:pageBreakBefore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绩效评价结果设置为5个等级，分别为：优（90≤X≤100分）、良（80≤X＜90分）、中（70≤X＜80分）、低（60≤X＜70分）、差（0≤X＜60分）。</w:t>
      </w:r>
      <w:r>
        <w:rPr>
          <w:rFonts w:hint="eastAsia" w:ascii="仿宋" w:hAnsi="仿宋" w:eastAsia="仿宋" w:cs="仿宋"/>
          <w:color w:val="auto"/>
          <w:sz w:val="28"/>
          <w:szCs w:val="28"/>
          <w:highlight w:val="none"/>
          <w:lang w:val="en-US" w:eastAsia="zh-CN"/>
        </w:rPr>
        <w:t>详见</w:t>
      </w:r>
      <w:r>
        <w:rPr>
          <w:rFonts w:hint="eastAsia" w:ascii="仿宋" w:hAnsi="仿宋" w:eastAsia="仿宋" w:cs="仿宋"/>
          <w:color w:val="auto"/>
          <w:sz w:val="28"/>
          <w:szCs w:val="28"/>
          <w:highlight w:val="none"/>
          <w:lang w:eastAsia="zh-CN"/>
        </w:rPr>
        <w:t>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1：</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表</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lang w:val="zh-TW" w:eastAsia="zh-TW"/>
        </w:rPr>
        <w:t>1 绩效评价结果等级划分标准</w:t>
      </w:r>
    </w:p>
    <w:tbl>
      <w:tblPr>
        <w:tblStyle w:val="12"/>
        <w:tblW w:w="4889" w:type="pct"/>
        <w:jc w:val="center"/>
        <w:tblLayout w:type="autofit"/>
        <w:tblCellMar>
          <w:top w:w="0" w:type="dxa"/>
          <w:left w:w="10" w:type="dxa"/>
          <w:bottom w:w="0" w:type="dxa"/>
          <w:right w:w="10" w:type="dxa"/>
        </w:tblCellMar>
      </w:tblPr>
      <w:tblGrid>
        <w:gridCol w:w="1074"/>
        <w:gridCol w:w="3859"/>
        <w:gridCol w:w="3402"/>
      </w:tblGrid>
      <w:tr>
        <w:tblPrEx>
          <w:tblCellMar>
            <w:top w:w="0" w:type="dxa"/>
            <w:left w:w="10" w:type="dxa"/>
            <w:bottom w:w="0" w:type="dxa"/>
            <w:right w:w="10" w:type="dxa"/>
          </w:tblCellMar>
        </w:tblPrEx>
        <w:trPr>
          <w:trHeight w:val="475" w:hRule="exact"/>
          <w:tblHeader/>
          <w:jc w:val="center"/>
        </w:trPr>
        <w:tc>
          <w:tcPr>
            <w:tcW w:w="644"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序号</w:t>
            </w:r>
          </w:p>
        </w:tc>
        <w:tc>
          <w:tcPr>
            <w:tcW w:w="2315"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绩效评价分值</w:t>
            </w:r>
          </w:p>
        </w:tc>
        <w:tc>
          <w:tcPr>
            <w:tcW w:w="2041" w:type="pct"/>
            <w:tcBorders>
              <w:top w:val="single" w:color="auto" w:sz="4" w:space="0"/>
              <w:left w:val="single" w:color="auto" w:sz="4" w:space="0"/>
              <w:righ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绩效评价结果等级</w:t>
            </w:r>
          </w:p>
        </w:tc>
      </w:tr>
      <w:tr>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1</w:t>
            </w:r>
          </w:p>
        </w:tc>
        <w:tc>
          <w:tcPr>
            <w:tcW w:w="2315"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90≤X≤100分</w:t>
            </w:r>
          </w:p>
        </w:tc>
        <w:tc>
          <w:tcPr>
            <w:tcW w:w="2041" w:type="pct"/>
            <w:tcBorders>
              <w:top w:val="single" w:color="auto" w:sz="4" w:space="0"/>
              <w:left w:val="single" w:color="auto" w:sz="4" w:space="0"/>
              <w:righ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优</w:t>
            </w:r>
          </w:p>
        </w:tc>
      </w:tr>
      <w:tr>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2</w:t>
            </w:r>
          </w:p>
        </w:tc>
        <w:tc>
          <w:tcPr>
            <w:tcW w:w="2315"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80≤X＜90分</w:t>
            </w:r>
          </w:p>
        </w:tc>
        <w:tc>
          <w:tcPr>
            <w:tcW w:w="2041" w:type="pct"/>
            <w:tcBorders>
              <w:top w:val="single" w:color="auto" w:sz="4" w:space="0"/>
              <w:left w:val="single" w:color="auto" w:sz="4" w:space="0"/>
              <w:righ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良</w:t>
            </w:r>
          </w:p>
        </w:tc>
      </w:tr>
      <w:tr>
        <w:tblPrEx>
          <w:tblCellMar>
            <w:top w:w="0" w:type="dxa"/>
            <w:left w:w="10" w:type="dxa"/>
            <w:bottom w:w="0" w:type="dxa"/>
            <w:right w:w="10" w:type="dxa"/>
          </w:tblCellMar>
        </w:tblPrEx>
        <w:trPr>
          <w:trHeight w:val="461" w:hRule="exact"/>
          <w:jc w:val="center"/>
        </w:trPr>
        <w:tc>
          <w:tcPr>
            <w:tcW w:w="644"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3</w:t>
            </w:r>
          </w:p>
        </w:tc>
        <w:tc>
          <w:tcPr>
            <w:tcW w:w="2315"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70≤X＜80分</w:t>
            </w:r>
          </w:p>
        </w:tc>
        <w:tc>
          <w:tcPr>
            <w:tcW w:w="2041" w:type="pct"/>
            <w:tcBorders>
              <w:top w:val="single" w:color="auto" w:sz="4" w:space="0"/>
              <w:left w:val="single" w:color="auto" w:sz="4" w:space="0"/>
              <w:righ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中</w:t>
            </w:r>
          </w:p>
        </w:tc>
      </w:tr>
      <w:tr>
        <w:tblPrEx>
          <w:tblCellMar>
            <w:top w:w="0" w:type="dxa"/>
            <w:left w:w="10" w:type="dxa"/>
            <w:bottom w:w="0" w:type="dxa"/>
            <w:right w:w="10" w:type="dxa"/>
          </w:tblCellMar>
        </w:tblPrEx>
        <w:trPr>
          <w:trHeight w:val="456" w:hRule="exact"/>
          <w:jc w:val="center"/>
        </w:trPr>
        <w:tc>
          <w:tcPr>
            <w:tcW w:w="644"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4</w:t>
            </w:r>
          </w:p>
        </w:tc>
        <w:tc>
          <w:tcPr>
            <w:tcW w:w="2315" w:type="pct"/>
            <w:tcBorders>
              <w:top w:val="single" w:color="auto" w:sz="4" w:space="0"/>
              <w:lef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60≤X＜70分</w:t>
            </w:r>
          </w:p>
        </w:tc>
        <w:tc>
          <w:tcPr>
            <w:tcW w:w="2041" w:type="pct"/>
            <w:tcBorders>
              <w:top w:val="single" w:color="auto" w:sz="4" w:space="0"/>
              <w:left w:val="single" w:color="auto" w:sz="4" w:space="0"/>
              <w:righ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低</w:t>
            </w:r>
          </w:p>
        </w:tc>
      </w:tr>
      <w:tr>
        <w:tblPrEx>
          <w:tblCellMar>
            <w:top w:w="0" w:type="dxa"/>
            <w:left w:w="10" w:type="dxa"/>
            <w:bottom w:w="0" w:type="dxa"/>
            <w:right w:w="10" w:type="dxa"/>
          </w:tblCellMar>
        </w:tblPrEx>
        <w:trPr>
          <w:trHeight w:val="475" w:hRule="exact"/>
          <w:jc w:val="center"/>
        </w:trPr>
        <w:tc>
          <w:tcPr>
            <w:tcW w:w="644" w:type="pct"/>
            <w:tcBorders>
              <w:top w:val="single" w:color="auto" w:sz="4" w:space="0"/>
              <w:left w:val="single" w:color="auto" w:sz="4" w:space="0"/>
              <w:bottom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5</w:t>
            </w:r>
          </w:p>
        </w:tc>
        <w:tc>
          <w:tcPr>
            <w:tcW w:w="2315" w:type="pct"/>
            <w:tcBorders>
              <w:top w:val="single" w:color="auto" w:sz="4" w:space="0"/>
              <w:left w:val="single" w:color="auto" w:sz="4" w:space="0"/>
              <w:bottom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0≤X＜60分</w:t>
            </w:r>
          </w:p>
        </w:tc>
        <w:tc>
          <w:tcPr>
            <w:tcW w:w="2041"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差</w:t>
            </w:r>
          </w:p>
        </w:tc>
      </w:tr>
    </w:tbl>
    <w:p>
      <w:pPr>
        <w:pStyle w:val="33"/>
        <w:keepNext w:val="0"/>
        <w:keepLines w:val="0"/>
        <w:pageBreakBefore w:val="0"/>
        <w:widowControl w:val="0"/>
        <w:shd w:val="clear" w:color="auto" w:fill="auto"/>
        <w:kinsoku/>
        <w:wordWrap/>
        <w:overflowPunct/>
        <w:topLinePunct w:val="0"/>
        <w:autoSpaceDE/>
        <w:autoSpaceDN/>
        <w:bidi w:val="0"/>
        <w:adjustRightInd/>
        <w:spacing w:before="0" w:after="0" w:line="560" w:lineRule="exact"/>
        <w:ind w:left="0" w:right="0" w:firstLine="0"/>
        <w:jc w:val="left"/>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lang w:val="en-US" w:eastAsia="zh-CN"/>
        </w:rPr>
        <w:t>依据既定的指标体系和评分标准，结合</w:t>
      </w:r>
      <w:r>
        <w:rPr>
          <w:rFonts w:hint="eastAsia" w:ascii="仿宋" w:hAnsi="仿宋" w:eastAsia="仿宋" w:cs="仿宋"/>
          <w:color w:val="auto"/>
          <w:sz w:val="28"/>
          <w:szCs w:val="28"/>
          <w:highlight w:val="none"/>
          <w:lang w:val="en-US" w:eastAsia="zh-CN"/>
        </w:rPr>
        <w:t>雷州市市场监督管理局</w:t>
      </w:r>
      <w:r>
        <w:rPr>
          <w:rFonts w:hint="default" w:ascii="仿宋" w:hAnsi="仿宋" w:eastAsia="仿宋" w:cs="仿宋"/>
          <w:color w:val="auto"/>
          <w:sz w:val="28"/>
          <w:szCs w:val="28"/>
          <w:highlight w:val="none"/>
          <w:lang w:val="en-US" w:eastAsia="zh-CN"/>
        </w:rPr>
        <w:t>提交的自评材料及现场核验的评价结果，</w:t>
      </w:r>
      <w:r>
        <w:rPr>
          <w:rFonts w:hint="eastAsia" w:ascii="仿宋" w:hAnsi="仿宋" w:eastAsia="仿宋" w:cs="仿宋"/>
          <w:color w:val="auto"/>
          <w:sz w:val="28"/>
          <w:szCs w:val="28"/>
          <w:highlight w:val="none"/>
          <w:lang w:val="en-US" w:eastAsia="zh-CN"/>
        </w:rPr>
        <w:t>2022年部门整体支出绩效</w:t>
      </w:r>
      <w:r>
        <w:rPr>
          <w:rFonts w:hint="default" w:ascii="仿宋" w:hAnsi="仿宋" w:eastAsia="仿宋" w:cs="仿宋"/>
          <w:color w:val="auto"/>
          <w:sz w:val="28"/>
          <w:szCs w:val="28"/>
          <w:highlight w:val="none"/>
          <w:lang w:val="en-US" w:eastAsia="zh-CN"/>
        </w:rPr>
        <w:t>评价得分为</w:t>
      </w:r>
      <w:r>
        <w:rPr>
          <w:rFonts w:hint="eastAsia" w:ascii="仿宋" w:hAnsi="仿宋" w:eastAsia="仿宋" w:cs="仿宋"/>
          <w:color w:val="auto"/>
          <w:sz w:val="28"/>
          <w:szCs w:val="28"/>
          <w:highlight w:val="none"/>
          <w:lang w:val="en-US" w:eastAsia="zh-CN"/>
        </w:rPr>
        <w:t>90.70</w:t>
      </w:r>
      <w:r>
        <w:rPr>
          <w:rFonts w:hint="default" w:ascii="仿宋" w:hAnsi="仿宋" w:eastAsia="仿宋" w:cs="仿宋"/>
          <w:color w:val="auto"/>
          <w:sz w:val="28"/>
          <w:szCs w:val="28"/>
          <w:highlight w:val="none"/>
          <w:lang w:val="en-US" w:eastAsia="zh-CN"/>
        </w:rPr>
        <w:t>分，等级为</w:t>
      </w:r>
      <w:r>
        <w:rPr>
          <w:rFonts w:hint="eastAsia" w:ascii="仿宋" w:hAnsi="仿宋" w:eastAsia="仿宋" w:cs="仿宋"/>
          <w:color w:val="auto"/>
          <w:sz w:val="28"/>
          <w:szCs w:val="28"/>
          <w:highlight w:val="none"/>
          <w:lang w:val="en-US" w:eastAsia="zh-CN"/>
        </w:rPr>
        <w:t>优</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详见表3-2：</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rPr>
      </w:pPr>
      <w:bookmarkStart w:id="35" w:name="_Toc1778"/>
      <w:bookmarkStart w:id="36" w:name="bookmark54"/>
      <w:bookmarkStart w:id="37" w:name="_Toc4575"/>
      <w:bookmarkStart w:id="38" w:name="bookmark56"/>
      <w:bookmarkStart w:id="39" w:name="bookmark55"/>
      <w:r>
        <w:rPr>
          <w:rFonts w:hint="eastAsia" w:ascii="仿宋" w:hAnsi="仿宋" w:eastAsia="仿宋" w:cs="仿宋"/>
          <w:b/>
          <w:bCs/>
          <w:color w:val="auto"/>
          <w:sz w:val="28"/>
          <w:szCs w:val="28"/>
          <w:highlight w:val="none"/>
          <w:lang w:val="en-US" w:eastAsia="zh-CN"/>
        </w:rPr>
        <w:t>表3-2 部门整体支出绩效</w:t>
      </w:r>
      <w:r>
        <w:rPr>
          <w:rFonts w:hint="eastAsia" w:ascii="仿宋" w:hAnsi="仿宋" w:eastAsia="仿宋" w:cs="仿宋"/>
          <w:b/>
          <w:bCs/>
          <w:color w:val="auto"/>
          <w:sz w:val="28"/>
          <w:szCs w:val="28"/>
          <w:highlight w:val="none"/>
        </w:rPr>
        <w:t>评价</w:t>
      </w:r>
      <w:r>
        <w:rPr>
          <w:rFonts w:hint="eastAsia" w:ascii="仿宋" w:hAnsi="仿宋" w:eastAsia="仿宋" w:cs="仿宋"/>
          <w:b/>
          <w:bCs/>
          <w:color w:val="auto"/>
          <w:sz w:val="28"/>
          <w:szCs w:val="28"/>
          <w:highlight w:val="none"/>
          <w:lang w:eastAsia="zh-CN"/>
        </w:rPr>
        <w:t>评分汇</w:t>
      </w:r>
      <w:r>
        <w:rPr>
          <w:rFonts w:hint="eastAsia" w:ascii="仿宋" w:hAnsi="仿宋" w:eastAsia="仿宋" w:cs="仿宋"/>
          <w:b/>
          <w:bCs/>
          <w:color w:val="auto"/>
          <w:sz w:val="28"/>
          <w:szCs w:val="28"/>
          <w:highlight w:val="none"/>
        </w:rPr>
        <w:t>总表</w:t>
      </w:r>
      <w:bookmarkEnd w:id="35"/>
      <w:bookmarkEnd w:id="36"/>
      <w:bookmarkEnd w:id="37"/>
      <w:bookmarkEnd w:id="38"/>
      <w:bookmarkEnd w:id="39"/>
    </w:p>
    <w:tbl>
      <w:tblPr>
        <w:tblStyle w:val="12"/>
        <w:tblW w:w="4997" w:type="pct"/>
        <w:jc w:val="center"/>
        <w:tblLayout w:type="autofit"/>
        <w:tblCellMar>
          <w:top w:w="0" w:type="dxa"/>
          <w:left w:w="10" w:type="dxa"/>
          <w:bottom w:w="0" w:type="dxa"/>
          <w:right w:w="10" w:type="dxa"/>
        </w:tblCellMar>
      </w:tblPr>
      <w:tblGrid>
        <w:gridCol w:w="2136"/>
        <w:gridCol w:w="2125"/>
        <w:gridCol w:w="2125"/>
        <w:gridCol w:w="2133"/>
      </w:tblGrid>
      <w:tr>
        <w:tblPrEx>
          <w:tblCellMar>
            <w:top w:w="0" w:type="dxa"/>
            <w:left w:w="10" w:type="dxa"/>
            <w:bottom w:w="0" w:type="dxa"/>
            <w:right w:w="10" w:type="dxa"/>
          </w:tblCellMar>
        </w:tblPrEx>
        <w:trPr>
          <w:trHeight w:val="475" w:hRule="exact"/>
          <w:tblHeader/>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一级指标</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指标分值</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评价得分</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sz w:val="24"/>
                <w:szCs w:val="24"/>
                <w:highlight w:val="none"/>
                <w:lang w:eastAsia="zh-CN"/>
              </w:rPr>
            </w:pPr>
            <w:r>
              <w:rPr>
                <w:rFonts w:hint="default" w:ascii="仿宋" w:hAnsi="仿宋" w:eastAsia="仿宋" w:cs="仿宋"/>
                <w:b/>
                <w:bCs/>
                <w:i w:val="0"/>
                <w:iCs w:val="0"/>
                <w:color w:val="000000"/>
                <w:kern w:val="0"/>
                <w:sz w:val="24"/>
                <w:szCs w:val="24"/>
                <w:highlight w:val="none"/>
                <w:u w:val="none"/>
                <w:lang w:val="en-US" w:eastAsia="zh-CN" w:bidi="ar"/>
              </w:rPr>
              <w:t>得分率</w:t>
            </w:r>
          </w:p>
        </w:tc>
      </w:tr>
      <w:tr>
        <w:tblPrEx>
          <w:tblCellMar>
            <w:top w:w="0" w:type="dxa"/>
            <w:left w:w="10" w:type="dxa"/>
            <w:bottom w:w="0" w:type="dxa"/>
            <w:right w:w="10" w:type="dxa"/>
          </w:tblCellMar>
        </w:tblPrEx>
        <w:trPr>
          <w:trHeight w:val="461"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spacing w:val="0"/>
                <w:w w:val="100"/>
                <w:position w:val="0"/>
                <w:sz w:val="24"/>
                <w:szCs w:val="24"/>
                <w:highlight w:val="none"/>
              </w:rPr>
            </w:pPr>
            <w:r>
              <w:rPr>
                <w:rFonts w:hint="default" w:ascii="仿宋" w:hAnsi="仿宋" w:eastAsia="仿宋" w:cs="仿宋"/>
                <w:i w:val="0"/>
                <w:iCs w:val="0"/>
                <w:color w:val="000000"/>
                <w:kern w:val="0"/>
                <w:sz w:val="24"/>
                <w:szCs w:val="24"/>
                <w:highlight w:val="none"/>
                <w:u w:val="none"/>
                <w:lang w:val="en-US" w:eastAsia="zh-CN" w:bidi="ar"/>
              </w:rPr>
              <w:t>预算编制情况</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23.00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19.70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85.65%</w:t>
            </w:r>
          </w:p>
        </w:tc>
      </w:tr>
      <w:tr>
        <w:tblPrEx>
          <w:tblCellMar>
            <w:top w:w="0" w:type="dxa"/>
            <w:left w:w="10" w:type="dxa"/>
            <w:bottom w:w="0" w:type="dxa"/>
            <w:right w:w="10" w:type="dxa"/>
          </w:tblCellMar>
        </w:tblPrEx>
        <w:trPr>
          <w:trHeight w:val="461"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default" w:ascii="仿宋" w:hAnsi="仿宋" w:eastAsia="仿宋" w:cs="仿宋"/>
                <w:i w:val="0"/>
                <w:iCs w:val="0"/>
                <w:color w:val="000000"/>
                <w:kern w:val="0"/>
                <w:sz w:val="24"/>
                <w:szCs w:val="24"/>
                <w:highlight w:val="none"/>
                <w:u w:val="none"/>
                <w:lang w:val="en-US" w:eastAsia="zh-CN" w:bidi="ar"/>
              </w:rPr>
              <w:t>预算执行情况</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43.00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41.00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95.35%</w:t>
            </w:r>
          </w:p>
        </w:tc>
      </w:tr>
      <w:tr>
        <w:tblPrEx>
          <w:tblCellMar>
            <w:top w:w="0" w:type="dxa"/>
            <w:left w:w="10" w:type="dxa"/>
            <w:bottom w:w="0" w:type="dxa"/>
            <w:right w:w="10" w:type="dxa"/>
          </w:tblCellMar>
        </w:tblPrEx>
        <w:trPr>
          <w:trHeight w:val="456"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default" w:ascii="仿宋" w:hAnsi="仿宋" w:eastAsia="仿宋" w:cs="仿宋"/>
                <w:i w:val="0"/>
                <w:iCs w:val="0"/>
                <w:color w:val="000000"/>
                <w:kern w:val="0"/>
                <w:sz w:val="24"/>
                <w:szCs w:val="24"/>
                <w:highlight w:val="none"/>
                <w:u w:val="none"/>
                <w:lang w:val="en-US" w:eastAsia="zh-CN" w:bidi="ar"/>
              </w:rPr>
              <w:t>预算使用效益</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34.00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30.00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88.24%</w:t>
            </w:r>
          </w:p>
        </w:tc>
      </w:tr>
      <w:tr>
        <w:tblPrEx>
          <w:tblCellMar>
            <w:top w:w="0" w:type="dxa"/>
            <w:left w:w="10" w:type="dxa"/>
            <w:bottom w:w="0" w:type="dxa"/>
            <w:right w:w="10" w:type="dxa"/>
          </w:tblCellMar>
        </w:tblPrEx>
        <w:trPr>
          <w:trHeight w:val="475"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color w:val="000000"/>
                <w:spacing w:val="0"/>
                <w:w w:val="100"/>
                <w:position w:val="0"/>
                <w:sz w:val="24"/>
                <w:szCs w:val="24"/>
                <w:highlight w:val="none"/>
                <w:lang w:eastAsia="zh-CN"/>
              </w:rPr>
            </w:pPr>
            <w:r>
              <w:rPr>
                <w:rFonts w:hint="default" w:ascii="仿宋" w:hAnsi="仿宋" w:eastAsia="仿宋" w:cs="仿宋"/>
                <w:i w:val="0"/>
                <w:iCs w:val="0"/>
                <w:color w:val="000000"/>
                <w:kern w:val="0"/>
                <w:sz w:val="24"/>
                <w:szCs w:val="24"/>
                <w:highlight w:val="none"/>
                <w:u w:val="none"/>
                <w:lang w:val="en-US" w:eastAsia="zh-CN" w:bidi="ar"/>
              </w:rPr>
              <w:t>加减分项</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color w:val="000000"/>
                <w:spacing w:val="0"/>
                <w:w w:val="100"/>
                <w:position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0.00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 xml:space="preserve">0.00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0.00%</w:t>
            </w:r>
          </w:p>
        </w:tc>
      </w:tr>
      <w:tr>
        <w:tblPrEx>
          <w:tblCellMar>
            <w:top w:w="0" w:type="dxa"/>
            <w:left w:w="10" w:type="dxa"/>
            <w:bottom w:w="0" w:type="dxa"/>
            <w:right w:w="10" w:type="dxa"/>
          </w:tblCellMar>
        </w:tblPrEx>
        <w:trPr>
          <w:trHeight w:val="475" w:hRule="exact"/>
          <w:jc w:val="center"/>
        </w:trPr>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color w:val="000000"/>
                <w:spacing w:val="0"/>
                <w:w w:val="100"/>
                <w:position w:val="0"/>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评价总得分</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color w:val="000000"/>
                <w:spacing w:val="0"/>
                <w:w w:val="100"/>
                <w:position w:val="0"/>
                <w:sz w:val="24"/>
                <w:szCs w:val="24"/>
                <w:highlight w:val="none"/>
              </w:rPr>
            </w:pPr>
            <w:r>
              <w:rPr>
                <w:rFonts w:hint="default" w:ascii="仿宋" w:hAnsi="仿宋" w:eastAsia="仿宋" w:cs="仿宋"/>
                <w:b/>
                <w:bCs/>
                <w:i w:val="0"/>
                <w:iCs w:val="0"/>
                <w:color w:val="000000"/>
                <w:kern w:val="0"/>
                <w:sz w:val="24"/>
                <w:szCs w:val="24"/>
                <w:highlight w:val="none"/>
                <w:u w:val="none"/>
                <w:lang w:val="en-US" w:eastAsia="zh-CN" w:bidi="ar"/>
              </w:rPr>
              <w:t xml:space="preserve">100.00 </w:t>
            </w:r>
          </w:p>
        </w:tc>
        <w:tc>
          <w:tcPr>
            <w:tcW w:w="21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sz w:val="24"/>
                <w:szCs w:val="24"/>
                <w:highlight w:val="none"/>
                <w:lang w:val="en-US" w:eastAsia="zh-CN"/>
              </w:rPr>
            </w:pPr>
            <w:r>
              <w:rPr>
                <w:rFonts w:hint="default" w:ascii="仿宋" w:hAnsi="仿宋" w:eastAsia="仿宋" w:cs="仿宋"/>
                <w:b/>
                <w:bCs/>
                <w:i w:val="0"/>
                <w:iCs w:val="0"/>
                <w:color w:val="000000"/>
                <w:kern w:val="0"/>
                <w:sz w:val="24"/>
                <w:szCs w:val="24"/>
                <w:highlight w:val="none"/>
                <w:u w:val="none"/>
                <w:lang w:val="en-US" w:eastAsia="zh-CN" w:bidi="ar"/>
              </w:rPr>
              <w:t xml:space="preserve">90.70 </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sz w:val="24"/>
                <w:szCs w:val="24"/>
                <w:highlight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90.70%</w:t>
            </w:r>
          </w:p>
        </w:tc>
      </w:tr>
    </w:tbl>
    <w:p>
      <w:pPr>
        <w:pStyle w:val="10"/>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outlineLvl w:val="1"/>
        <w:rPr>
          <w:rFonts w:hint="eastAsia" w:ascii="仿宋" w:hAnsi="仿宋" w:eastAsia="仿宋" w:cs="仿宋"/>
          <w:color w:val="auto"/>
          <w:sz w:val="28"/>
          <w:szCs w:val="28"/>
          <w:highlight w:val="none"/>
          <w:lang w:val="en-US" w:eastAsia="zh-CN"/>
        </w:rPr>
      </w:pPr>
      <w:bookmarkStart w:id="40" w:name="_Toc3606"/>
      <w:bookmarkStart w:id="41" w:name="_Toc7960"/>
      <w:r>
        <w:rPr>
          <w:rFonts w:hint="eastAsia" w:ascii="仿宋" w:hAnsi="仿宋" w:eastAsia="仿宋" w:cs="仿宋"/>
          <w:color w:val="auto"/>
          <w:sz w:val="28"/>
          <w:szCs w:val="28"/>
          <w:highlight w:val="none"/>
          <w:lang w:val="en-US" w:eastAsia="zh-CN"/>
        </w:rPr>
        <w:t>（二）</w:t>
      </w:r>
      <w:bookmarkStart w:id="42" w:name="bookmark67"/>
      <w:bookmarkEnd w:id="42"/>
      <w:r>
        <w:rPr>
          <w:rFonts w:hint="eastAsia" w:ascii="仿宋" w:hAnsi="仿宋" w:eastAsia="仿宋" w:cs="仿宋"/>
          <w:color w:val="auto"/>
          <w:sz w:val="28"/>
          <w:szCs w:val="28"/>
          <w:highlight w:val="none"/>
          <w:lang w:val="en-US" w:eastAsia="zh-CN"/>
        </w:rPr>
        <w:t>绩效分析</w:t>
      </w:r>
      <w:bookmarkEnd w:id="40"/>
      <w:bookmarkEnd w:id="41"/>
    </w:p>
    <w:p>
      <w:pPr>
        <w:pStyle w:val="10"/>
        <w:keepNext w:val="0"/>
        <w:keepLines w:val="0"/>
        <w:pageBreakBefore w:val="0"/>
        <w:numPr>
          <w:ilvl w:val="0"/>
          <w:numId w:val="0"/>
        </w:numPr>
        <w:shd w:val="clea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预算编制情况</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该指标包含预算编制、目标设置</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23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19.70</w:t>
      </w:r>
      <w:r>
        <w:rPr>
          <w:rFonts w:hint="eastAsia" w:ascii="仿宋" w:hAnsi="仿宋" w:eastAsia="仿宋" w:cs="仿宋"/>
          <w:color w:val="auto"/>
          <w:kern w:val="2"/>
          <w:sz w:val="28"/>
          <w:szCs w:val="28"/>
          <w:highlight w:val="none"/>
          <w:lang w:eastAsia="zh-CN"/>
        </w:rPr>
        <w:t>分，得分情况详见表</w:t>
      </w:r>
      <w:r>
        <w:rPr>
          <w:rFonts w:hint="eastAsia" w:ascii="仿宋" w:hAnsi="仿宋" w:eastAsia="仿宋" w:cs="仿宋"/>
          <w:color w:val="auto"/>
          <w:kern w:val="2"/>
          <w:sz w:val="28"/>
          <w:szCs w:val="28"/>
          <w:highlight w:val="none"/>
          <w:lang w:val="en-US" w:eastAsia="zh-CN"/>
        </w:rPr>
        <w:t>3-3：</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表3-3 预算编制情况得分表</w:t>
      </w:r>
    </w:p>
    <w:tbl>
      <w:tblPr>
        <w:tblStyle w:val="12"/>
        <w:tblW w:w="4998" w:type="pct"/>
        <w:jc w:val="center"/>
        <w:tblLayout w:type="autofit"/>
        <w:tblCellMar>
          <w:top w:w="0" w:type="dxa"/>
          <w:left w:w="10" w:type="dxa"/>
          <w:bottom w:w="0" w:type="dxa"/>
          <w:right w:w="10" w:type="dxa"/>
        </w:tblCellMar>
      </w:tblPr>
      <w:tblGrid>
        <w:gridCol w:w="1735"/>
        <w:gridCol w:w="1519"/>
        <w:gridCol w:w="2844"/>
        <w:gridCol w:w="1260"/>
        <w:gridCol w:w="1163"/>
      </w:tblGrid>
      <w:tr>
        <w:tblPrEx>
          <w:tblCellMar>
            <w:top w:w="0" w:type="dxa"/>
            <w:left w:w="10" w:type="dxa"/>
            <w:bottom w:w="0" w:type="dxa"/>
            <w:right w:w="10" w:type="dxa"/>
          </w:tblCellMar>
        </w:tblPrEx>
        <w:trPr>
          <w:trHeight w:val="475" w:hRule="exact"/>
          <w:tblHeader/>
          <w:jc w:val="center"/>
        </w:trPr>
        <w:tc>
          <w:tcPr>
            <w:tcW w:w="1018"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一级指标</w:t>
            </w:r>
          </w:p>
        </w:tc>
        <w:tc>
          <w:tcPr>
            <w:tcW w:w="891"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二级指标</w:t>
            </w:r>
          </w:p>
        </w:tc>
        <w:tc>
          <w:tcPr>
            <w:tcW w:w="1667"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三级指标</w:t>
            </w:r>
          </w:p>
        </w:tc>
        <w:tc>
          <w:tcPr>
            <w:tcW w:w="739" w:type="pct"/>
            <w:tcBorders>
              <w:top w:val="single" w:color="auto" w:sz="4" w:space="0"/>
              <w:left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sz w:val="24"/>
                <w:szCs w:val="24"/>
                <w:highlight w:val="none"/>
                <w:lang w:eastAsia="zh-CN"/>
              </w:rPr>
            </w:pPr>
            <w:r>
              <w:rPr>
                <w:rFonts w:hint="eastAsia" w:ascii="仿宋" w:hAnsi="仿宋" w:eastAsia="仿宋" w:cs="仿宋"/>
                <w:b/>
                <w:bCs/>
                <w:color w:val="000000"/>
                <w:spacing w:val="0"/>
                <w:w w:val="100"/>
                <w:position w:val="0"/>
                <w:sz w:val="24"/>
                <w:szCs w:val="24"/>
                <w:highlight w:val="none"/>
              </w:rPr>
              <w:t>指标分值</w:t>
            </w:r>
          </w:p>
        </w:tc>
        <w:tc>
          <w:tcPr>
            <w:tcW w:w="682" w:type="pct"/>
            <w:tcBorders>
              <w:top w:val="single" w:color="auto" w:sz="4" w:space="0"/>
              <w:left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评价得分</w:t>
            </w:r>
          </w:p>
        </w:tc>
      </w:tr>
      <w:tr>
        <w:tblPrEx>
          <w:tblCellMar>
            <w:top w:w="0" w:type="dxa"/>
            <w:left w:w="10" w:type="dxa"/>
            <w:bottom w:w="0" w:type="dxa"/>
            <w:right w:w="10" w:type="dxa"/>
          </w:tblCellMar>
        </w:tblPrEx>
        <w:trPr>
          <w:trHeight w:val="461" w:hRule="exact"/>
          <w:jc w:val="center"/>
        </w:trPr>
        <w:tc>
          <w:tcPr>
            <w:tcW w:w="1018"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预算编制情况</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23分</w:t>
            </w:r>
            <w:r>
              <w:rPr>
                <w:rFonts w:hint="eastAsia" w:ascii="仿宋" w:hAnsi="仿宋" w:eastAsia="仿宋" w:cs="仿宋"/>
                <w:spacing w:val="-2"/>
                <w:sz w:val="24"/>
                <w:szCs w:val="24"/>
                <w:highlight w:val="none"/>
                <w:lang w:eastAsia="zh-CN"/>
              </w:rPr>
              <w:t>）</w:t>
            </w: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预算编制</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13分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预算编制合理性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4.8</w:t>
            </w:r>
          </w:p>
        </w:tc>
      </w:tr>
      <w:tr>
        <w:tblPrEx>
          <w:tblCellMar>
            <w:top w:w="0" w:type="dxa"/>
            <w:left w:w="10" w:type="dxa"/>
            <w:bottom w:w="0" w:type="dxa"/>
            <w:right w:w="10" w:type="dxa"/>
          </w:tblCellMar>
        </w:tblPrEx>
        <w:trPr>
          <w:trHeight w:val="631" w:hRule="exact"/>
          <w:jc w:val="center"/>
        </w:trPr>
        <w:tc>
          <w:tcPr>
            <w:tcW w:w="1018" w:type="pct"/>
            <w:vMerge w:val="continue"/>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财政拨款收入预决算差异率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3.5</w:t>
            </w:r>
          </w:p>
        </w:tc>
      </w:tr>
      <w:tr>
        <w:tblPrEx>
          <w:tblCellMar>
            <w:top w:w="0" w:type="dxa"/>
            <w:left w:w="10" w:type="dxa"/>
            <w:bottom w:w="0" w:type="dxa"/>
            <w:right w:w="10" w:type="dxa"/>
          </w:tblCellMar>
        </w:tblPrEx>
        <w:trPr>
          <w:trHeight w:val="461" w:hRule="exact"/>
          <w:jc w:val="center"/>
        </w:trPr>
        <w:tc>
          <w:tcPr>
            <w:tcW w:w="1018" w:type="pct"/>
            <w:vMerge w:val="continue"/>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提前下达率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0</w:t>
            </w:r>
          </w:p>
        </w:tc>
      </w:tr>
      <w:tr>
        <w:tblPrEx>
          <w:tblCellMar>
            <w:top w:w="0" w:type="dxa"/>
            <w:left w:w="10" w:type="dxa"/>
            <w:bottom w:w="0" w:type="dxa"/>
            <w:right w:w="10" w:type="dxa"/>
          </w:tblCellMar>
        </w:tblPrEx>
        <w:trPr>
          <w:trHeight w:val="456" w:hRule="exact"/>
          <w:jc w:val="center"/>
        </w:trPr>
        <w:tc>
          <w:tcPr>
            <w:tcW w:w="1018" w:type="pct"/>
            <w:vMerge w:val="continue"/>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目标设置</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10分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绩效目标合理性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r>
      <w:tr>
        <w:tblPrEx>
          <w:tblCellMar>
            <w:top w:w="0" w:type="dxa"/>
            <w:left w:w="10" w:type="dxa"/>
            <w:bottom w:w="0" w:type="dxa"/>
            <w:right w:w="10" w:type="dxa"/>
          </w:tblCellMar>
        </w:tblPrEx>
        <w:trPr>
          <w:trHeight w:val="475" w:hRule="exact"/>
          <w:jc w:val="center"/>
        </w:trPr>
        <w:tc>
          <w:tcPr>
            <w:tcW w:w="1018" w:type="pct"/>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绩效指标明确性</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5.4</w:t>
            </w:r>
          </w:p>
        </w:tc>
      </w:tr>
      <w:tr>
        <w:tblPrEx>
          <w:tblCellMar>
            <w:top w:w="0" w:type="dxa"/>
            <w:left w:w="10" w:type="dxa"/>
            <w:bottom w:w="0" w:type="dxa"/>
            <w:right w:w="10" w:type="dxa"/>
          </w:tblCellMar>
        </w:tblPrEx>
        <w:trPr>
          <w:trHeight w:val="475" w:hRule="exact"/>
          <w:jc w:val="center"/>
        </w:trPr>
        <w:tc>
          <w:tcPr>
            <w:tcW w:w="3577" w:type="pct"/>
            <w:gridSpan w:val="3"/>
            <w:tcBorders>
              <w:top w:val="single" w:color="auto" w:sz="4" w:space="0"/>
              <w:left w:val="single" w:color="auto" w:sz="4" w:space="0"/>
              <w:bottom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合计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23</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19.70</w:t>
            </w:r>
          </w:p>
        </w:tc>
      </w:tr>
    </w:tbl>
    <w:p>
      <w:pPr>
        <w:pStyle w:val="28"/>
        <w:keepNext w:val="0"/>
        <w:keepLines w:val="0"/>
        <w:pageBreakBefore w:val="0"/>
        <w:numPr>
          <w:ilvl w:val="0"/>
          <w:numId w:val="1"/>
        </w:numPr>
        <w:shd w:val="clear"/>
        <w:kinsoku/>
        <w:wordWrap/>
        <w:overflowPunct/>
        <w:topLinePunct w:val="0"/>
        <w:autoSpaceDE/>
        <w:autoSpaceDN/>
        <w:bidi w:val="0"/>
        <w:adjustRightInd/>
        <w:spacing w:line="560" w:lineRule="exact"/>
        <w:ind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预算编制(指标分值13分，评价得分8.30分)</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预算编制合理性（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4.80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部门预算编制、分配符合本部门职责、符合省委省政府方针政策和工作要求。部门预算资金能根据年度工作重点，在不同项目、不同用途之间分配合理的。专项资金编制细化程度合理，出现年中调剂导致部门预决算差异大的问题，如年初项目支出预算不含食品安全抽检经费299.20万元、明厨亮灶+互联网218.84万元、业务信息系统支撑保障经费31.82万元、食用农产品快检经费17万元，扣0.5分。功能分类和经济分类编制准确，年度有调剂事项，扣0.5分。部门预算分配不固化，能根据实际情况合理调整。综上，本指标得分4分。提前下达率指标的分值调整到预算编制合理性，指标得分按原标准评分后乘以1.2，预算编制合理性=4*1.2=4.8分。</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财政拨款收入预决算差异率（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3.50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财政拨款收入预决算差异率=（收入决算数-收入调整预算数）/收入调整预算数*100%=（2619.40-2725.96）/2725.96*100%=3.91%（取绝对值），扣0.5分。</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提前下达率（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无转移支付需提前下达的部门，该指标不考核，相应的分值平均调整至预算编制合理性、绩效目标合理性、绩效目标明确性。</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2" w:firstLineChars="200"/>
        <w:jc w:val="both"/>
        <w:textAlignment w:val="auto"/>
        <w:rPr>
          <w:rFonts w:hint="eastAsia" w:ascii="仿宋" w:hAnsi="仿宋" w:eastAsia="仿宋" w:cs="仿宋"/>
          <w:b/>
          <w:bCs/>
          <w:color w:val="auto"/>
          <w:kern w:val="2"/>
          <w:sz w:val="28"/>
          <w:szCs w:val="28"/>
          <w:highlight w:val="none"/>
          <w:lang w:eastAsia="zh-CN"/>
        </w:rPr>
      </w:pPr>
      <w:r>
        <w:rPr>
          <w:rFonts w:hint="eastAsia" w:ascii="仿宋" w:hAnsi="仿宋" w:eastAsia="仿宋" w:cs="仿宋"/>
          <w:b/>
          <w:bCs/>
          <w:color w:val="auto"/>
          <w:kern w:val="2"/>
          <w:sz w:val="28"/>
          <w:szCs w:val="28"/>
          <w:highlight w:val="none"/>
          <w:lang w:eastAsia="zh-CN"/>
        </w:rPr>
        <w:t>（2）目标设置</w:t>
      </w:r>
      <w:r>
        <w:rPr>
          <w:rFonts w:hint="eastAsia" w:ascii="仿宋" w:hAnsi="仿宋" w:eastAsia="仿宋" w:cs="仿宋"/>
          <w:b/>
          <w:bCs/>
          <w:color w:val="auto"/>
          <w:kern w:val="2"/>
          <w:sz w:val="28"/>
          <w:szCs w:val="28"/>
          <w:highlight w:val="none"/>
          <w:lang w:val="en-US" w:eastAsia="zh-CN"/>
        </w:rPr>
        <w:t>(指标分值10分，评价得分11.40分)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1）绩效目标合理性（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整体绩效目标能体现部门（单位）“三定”方案规定的部门职能，整体绩效目标能体现部门（单位）中长期规划和年度工作计划，整体绩效目标能分解成具体工作任务，整体绩效目标与本年度部门预算资金相匹配，部门申报的项目有进行可行性研究和充分论证。本指标得分5分。提前下达率指标的分值调整至绩效目标合理性，指标得分按原标准评分后乘以1.2，绩效目标合理性=5*1.2=6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2）绩效目标明确性（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5.40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绩效指标中包含能够明确体现部门（单位）履职效果的社会经济效益指标，绩效指标包含可量化的指标。绩效指标可衡量性不高，如指标设定完成值100%，评价参考值不完整。本指标得分4.5分。提前下达率指标的分值调整至绩效指标明确性，指标得分按原标准评分后乘以1.2，绩效指标明确性=4.5*1.2=5.4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sz w:val="28"/>
          <w:szCs w:val="28"/>
          <w:highlight w:val="none"/>
          <w:lang w:val="en-US" w:eastAsia="zh-CN"/>
        </w:rPr>
        <w:t>预算执行情况</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该指标包含资金管理、项目管理、资产管理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43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41</w:t>
      </w:r>
      <w:r>
        <w:rPr>
          <w:rFonts w:hint="eastAsia" w:ascii="仿宋" w:hAnsi="仿宋" w:eastAsia="仿宋" w:cs="仿宋"/>
          <w:color w:val="auto"/>
          <w:kern w:val="2"/>
          <w:sz w:val="28"/>
          <w:szCs w:val="28"/>
          <w:highlight w:val="none"/>
          <w:lang w:eastAsia="zh-CN"/>
        </w:rPr>
        <w:t>分，得分情况详见表</w:t>
      </w:r>
      <w:r>
        <w:rPr>
          <w:rFonts w:hint="eastAsia" w:ascii="仿宋" w:hAnsi="仿宋" w:eastAsia="仿宋" w:cs="仿宋"/>
          <w:color w:val="auto"/>
          <w:kern w:val="2"/>
          <w:sz w:val="28"/>
          <w:szCs w:val="28"/>
          <w:highlight w:val="none"/>
          <w:lang w:val="en-US" w:eastAsia="zh-CN"/>
        </w:rPr>
        <w:t>3-4：</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表3-4 预算执行情况得分表</w:t>
      </w:r>
    </w:p>
    <w:tbl>
      <w:tblPr>
        <w:tblStyle w:val="12"/>
        <w:tblW w:w="4998" w:type="pct"/>
        <w:jc w:val="center"/>
        <w:tblLayout w:type="autofit"/>
        <w:tblCellMar>
          <w:top w:w="0" w:type="dxa"/>
          <w:left w:w="10" w:type="dxa"/>
          <w:bottom w:w="0" w:type="dxa"/>
          <w:right w:w="10" w:type="dxa"/>
        </w:tblCellMar>
      </w:tblPr>
      <w:tblGrid>
        <w:gridCol w:w="1735"/>
        <w:gridCol w:w="1519"/>
        <w:gridCol w:w="2844"/>
        <w:gridCol w:w="1260"/>
        <w:gridCol w:w="1163"/>
      </w:tblGrid>
      <w:tr>
        <w:tblPrEx>
          <w:tblCellMar>
            <w:top w:w="0" w:type="dxa"/>
            <w:left w:w="10" w:type="dxa"/>
            <w:bottom w:w="0" w:type="dxa"/>
            <w:right w:w="10" w:type="dxa"/>
          </w:tblCellMar>
        </w:tblPrEx>
        <w:trPr>
          <w:trHeight w:val="475" w:hRule="exact"/>
          <w:tblHeader/>
          <w:jc w:val="center"/>
        </w:trPr>
        <w:tc>
          <w:tcPr>
            <w:tcW w:w="1018"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一级指标</w:t>
            </w:r>
          </w:p>
        </w:tc>
        <w:tc>
          <w:tcPr>
            <w:tcW w:w="891"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二级指标</w:t>
            </w:r>
          </w:p>
        </w:tc>
        <w:tc>
          <w:tcPr>
            <w:tcW w:w="1667"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三级指标</w:t>
            </w:r>
          </w:p>
        </w:tc>
        <w:tc>
          <w:tcPr>
            <w:tcW w:w="739" w:type="pct"/>
            <w:tcBorders>
              <w:top w:val="single" w:color="auto" w:sz="4" w:space="0"/>
              <w:left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sz w:val="24"/>
                <w:szCs w:val="24"/>
                <w:highlight w:val="none"/>
                <w:lang w:eastAsia="zh-CN"/>
              </w:rPr>
            </w:pPr>
            <w:r>
              <w:rPr>
                <w:rFonts w:hint="eastAsia" w:ascii="仿宋" w:hAnsi="仿宋" w:eastAsia="仿宋" w:cs="仿宋"/>
                <w:b/>
                <w:bCs/>
                <w:color w:val="000000"/>
                <w:spacing w:val="0"/>
                <w:w w:val="100"/>
                <w:position w:val="0"/>
                <w:sz w:val="24"/>
                <w:szCs w:val="24"/>
                <w:highlight w:val="none"/>
              </w:rPr>
              <w:t>指标分值</w:t>
            </w:r>
          </w:p>
        </w:tc>
        <w:tc>
          <w:tcPr>
            <w:tcW w:w="682" w:type="pct"/>
            <w:tcBorders>
              <w:top w:val="single" w:color="auto" w:sz="4" w:space="0"/>
              <w:left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评价得分</w:t>
            </w:r>
          </w:p>
        </w:tc>
      </w:tr>
      <w:tr>
        <w:tblPrEx>
          <w:tblCellMar>
            <w:top w:w="0" w:type="dxa"/>
            <w:left w:w="10" w:type="dxa"/>
            <w:bottom w:w="0" w:type="dxa"/>
            <w:right w:w="10" w:type="dxa"/>
          </w:tblCellMar>
        </w:tblPrEx>
        <w:trPr>
          <w:trHeight w:val="461" w:hRule="exact"/>
          <w:jc w:val="center"/>
        </w:trPr>
        <w:tc>
          <w:tcPr>
            <w:tcW w:w="1018"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预算</w:t>
            </w:r>
            <w:r>
              <w:rPr>
                <w:rFonts w:hint="eastAsia" w:ascii="仿宋" w:hAnsi="仿宋" w:eastAsia="仿宋" w:cs="仿宋"/>
                <w:spacing w:val="-2"/>
                <w:sz w:val="24"/>
                <w:szCs w:val="24"/>
                <w:highlight w:val="none"/>
                <w:lang w:eastAsia="zh-CN"/>
              </w:rPr>
              <w:t>执行</w:t>
            </w:r>
            <w:r>
              <w:rPr>
                <w:rFonts w:hint="eastAsia" w:ascii="仿宋" w:hAnsi="仿宋" w:eastAsia="仿宋" w:cs="仿宋"/>
                <w:spacing w:val="-2"/>
                <w:sz w:val="24"/>
                <w:szCs w:val="24"/>
                <w:highlight w:val="none"/>
              </w:rPr>
              <w:t>情况</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43分</w:t>
            </w:r>
            <w:r>
              <w:rPr>
                <w:rFonts w:hint="eastAsia" w:ascii="仿宋" w:hAnsi="仿宋" w:eastAsia="仿宋" w:cs="仿宋"/>
                <w:spacing w:val="-2"/>
                <w:sz w:val="24"/>
                <w:szCs w:val="24"/>
                <w:highlight w:val="none"/>
                <w:lang w:eastAsia="zh-CN"/>
              </w:rPr>
              <w:t>）</w:t>
            </w: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资金管理</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25分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部门预算资金支出率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7.50</w:t>
            </w:r>
          </w:p>
        </w:tc>
      </w:tr>
      <w:tr>
        <w:tblPrEx>
          <w:tblCellMar>
            <w:top w:w="0" w:type="dxa"/>
            <w:left w:w="10" w:type="dxa"/>
            <w:bottom w:w="0" w:type="dxa"/>
            <w:right w:w="10" w:type="dxa"/>
          </w:tblCellMar>
        </w:tblPrEx>
        <w:trPr>
          <w:trHeight w:val="496"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结转结余率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tblPrEx>
          <w:tblCellMar>
            <w:top w:w="0" w:type="dxa"/>
            <w:left w:w="10" w:type="dxa"/>
            <w:bottom w:w="0" w:type="dxa"/>
            <w:right w:w="10" w:type="dxa"/>
          </w:tblCellMar>
        </w:tblPrEx>
        <w:trPr>
          <w:trHeight w:val="626"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国库集中支付结转结余存量资金效率性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政府采购执行率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财务合规性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r>
      <w:tr>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资金下达合法性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预决算信息公开性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r>
      <w:tr>
        <w:tblPrEx>
          <w:tblCellMar>
            <w:top w:w="0" w:type="dxa"/>
            <w:left w:w="10" w:type="dxa"/>
            <w:bottom w:w="0" w:type="dxa"/>
            <w:right w:w="10" w:type="dxa"/>
          </w:tblCellMar>
        </w:tblPrEx>
        <w:trPr>
          <w:trHeight w:val="456"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项目管理</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5分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项目实施程序</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项目监管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资产管理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w w:val="100"/>
                <w:position w:val="0"/>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13分</w:t>
            </w:r>
            <w:r>
              <w:rPr>
                <w:rFonts w:hint="eastAsia" w:ascii="仿宋" w:hAnsi="仿宋" w:eastAsia="仿宋" w:cs="仿宋"/>
                <w:spacing w:val="-2"/>
                <w:sz w:val="24"/>
                <w:szCs w:val="24"/>
                <w:highlight w:val="none"/>
                <w:lang w:eastAsia="zh-CN"/>
              </w:rPr>
              <w:t>）</w:t>
            </w: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报送及时性</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数据质量</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账务核对情况</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资产管理合规性</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2.50</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7"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固定资产利用率</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1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 w:type="dxa"/>
            <w:bottom w:w="0" w:type="dxa"/>
            <w:right w:w="10" w:type="dxa"/>
          </w:tblCellMar>
        </w:tblPrEx>
        <w:trPr>
          <w:trHeight w:val="475" w:hRule="exact"/>
          <w:jc w:val="center"/>
        </w:trPr>
        <w:tc>
          <w:tcPr>
            <w:tcW w:w="3577" w:type="pct"/>
            <w:gridSpan w:val="3"/>
            <w:tcBorders>
              <w:top w:val="single" w:color="auto" w:sz="4" w:space="0"/>
              <w:left w:val="single" w:color="auto" w:sz="4" w:space="0"/>
              <w:bottom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合计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43</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41</w:t>
            </w:r>
          </w:p>
        </w:tc>
      </w:tr>
    </w:tbl>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（1）</w:t>
      </w:r>
      <w:r>
        <w:rPr>
          <w:rFonts w:hint="eastAsia" w:ascii="仿宋" w:hAnsi="仿宋" w:eastAsia="仿宋" w:cs="仿宋"/>
          <w:b/>
          <w:bCs/>
          <w:color w:val="auto"/>
          <w:kern w:val="2"/>
          <w:sz w:val="28"/>
          <w:szCs w:val="28"/>
          <w:highlight w:val="none"/>
          <w:lang w:eastAsia="zh-CN"/>
        </w:rPr>
        <w:t>资金管理</w:t>
      </w:r>
      <w:r>
        <w:rPr>
          <w:rFonts w:hint="eastAsia" w:ascii="仿宋" w:hAnsi="仿宋" w:eastAsia="仿宋" w:cs="仿宋"/>
          <w:b/>
          <w:bCs/>
          <w:color w:val="auto"/>
          <w:kern w:val="2"/>
          <w:sz w:val="28"/>
          <w:szCs w:val="28"/>
          <w:highlight w:val="none"/>
          <w:lang w:val="en-US" w:eastAsia="zh-CN"/>
        </w:rPr>
        <w:t>(指标分值25分，评价得分23.50分)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1）部门预算资金支出率（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7.50</w:t>
      </w:r>
      <w:r>
        <w:rPr>
          <w:rFonts w:hint="eastAsia" w:ascii="仿宋" w:hAnsi="仿宋" w:eastAsia="仿宋" w:cs="仿宋"/>
          <w:color w:val="auto"/>
          <w:kern w:val="2"/>
          <w:sz w:val="28"/>
          <w:szCs w:val="28"/>
          <w:highlight w:val="none"/>
          <w:lang w:eastAsia="zh-CN"/>
        </w:rPr>
        <w:t>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未提供季度支付情况，按照年度支付情况评分，支出完成率=实际支出/财政下达预算数×100%=2659.79/2659.79*100%=100%。无季度执行率数据，扣1分。从资金下达合法性值调整3分至“部门预算资金支出率”指标。最后该项得分= 5/6*（6+3）=7.5分。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640" w:left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2）结转结余（</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结余结转率=年末财政拨款结转和结余决算数/（年初财政拨款结转和结余收入决算数+一般公共预算财政拨款决算数+政府性基金预算财政拨款决算数）×100%  =0/(2070.54+548.86）*100%=0%。</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3）国库集中支付结转结余存量资金效率性（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上年度财政拨款结转和结余为0，本年度财政拨款结转和结余为0，得3分。</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政府采购执行率（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公开的2022年部门预算情况说明中，2022年部门政府采购安排为 0，部门决算附表《机构运行信息表》(财决附03表)中政府采购支出数为0。</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财务合规性（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现行财务制度《政府采购业务管理制度》、《预算业务管理制度》、《收支管理制度》等，资金支出规范性，严格执行资金管理、费用支出等制度；会计核算支出依据合规、不存在虚列支出的情况；不存在截留、挤占、挪用项目资金情况；不存在超标准开支等情况。</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资金下达合法性（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0</w:t>
      </w:r>
      <w:r>
        <w:rPr>
          <w:rFonts w:hint="eastAsia" w:ascii="仿宋" w:hAnsi="仿宋" w:eastAsia="仿宋" w:cs="仿宋"/>
          <w:color w:val="auto"/>
          <w:kern w:val="2"/>
          <w:sz w:val="28"/>
          <w:szCs w:val="28"/>
          <w:highlight w:val="none"/>
          <w:lang w:eastAsia="zh-CN"/>
        </w:rPr>
        <w:t>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无转移支付资金的部门，本项指标不考核，3分分值调整至“部门预算资金支出率”指标。</w:t>
      </w:r>
    </w:p>
    <w:p>
      <w:pPr>
        <w:pStyle w:val="28"/>
        <w:keepNext w:val="0"/>
        <w:keepLines w:val="0"/>
        <w:pageBreakBefore w:val="0"/>
        <w:numPr>
          <w:ilvl w:val="0"/>
          <w:numId w:val="2"/>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val="en-US" w:eastAsia="zh-CN"/>
        </w:rPr>
        <w:t>预决算信息公开性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政部2021年4月7日印发《关于推进部门所属单位预算公开工作的指导意见》(财预〔2021〕29号)，提出部门所属单位预决算公开的时间为部门批复后20日内。雷州市财政局于2022年4月19日下达《关于批复雷州市2022年部门预算的通知》，各单位预算公开时间应为2022年5月9日前。雷州市市场监督管理局2022年预算公开时间为2022年4月27日，网址http://www.leizhou.gov.cn/xxgk/zdlyxxgkzl/czyjshsgjfgk/bmyjs/bmys/2022/content/post_1603280.html，按规定内容、在规定时限和范围内进行了公开。</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2021年部门决算于2022年10月17日进行了公开，网址http://www.leizhou.gov.cn/xxgk/zdlyxxgkzl/czyjshsgjfgk/bmyjs/bmjs/2021/content/post_1679155.html。</w:t>
      </w:r>
    </w:p>
    <w:p>
      <w:pPr>
        <w:pStyle w:val="28"/>
        <w:keepNext w:val="0"/>
        <w:keepLines w:val="0"/>
        <w:pageBreakBefore w:val="0"/>
        <w:numPr>
          <w:ilvl w:val="0"/>
          <w:numId w:val="1"/>
        </w:numPr>
        <w:shd w:val="clear"/>
        <w:kinsoku/>
        <w:wordWrap/>
        <w:overflowPunct/>
        <w:topLinePunct w:val="0"/>
        <w:autoSpaceDE/>
        <w:autoSpaceDN/>
        <w:bidi w:val="0"/>
        <w:adjustRightInd/>
        <w:spacing w:line="560" w:lineRule="exact"/>
        <w:ind w:left="0" w:leftChars="0"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项目管理(指标分值5分，评价得分5分)</w:t>
      </w:r>
    </w:p>
    <w:p>
      <w:pPr>
        <w:pStyle w:val="28"/>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项目实施程序</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项目设立按规定履行报批程续。项目招投标、建设、验收等或方案执行符合相关制度规定。</w:t>
      </w:r>
    </w:p>
    <w:p>
      <w:pPr>
        <w:pStyle w:val="28"/>
        <w:keepNext w:val="0"/>
        <w:keepLines w:val="0"/>
        <w:pageBreakBefore w:val="0"/>
        <w:numPr>
          <w:ilvl w:val="0"/>
          <w:numId w:val="3"/>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项目监管（</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雷州市市场监督管理局项目实施监管有效。</w:t>
      </w:r>
    </w:p>
    <w:p>
      <w:pPr>
        <w:pStyle w:val="28"/>
        <w:keepNext w:val="0"/>
        <w:keepLines w:val="0"/>
        <w:pageBreakBefore w:val="0"/>
        <w:numPr>
          <w:ilvl w:val="0"/>
          <w:numId w:val="1"/>
        </w:numPr>
        <w:shd w:val="clear"/>
        <w:kinsoku/>
        <w:wordWrap/>
        <w:overflowPunct/>
        <w:topLinePunct w:val="0"/>
        <w:autoSpaceDE/>
        <w:autoSpaceDN/>
        <w:bidi w:val="0"/>
        <w:adjustRightInd/>
        <w:spacing w:line="560" w:lineRule="exact"/>
        <w:ind w:left="0" w:leftChars="0" w:firstLine="562" w:firstLineChars="200"/>
        <w:jc w:val="both"/>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资产管理(指标分值13分，评价得分12.50分)</w:t>
      </w:r>
    </w:p>
    <w:p>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报送及时性（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雷州市市场监督管理局行政事业性国有资产年报和月报均能按时报送。</w:t>
      </w:r>
    </w:p>
    <w:p>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数据质量（</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雷州市市场监督管理局行政事业性国有资产年报数据完整、准确。</w:t>
      </w:r>
    </w:p>
    <w:p>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财务核对情况（</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2022年度行政事业性国有资产报表中《固定资产和无形资产存量情况表》（财资03表）显示固定资产期末账面数合计2823.75万元，资产负债表固定资产原值2823.75万元，账账相符。</w:t>
      </w:r>
    </w:p>
    <w:p>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资产管理合规性（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2.50</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制定了《固定资产管理制度》、《雷州市行政事业单位国有资产处置管理暂行办法》、《雷州市行政事业单位国有资产对外出租出借管理暂行办法》。2022年未按照固定资产管理制度规定，每年至少对固定资产进行盘点，扣0.5分。2022不存在固定资产出租出借的情况。2022年无巡查、审计、监督检查工作。</w:t>
      </w:r>
    </w:p>
    <w:p>
      <w:pPr>
        <w:pStyle w:val="28"/>
        <w:keepNext w:val="0"/>
        <w:keepLines w:val="0"/>
        <w:pageBreakBefore w:val="0"/>
        <w:numPr>
          <w:ilvl w:val="0"/>
          <w:numId w:val="4"/>
        </w:numPr>
        <w:shd w:val="clear"/>
        <w:kinsoku/>
        <w:wordWrap/>
        <w:overflowPunct/>
        <w:topLinePunct w:val="0"/>
        <w:autoSpaceDE/>
        <w:autoSpaceDN/>
        <w:bidi w:val="0"/>
        <w:adjustRightInd/>
        <w:spacing w:line="560" w:lineRule="exact"/>
        <w:ind w:left="640" w:leftChars="0" w:firstLine="0" w:firstLineChars="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固定资产利用率（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2022年度行政事业性国有资产报表中《固定和无形资产存量情况表》（财资03表）显示期末在用固定资产原值2823.75万元，固定资产期末账面数合计2823.75万元，固定资产利用率=（实际在用固定资产总额/所有固定资产总额）*100%=（2823.75/2823.75）*100%=100%。</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3.预算使用效益</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该指标包含经济性、效率性、效果性、公平性</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个二级指标，指标分值</w:t>
      </w:r>
      <w:r>
        <w:rPr>
          <w:rFonts w:hint="eastAsia" w:ascii="仿宋" w:hAnsi="仿宋" w:eastAsia="仿宋" w:cs="仿宋"/>
          <w:color w:val="auto"/>
          <w:kern w:val="2"/>
          <w:sz w:val="28"/>
          <w:szCs w:val="28"/>
          <w:highlight w:val="none"/>
          <w:lang w:val="en-US" w:eastAsia="zh-CN"/>
        </w:rPr>
        <w:t>34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30</w:t>
      </w:r>
      <w:r>
        <w:rPr>
          <w:rFonts w:hint="eastAsia" w:ascii="仿宋" w:hAnsi="仿宋" w:eastAsia="仿宋" w:cs="仿宋"/>
          <w:color w:val="auto"/>
          <w:kern w:val="2"/>
          <w:sz w:val="28"/>
          <w:szCs w:val="28"/>
          <w:highlight w:val="none"/>
          <w:lang w:eastAsia="zh-CN"/>
        </w:rPr>
        <w:t>分，得分情况详见表</w:t>
      </w:r>
      <w:r>
        <w:rPr>
          <w:rFonts w:hint="eastAsia" w:ascii="仿宋" w:hAnsi="仿宋" w:eastAsia="仿宋" w:cs="仿宋"/>
          <w:color w:val="auto"/>
          <w:kern w:val="2"/>
          <w:sz w:val="28"/>
          <w:szCs w:val="28"/>
          <w:highlight w:val="none"/>
          <w:lang w:val="en-US" w:eastAsia="zh-CN"/>
        </w:rPr>
        <w:t>3-5：</w:t>
      </w:r>
    </w:p>
    <w:p>
      <w:pPr>
        <w:keepNext w:val="0"/>
        <w:keepLines w:val="0"/>
        <w:pageBreakBefore w:val="0"/>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表3-5 预算使用效益得分表</w:t>
      </w:r>
    </w:p>
    <w:tbl>
      <w:tblPr>
        <w:tblStyle w:val="12"/>
        <w:tblW w:w="4998" w:type="pct"/>
        <w:jc w:val="center"/>
        <w:tblLayout w:type="autofit"/>
        <w:tblCellMar>
          <w:top w:w="0" w:type="dxa"/>
          <w:left w:w="10" w:type="dxa"/>
          <w:bottom w:w="0" w:type="dxa"/>
          <w:right w:w="10" w:type="dxa"/>
        </w:tblCellMar>
      </w:tblPr>
      <w:tblGrid>
        <w:gridCol w:w="1734"/>
        <w:gridCol w:w="1519"/>
        <w:gridCol w:w="2845"/>
        <w:gridCol w:w="1260"/>
        <w:gridCol w:w="1163"/>
      </w:tblGrid>
      <w:tr>
        <w:trPr>
          <w:trHeight w:val="475" w:hRule="exact"/>
          <w:jc w:val="center"/>
        </w:trPr>
        <w:tc>
          <w:tcPr>
            <w:tcW w:w="1018"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一级指标</w:t>
            </w:r>
          </w:p>
        </w:tc>
        <w:tc>
          <w:tcPr>
            <w:tcW w:w="891"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二级指标</w:t>
            </w:r>
          </w:p>
        </w:tc>
        <w:tc>
          <w:tcPr>
            <w:tcW w:w="1668" w:type="pct"/>
            <w:tcBorders>
              <w:top w:val="single" w:color="auto" w:sz="4" w:space="0"/>
              <w:left w:val="single" w:color="auto" w:sz="4" w:space="0"/>
            </w:tcBorders>
            <w:shd w:val="clear" w:color="auto" w:fill="FFFFFF"/>
            <w:vAlign w:val="top"/>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三级指标</w:t>
            </w:r>
          </w:p>
        </w:tc>
        <w:tc>
          <w:tcPr>
            <w:tcW w:w="739" w:type="pct"/>
            <w:tcBorders>
              <w:top w:val="single" w:color="auto" w:sz="4" w:space="0"/>
              <w:left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sz w:val="24"/>
                <w:szCs w:val="24"/>
                <w:highlight w:val="none"/>
                <w:lang w:eastAsia="zh-CN"/>
              </w:rPr>
            </w:pPr>
            <w:r>
              <w:rPr>
                <w:rFonts w:hint="eastAsia" w:ascii="仿宋" w:hAnsi="仿宋" w:eastAsia="仿宋" w:cs="仿宋"/>
                <w:b/>
                <w:bCs/>
                <w:color w:val="000000"/>
                <w:spacing w:val="0"/>
                <w:w w:val="100"/>
                <w:position w:val="0"/>
                <w:sz w:val="24"/>
                <w:szCs w:val="24"/>
                <w:highlight w:val="none"/>
              </w:rPr>
              <w:t>指标分值</w:t>
            </w:r>
          </w:p>
        </w:tc>
        <w:tc>
          <w:tcPr>
            <w:tcW w:w="682" w:type="pct"/>
            <w:tcBorders>
              <w:top w:val="single" w:color="auto" w:sz="4" w:space="0"/>
              <w:left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rightChars="0" w:firstLine="0" w:firstLineChars="0"/>
              <w:jc w:val="center"/>
              <w:outlineLvl w:val="9"/>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评价得分</w:t>
            </w:r>
          </w:p>
        </w:tc>
      </w:tr>
      <w:tr>
        <w:tblPrEx>
          <w:tblCellMar>
            <w:top w:w="0" w:type="dxa"/>
            <w:left w:w="10" w:type="dxa"/>
            <w:bottom w:w="0" w:type="dxa"/>
            <w:right w:w="10" w:type="dxa"/>
          </w:tblCellMar>
        </w:tblPrEx>
        <w:trPr>
          <w:trHeight w:val="786" w:hRule="exact"/>
          <w:jc w:val="center"/>
        </w:trPr>
        <w:tc>
          <w:tcPr>
            <w:tcW w:w="1018"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预算</w:t>
            </w:r>
            <w:r>
              <w:rPr>
                <w:rFonts w:hint="eastAsia" w:ascii="仿宋" w:hAnsi="仿宋" w:eastAsia="仿宋" w:cs="仿宋"/>
                <w:spacing w:val="-2"/>
                <w:sz w:val="24"/>
                <w:szCs w:val="24"/>
                <w:highlight w:val="none"/>
                <w:lang w:eastAsia="zh-CN"/>
              </w:rPr>
              <w:t>使用效益</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34分</w:t>
            </w:r>
            <w:r>
              <w:rPr>
                <w:rFonts w:hint="eastAsia" w:ascii="仿宋" w:hAnsi="仿宋" w:eastAsia="仿宋" w:cs="仿宋"/>
                <w:spacing w:val="-2"/>
                <w:sz w:val="24"/>
                <w:szCs w:val="24"/>
                <w:highlight w:val="none"/>
                <w:lang w:eastAsia="zh-CN"/>
              </w:rPr>
              <w:t>）</w:t>
            </w:r>
          </w:p>
        </w:tc>
        <w:tc>
          <w:tcPr>
            <w:tcW w:w="891" w:type="pc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经济性</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4分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公用经费控制率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682"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r>
      <w:tr>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效益性</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13分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重点工作完成率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682"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tblPrEx>
          <w:tblCellMar>
            <w:top w:w="0" w:type="dxa"/>
            <w:left w:w="10" w:type="dxa"/>
            <w:bottom w:w="0" w:type="dxa"/>
            <w:right w:w="10" w:type="dxa"/>
          </w:tblCellMar>
        </w:tblPrEx>
        <w:trPr>
          <w:trHeight w:val="526"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8"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绩效目标完成率</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682"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r>
      <w:tr>
        <w:tblPrEx>
          <w:tblCellMar>
            <w:top w:w="0" w:type="dxa"/>
            <w:left w:w="10" w:type="dxa"/>
            <w:bottom w:w="0" w:type="dxa"/>
            <w:right w:w="10" w:type="dxa"/>
          </w:tblCellMar>
        </w:tblPrEx>
        <w:trPr>
          <w:trHeight w:val="4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rPr>
            </w:pPr>
          </w:p>
        </w:tc>
        <w:tc>
          <w:tcPr>
            <w:tcW w:w="891"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p>
        </w:tc>
        <w:tc>
          <w:tcPr>
            <w:tcW w:w="1668"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zh-TW" w:eastAsia="zh-CN" w:bidi="zh-TW"/>
              </w:rPr>
            </w:pPr>
            <w:r>
              <w:rPr>
                <w:rFonts w:hint="eastAsia" w:ascii="仿宋" w:hAnsi="仿宋" w:eastAsia="仿宋" w:cs="仿宋"/>
                <w:kern w:val="2"/>
                <w:sz w:val="24"/>
                <w:szCs w:val="24"/>
                <w:highlight w:val="none"/>
                <w:u w:val="none"/>
                <w:shd w:val="clear" w:color="auto" w:fill="auto"/>
                <w:lang w:val="en-US" w:eastAsia="zh-CN" w:bidi="zh-TW"/>
              </w:rPr>
              <w:t>项目完成及时性</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82"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tblPrEx>
          <w:tblCellMar>
            <w:top w:w="0" w:type="dxa"/>
            <w:left w:w="10" w:type="dxa"/>
            <w:bottom w:w="0" w:type="dxa"/>
            <w:right w:w="10" w:type="dxa"/>
          </w:tblCellMar>
        </w:tblPrEx>
        <w:trPr>
          <w:trHeight w:val="861"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效果性</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10分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社会经济环境效益</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682"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r>
      <w:tr>
        <w:tblPrEx>
          <w:tblCellMar>
            <w:top w:w="0" w:type="dxa"/>
            <w:left w:w="10" w:type="dxa"/>
            <w:bottom w:w="0" w:type="dxa"/>
            <w:right w:w="10" w:type="dxa"/>
          </w:tblCellMar>
        </w:tblPrEx>
        <w:trPr>
          <w:trHeight w:val="456" w:hRule="exact"/>
          <w:jc w:val="center"/>
        </w:trPr>
        <w:tc>
          <w:tcPr>
            <w:tcW w:w="1018" w:type="pct"/>
            <w:vMerge w:val="continue"/>
            <w:tcBorders>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p>
        </w:tc>
        <w:tc>
          <w:tcPr>
            <w:tcW w:w="891" w:type="pct"/>
            <w:vMerge w:val="restart"/>
            <w:tcBorders>
              <w:top w:val="single" w:color="auto" w:sz="4" w:space="0"/>
              <w:left w:val="single" w:color="auto" w:sz="4" w:space="0"/>
            </w:tcBorders>
            <w:shd w:val="clear" w:color="auto" w:fill="FFFFFF"/>
            <w:vAlign w:val="center"/>
          </w:tcPr>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公平性</w:t>
            </w:r>
          </w:p>
          <w:p>
            <w:pPr>
              <w:pStyle w:val="39"/>
              <w:keepNext w:val="0"/>
              <w:keepLines w:val="0"/>
              <w:pageBreakBefore w:val="0"/>
              <w:widowControl w:val="0"/>
              <w:kinsoku/>
              <w:wordWrap/>
              <w:overflowPunct/>
              <w:topLinePunct w:val="0"/>
              <w:autoSpaceDE/>
              <w:autoSpaceDN/>
              <w:bidi w:val="0"/>
              <w:adjustRightInd/>
              <w:snapToGrid/>
              <w:spacing w:before="75" w:line="240" w:lineRule="auto"/>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7分</w:t>
            </w:r>
            <w:r>
              <w:rPr>
                <w:rFonts w:hint="eastAsia" w:ascii="仿宋" w:hAnsi="仿宋" w:eastAsia="仿宋" w:cs="仿宋"/>
                <w:spacing w:val="-2"/>
                <w:sz w:val="24"/>
                <w:szCs w:val="24"/>
                <w:highlight w:val="none"/>
                <w:lang w:eastAsia="zh-CN"/>
              </w:rPr>
              <w:t>）</w:t>
            </w:r>
          </w:p>
        </w:tc>
        <w:tc>
          <w:tcPr>
            <w:tcW w:w="1668" w:type="pct"/>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群众信访办理情况</w:t>
            </w:r>
          </w:p>
        </w:tc>
        <w:tc>
          <w:tcPr>
            <w:tcW w:w="73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82"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tblPrEx>
          <w:tblCellMar>
            <w:top w:w="0" w:type="dxa"/>
            <w:left w:w="10" w:type="dxa"/>
            <w:bottom w:w="0" w:type="dxa"/>
            <w:right w:w="10" w:type="dxa"/>
          </w:tblCellMar>
        </w:tblPrEx>
        <w:trPr>
          <w:trHeight w:val="475" w:hRule="exact"/>
          <w:jc w:val="center"/>
        </w:trPr>
        <w:tc>
          <w:tcPr>
            <w:tcW w:w="1018" w:type="pct"/>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eastAsia="zh-CN"/>
              </w:rPr>
            </w:pPr>
          </w:p>
        </w:tc>
        <w:tc>
          <w:tcPr>
            <w:tcW w:w="891" w:type="pct"/>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pacing w:val="0"/>
                <w:w w:val="100"/>
                <w:position w:val="0"/>
                <w:sz w:val="24"/>
                <w:szCs w:val="24"/>
                <w:highlight w:val="none"/>
                <w:lang w:val="en-US" w:eastAsia="zh-CN"/>
              </w:rPr>
            </w:pPr>
          </w:p>
        </w:tc>
        <w:tc>
          <w:tcPr>
            <w:tcW w:w="1668"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kern w:val="2"/>
                <w:sz w:val="24"/>
                <w:szCs w:val="24"/>
                <w:highlight w:val="none"/>
                <w:u w:val="none"/>
                <w:shd w:val="clear" w:color="auto" w:fill="auto"/>
                <w:lang w:val="en-US" w:eastAsia="zh-CN" w:bidi="zh-TW"/>
              </w:rPr>
            </w:pPr>
            <w:r>
              <w:rPr>
                <w:rFonts w:hint="eastAsia" w:ascii="仿宋" w:hAnsi="仿宋" w:eastAsia="仿宋" w:cs="仿宋"/>
                <w:kern w:val="2"/>
                <w:sz w:val="24"/>
                <w:szCs w:val="24"/>
                <w:highlight w:val="none"/>
                <w:u w:val="none"/>
                <w:shd w:val="clear" w:color="auto" w:fill="auto"/>
                <w:lang w:val="en-US" w:eastAsia="zh-CN" w:bidi="zh-TW"/>
              </w:rPr>
              <w:t>公众或服务对象满意度</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r>
      <w:tr>
        <w:tblPrEx>
          <w:tblCellMar>
            <w:top w:w="0" w:type="dxa"/>
            <w:left w:w="10" w:type="dxa"/>
            <w:bottom w:w="0" w:type="dxa"/>
            <w:right w:w="10" w:type="dxa"/>
          </w:tblCellMar>
        </w:tblPrEx>
        <w:trPr>
          <w:trHeight w:val="475" w:hRule="exact"/>
          <w:jc w:val="center"/>
        </w:trPr>
        <w:tc>
          <w:tcPr>
            <w:tcW w:w="3578" w:type="pct"/>
            <w:gridSpan w:val="3"/>
            <w:tcBorders>
              <w:top w:val="single" w:color="auto" w:sz="4" w:space="0"/>
              <w:left w:val="single" w:color="auto" w:sz="4" w:space="0"/>
              <w:bottom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eastAsia" w:ascii="仿宋" w:hAnsi="仿宋" w:eastAsia="仿宋" w:cs="仿宋"/>
                <w:b/>
                <w:bCs/>
                <w:color w:val="000000"/>
                <w:spacing w:val="0"/>
                <w:w w:val="100"/>
                <w:position w:val="0"/>
                <w:sz w:val="24"/>
                <w:szCs w:val="24"/>
                <w:highlight w:val="none"/>
                <w:lang w:val="en-US" w:eastAsia="zh-CN"/>
              </w:rPr>
            </w:pPr>
            <w:bookmarkStart w:id="68" w:name="_GoBack"/>
            <w:bookmarkEnd w:id="68"/>
            <w:r>
              <w:rPr>
                <w:rFonts w:hint="eastAsia" w:ascii="仿宋" w:hAnsi="仿宋" w:eastAsia="仿宋" w:cs="仿宋"/>
                <w:b/>
                <w:bCs/>
                <w:color w:val="000000"/>
                <w:spacing w:val="0"/>
                <w:w w:val="100"/>
                <w:position w:val="0"/>
                <w:sz w:val="24"/>
                <w:szCs w:val="24"/>
                <w:highlight w:val="none"/>
                <w:lang w:val="en-US" w:eastAsia="zh-CN"/>
              </w:rPr>
              <w:t>合计</w:t>
            </w:r>
          </w:p>
        </w:tc>
        <w:tc>
          <w:tcPr>
            <w:tcW w:w="73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34</w:t>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3"/>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outlineLvl w:val="9"/>
              <w:rPr>
                <w:rFonts w:hint="default"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30</w:t>
            </w:r>
          </w:p>
        </w:tc>
      </w:tr>
    </w:tbl>
    <w:p>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bookmarkStart w:id="43" w:name="_Toc9575"/>
      <w:r>
        <w:rPr>
          <w:rFonts w:hint="eastAsia" w:ascii="仿宋" w:hAnsi="仿宋" w:eastAsia="仿宋" w:cs="仿宋"/>
          <w:b/>
          <w:bCs/>
          <w:color w:val="auto"/>
          <w:kern w:val="2"/>
          <w:sz w:val="28"/>
          <w:szCs w:val="28"/>
          <w:highlight w:val="none"/>
          <w:lang w:val="en-US" w:eastAsia="zh-CN"/>
        </w:rPr>
        <w:t>经济性(指标分值4分，评价得分4分)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部门决算附表《机构运行信息表》(财决附03表)中“三公”经费全年预算数16.90万元，“三公”经费实际数16.90万元，“三公”经费实际支出数＝预算安排的三公经费数。部门决算报表《财政拨款收入支出决算总表》（财决01-1表）日常公用经费全年预算数211.34万元，决算数191.30万元，日常公用经费决算数＜日常公用经费（调整）预算数。</w:t>
      </w:r>
    </w:p>
    <w:p>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eastAsia="zh-CN"/>
        </w:rPr>
        <w:t>效率性</w:t>
      </w:r>
      <w:r>
        <w:rPr>
          <w:rFonts w:hint="eastAsia" w:ascii="仿宋" w:hAnsi="仿宋" w:eastAsia="仿宋" w:cs="仿宋"/>
          <w:b/>
          <w:bCs/>
          <w:color w:val="auto"/>
          <w:kern w:val="2"/>
          <w:sz w:val="28"/>
          <w:szCs w:val="28"/>
          <w:highlight w:val="none"/>
          <w:lang w:val="en-US" w:eastAsia="zh-CN"/>
        </w:rPr>
        <w:t>(指标分值13分，评价得分11分)</w:t>
      </w:r>
    </w:p>
    <w:p>
      <w:pPr>
        <w:pStyle w:val="28"/>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重点工作完成率（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重点工作完成率=重点工作实际完成数/重点工作总数×100%=5/5*100%=100%，本指标得分=100%*3=3分。</w:t>
      </w:r>
    </w:p>
    <w:p>
      <w:pPr>
        <w:pStyle w:val="28"/>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绩效目标完成率（</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绩效目标完成率=部门整体支出绩效目标申报表中已实现目标数/申报目标数×100%=2/2*100%=100%，本指标得分=100%*5=5分。</w:t>
      </w:r>
    </w:p>
    <w:p>
      <w:pPr>
        <w:pStyle w:val="28"/>
        <w:keepNext w:val="0"/>
        <w:keepLines w:val="0"/>
        <w:pageBreakBefore w:val="0"/>
        <w:numPr>
          <w:ilvl w:val="0"/>
          <w:numId w:val="6"/>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项目完成及时性（</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部门预算安排的项目均按计划时间完成，本指标得分=已完成项目数/未完成项目数×3=5/5*3=3分。</w:t>
      </w:r>
    </w:p>
    <w:p>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效果性(指标分值10分，评价得分8分)</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雷州市市场监督管理局的主要项目支出，如食品安全抽检、食用农产品快检、明厨亮灶+互联网建设，基本实现预期效果，市场主体的获得感不断加强、食品安全风险管控水平得到提高，增强消费者信心。</w:t>
      </w:r>
    </w:p>
    <w:p>
      <w:pPr>
        <w:pStyle w:val="10"/>
        <w:keepNext w:val="0"/>
        <w:keepLines w:val="0"/>
        <w:pageBreakBefore w:val="0"/>
        <w:numPr>
          <w:ilvl w:val="0"/>
          <w:numId w:val="5"/>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9"/>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eastAsia="zh-CN"/>
        </w:rPr>
        <w:t>公平性</w:t>
      </w:r>
      <w:r>
        <w:rPr>
          <w:rFonts w:hint="eastAsia" w:ascii="仿宋" w:hAnsi="仿宋" w:eastAsia="仿宋" w:cs="仿宋"/>
          <w:b/>
          <w:bCs/>
          <w:color w:val="auto"/>
          <w:kern w:val="2"/>
          <w:sz w:val="28"/>
          <w:szCs w:val="28"/>
          <w:highlight w:val="none"/>
          <w:lang w:val="en-US" w:eastAsia="zh-CN"/>
        </w:rPr>
        <w:t>(指标分值7分，评价得分7分)</w:t>
      </w:r>
    </w:p>
    <w:p>
      <w:pPr>
        <w:pStyle w:val="28"/>
        <w:keepNext w:val="0"/>
        <w:keepLines w:val="0"/>
        <w:pageBreakBefore w:val="0"/>
        <w:numPr>
          <w:ilvl w:val="0"/>
          <w:numId w:val="7"/>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群众信访办理情况（</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雷州市市场监督管理局在广东省一体化信息管理平台设置了便利的群众意见反映渠道和群众意见办理回复机制，当年群众信访均有回复。</w:t>
      </w:r>
    </w:p>
    <w:p>
      <w:pPr>
        <w:pStyle w:val="28"/>
        <w:keepNext w:val="0"/>
        <w:keepLines w:val="0"/>
        <w:pageBreakBefore w:val="0"/>
        <w:numPr>
          <w:ilvl w:val="0"/>
          <w:numId w:val="7"/>
        </w:numPr>
        <w:shd w:val="clear"/>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公众或服务对象满意度（</w:t>
      </w:r>
      <w:r>
        <w:rPr>
          <w:rFonts w:hint="eastAsia" w:ascii="仿宋" w:hAnsi="仿宋" w:eastAsia="仿宋" w:cs="仿宋"/>
          <w:color w:val="auto"/>
          <w:kern w:val="2"/>
          <w:sz w:val="28"/>
          <w:szCs w:val="28"/>
          <w:highlight w:val="none"/>
          <w:lang w:eastAsia="zh-CN"/>
        </w:rPr>
        <w:t>指标分值</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分，评价得分</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分</w:t>
      </w:r>
      <w:r>
        <w:rPr>
          <w:rFonts w:hint="eastAsia" w:ascii="仿宋" w:hAnsi="仿宋" w:eastAsia="仿宋" w:cs="仿宋"/>
          <w:color w:val="auto"/>
          <w:kern w:val="2"/>
          <w:sz w:val="28"/>
          <w:szCs w:val="28"/>
          <w:highlight w:val="none"/>
          <w:lang w:val="en-US" w:eastAsia="zh-CN"/>
        </w:rPr>
        <w:t>）</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雷州市市场监督管理局在广东省一体化信息管理平台处理信访业务，群众满意度为满意。</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4.加减分项</w:t>
      </w:r>
    </w:p>
    <w:p>
      <w:pPr>
        <w:pStyle w:val="28"/>
        <w:keepNext w:val="0"/>
        <w:keepLines w:val="0"/>
        <w:pageBreakBefore w:val="0"/>
        <w:numPr>
          <w:ilvl w:val="0"/>
          <w:numId w:val="0"/>
        </w:numPr>
        <w:shd w:val="clear"/>
        <w:kinsoku/>
        <w:wordWrap/>
        <w:overflowPunct/>
        <w:topLinePunct w:val="0"/>
        <w:autoSpaceDE/>
        <w:autoSpaceDN/>
        <w:bidi w:val="0"/>
        <w:adjustRightInd/>
        <w:spacing w:line="560" w:lineRule="exact"/>
        <w:ind w:left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无加减分事项。</w:t>
      </w:r>
      <w:bookmarkStart w:id="44" w:name="_Toc3612"/>
    </w:p>
    <w:p>
      <w:pPr>
        <w:pStyle w:val="10"/>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lang w:eastAsia="zh-CN"/>
        </w:rPr>
      </w:pPr>
      <w:bookmarkStart w:id="45" w:name="_Toc5002"/>
      <w:r>
        <w:rPr>
          <w:rFonts w:hint="eastAsia" w:ascii="仿宋" w:hAnsi="仿宋" w:eastAsia="仿宋" w:cs="仿宋"/>
          <w:b/>
          <w:color w:val="auto"/>
          <w:kern w:val="2"/>
          <w:sz w:val="28"/>
          <w:szCs w:val="28"/>
          <w:highlight w:val="none"/>
          <w:lang w:val="en-US" w:eastAsia="zh-CN"/>
        </w:rPr>
        <w:t>四、</w:t>
      </w:r>
      <w:r>
        <w:rPr>
          <w:rFonts w:hint="eastAsia" w:ascii="仿宋" w:hAnsi="仿宋" w:eastAsia="仿宋" w:cs="仿宋"/>
          <w:b/>
          <w:color w:val="auto"/>
          <w:kern w:val="2"/>
          <w:sz w:val="28"/>
          <w:szCs w:val="28"/>
          <w:highlight w:val="none"/>
          <w:lang w:eastAsia="zh-CN"/>
        </w:rPr>
        <w:t>主要绩效</w:t>
      </w:r>
      <w:bookmarkEnd w:id="45"/>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6" w:name="_Toc20902"/>
      <w:r>
        <w:rPr>
          <w:rFonts w:hint="eastAsia" w:ascii="仿宋" w:hAnsi="仿宋" w:eastAsia="仿宋" w:cs="仿宋"/>
          <w:b w:val="0"/>
          <w:bCs w:val="0"/>
          <w:color w:val="auto"/>
          <w:kern w:val="2"/>
          <w:sz w:val="28"/>
          <w:szCs w:val="28"/>
          <w:highlight w:val="none"/>
          <w:lang w:val="en-US" w:eastAsia="zh-CN"/>
        </w:rPr>
        <w:t>（一）持续优化营商环境，市场主体培育成效明显</w:t>
      </w:r>
      <w:bookmarkEnd w:id="46"/>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雷州市市场监督管理局实现企业线下登记注册资料齐全即来即办，承诺办结期限不超过0.5天。通过“广东企业开办一网通办平台”实现企业注册全程电子化，2022年办结全程电子化件2110件，不断推进电子证照的应用，为新设立的企业免费刻制公章和发票专用章2枚，2022年共新设立的企业免费刻制公章2590枚。雷州市市场监督管理局全力加大培育市场主体力度。2022年，新发展市场主体9491户，同比增长25.63%，其中企业（含农民专业合作社）1295户，同比增长9.47%，个体工商户8196户，同比增长28.63%。</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7" w:name="_Toc28774"/>
      <w:r>
        <w:rPr>
          <w:rFonts w:hint="eastAsia" w:ascii="仿宋" w:hAnsi="仿宋" w:eastAsia="仿宋" w:cs="仿宋"/>
          <w:b w:val="0"/>
          <w:bCs w:val="0"/>
          <w:color w:val="auto"/>
          <w:kern w:val="2"/>
          <w:sz w:val="28"/>
          <w:szCs w:val="28"/>
          <w:highlight w:val="none"/>
          <w:lang w:val="en-US" w:eastAsia="zh-CN"/>
        </w:rPr>
        <w:t>（二）市场监管领域安全管理成效明显</w:t>
      </w:r>
      <w:bookmarkEnd w:id="47"/>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强化食品药品安全监管。2022年，雷州市市场监督管理局会同教育局相继开展春季、秋季校园食品安全专项大检查；开展查湿粉、查餐厅、查医疗美容等专项行动；开展食品、药品日常检查；共检查经营户3500多户次，发出责令改正通知书100余份，排除食品、药品安全隐患100多宗，食品药品类违法案件立案91宗。在全湛江市率先推进社会餐饮店“互联网+明厨亮灶”18家；全面完成食品生产经营主体的包保工作，由湛江市领导、雷州市领导、镇村领导分别包保食品主体A级2户、B级35户、B、CD级5759户，包保工作进入了承诺书的签订阶段；督促镇街落实食品销售信用分级管理，完成餐饮行来食安快线人员培训，提升雷州市食品安全监管水平。2022年雷州市食品药品没有发生安全事故。</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强化特种设备安全监管。雷州市市场监督管理局全面清理特种设备，全面摸清特种设备的底数，加强镇人员培训，提高全市特种设备监管能力。2022年，雷州市市场监督管理局检查72家企业，检查设备360台，发出《特种设备现场安全监督检查记录》72份，下达《特种设备安全监察指令书》17份。对48起设备一般隐患建立台帐并逐一督促落实整改。与企业签定特种设备安全使用承诺书23份。雷州市市场监督管理局还配合市住建局、附城镇政府妥善处理方圆雅颂业主电梯故障投诉问题，督促生产厂家及物业管理公司组织技术力量排除了电梯故障，为化解群体性不稳定事件创造了良好条件。2022年雷州市特种设备没有发生事故。</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8" w:name="_Toc18076"/>
      <w:r>
        <w:rPr>
          <w:rFonts w:hint="eastAsia" w:ascii="仿宋" w:hAnsi="仿宋" w:eastAsia="仿宋" w:cs="仿宋"/>
          <w:b w:val="0"/>
          <w:bCs w:val="0"/>
          <w:color w:val="auto"/>
          <w:kern w:val="2"/>
          <w:sz w:val="28"/>
          <w:szCs w:val="28"/>
          <w:highlight w:val="none"/>
          <w:lang w:val="en-US" w:eastAsia="zh-CN"/>
        </w:rPr>
        <w:t>（三）行政执法与监管有力有效</w:t>
      </w:r>
      <w:bookmarkEnd w:id="48"/>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1.企业信用监管有成效。2022年共将898户企业列入经营异常名录，将47户企业信用修复移出经营异常名录，1235户次个体工商户修复信用移出经营异常名录。</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推进“双随机、一公开”跨部门联合监管。雷州市“双随机、一公开”抽查监管160户，检查结果正常的138户；列入经营异常名录的22户，顺利完成省、湛江市局分配及雷州市市场监督管理局牵头“双随机、一公开”抽查任务，限制“黑名单”企业从事一切经营性质活动，实现了信用监管有效化。</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推进完善执法办案。2022年来，雷州市市场监督管理局立案查处115宗，办结案件86宗，其中加油站商标侵权案件9宗，所有查处的案件证据确凿、定性准确、程序合法，量罚适当，办案人员持证上岗和行政执法过程全部有录音录像。2022年雷州市市场监督管理局所办结案件执行完结，没有向法院申请强制执行的案件。2022年雷州市市场监督管理局行政复议案件8宗，行政诉讼案件3宗，全部执行生效的行政复议与行政判决（裁定）。</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4.加强计量监管。2022年雷州市市场监督管理局检测所计量器具的强制鉴定2000多台（件）。</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49" w:name="_Toc13196"/>
      <w:r>
        <w:rPr>
          <w:rFonts w:hint="eastAsia" w:ascii="仿宋" w:hAnsi="仿宋" w:eastAsia="仿宋" w:cs="仿宋"/>
          <w:b w:val="0"/>
          <w:bCs w:val="0"/>
          <w:color w:val="auto"/>
          <w:kern w:val="2"/>
          <w:sz w:val="28"/>
          <w:szCs w:val="28"/>
          <w:highlight w:val="none"/>
          <w:lang w:val="en-US" w:eastAsia="zh-CN"/>
        </w:rPr>
        <w:t>（四）推进知识产权保护和高质量发展</w:t>
      </w:r>
      <w:bookmarkEnd w:id="49"/>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雷州市有商标8600多个，其中著名商标 7个，地理标志产品2个，各类专利487个。2022年，雷州市市场监督管理局启动对“覃斗芒果”、“流沙南珠”等地理标志商标使用申办工作。雷州市荣辉珍珠公司、尊鼎珍珠公司已获批准“流沙南珠”地理标志使用权。指导持有著名商标2户企业著名商标延续认定，协助、指导申请人办理商标注册120多件，按省局要求全部撤回非正常专利申请132件。加强质量监管与质量强市工作，全市产品监督抽查133批次，不合格8批次，对无合格产品依法进行处置，产品质量监督检查351户，提升雷州市产品质量水平，推动了高质量发展。</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0" w:name="_Toc18745"/>
      <w:r>
        <w:rPr>
          <w:rFonts w:hint="eastAsia" w:ascii="仿宋" w:hAnsi="仿宋" w:eastAsia="仿宋" w:cs="仿宋"/>
          <w:b w:val="0"/>
          <w:bCs w:val="0"/>
          <w:color w:val="auto"/>
          <w:kern w:val="2"/>
          <w:sz w:val="28"/>
          <w:szCs w:val="28"/>
          <w:highlight w:val="none"/>
          <w:lang w:val="en-US" w:eastAsia="zh-CN"/>
        </w:rPr>
        <w:t>（五）农贸市场升级改造如期优质完成任务</w:t>
      </w:r>
      <w:bookmarkEnd w:id="50"/>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7月底前完成了省民生实事农贸市场升级改造22家，占全湛江市41.5%；11月20日前，雷州市也完成湛江市民生实事农贸市场升级改造6家，全部提前完成省、湛江市民生实事农贸市场升级改造任务。在湛江市各县（市、区)升级改造家数最多、质量最好。升级改造后全市农贸市场面貌焕然一新，干净卫生、秩序井然，管理规范，大大改善了群众日常买菜环境，提升了群众生活质量。</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1" w:name="_Toc12587"/>
      <w:r>
        <w:rPr>
          <w:rFonts w:hint="eastAsia" w:ascii="仿宋" w:hAnsi="仿宋" w:eastAsia="仿宋" w:cs="仿宋"/>
          <w:b w:val="0"/>
          <w:bCs w:val="0"/>
          <w:color w:val="auto"/>
          <w:kern w:val="2"/>
          <w:sz w:val="28"/>
          <w:szCs w:val="28"/>
          <w:highlight w:val="none"/>
          <w:lang w:val="en-US" w:eastAsia="zh-CN"/>
        </w:rPr>
        <w:t>（六）食品抽检和食用农产品快筛快检民生实事顺利完成</w:t>
      </w:r>
      <w:bookmarkEnd w:id="51"/>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度，雷州市食品抽检任务6407批次。雷州市市场监督管理局提前完成食品安全的抽样6407批次。其中不合格食品104批次，不合格率1.6%，不合格食品依法转交执法部门查处，其中移交公安机关3宗。2022年，雷州市市场监督管理局完成快筛快检食用农产品近32000批次。</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2" w:name="_Toc793"/>
      <w:r>
        <w:rPr>
          <w:rFonts w:hint="eastAsia" w:ascii="仿宋" w:hAnsi="仿宋" w:eastAsia="仿宋" w:cs="仿宋"/>
          <w:b w:val="0"/>
          <w:bCs w:val="0"/>
          <w:color w:val="auto"/>
          <w:kern w:val="2"/>
          <w:sz w:val="28"/>
          <w:szCs w:val="28"/>
          <w:highlight w:val="none"/>
          <w:lang w:val="en-US" w:eastAsia="zh-CN"/>
        </w:rPr>
        <w:t>（七）学校食堂与社会餐饮店“互联网+明厨亮灶”成效明显</w:t>
      </w:r>
      <w:bookmarkEnd w:id="52"/>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通过各方的努力，雷州市市场监督管理局全面完成了73家学校食堂与18间社会餐饮店“互联网+明厨亮灶”项目。在市领导的支持下，解决了2023年“互联网+明厨亮灶”项目维护与保障经费，让“互联网+明厨亮灶”的作用真正发挥。雷州市在全湛江市率先实现18家社会餐饮店“互联网+明厨亮灶”监管，并运用“互联网+明厨亮灶”有效地实施食品安全保障。如2023年1月6日至7日，王伟中省长到雷州市调研，成功利用平台和现场监管相结合，顺利完成在樟树湾大酒店重大活动食品安全的保障工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3" w:name="_Toc8691"/>
      <w:r>
        <w:rPr>
          <w:rFonts w:hint="eastAsia" w:ascii="仿宋" w:hAnsi="仿宋" w:eastAsia="仿宋" w:cs="仿宋"/>
          <w:b w:val="0"/>
          <w:bCs w:val="0"/>
          <w:color w:val="auto"/>
          <w:kern w:val="2"/>
          <w:sz w:val="28"/>
          <w:szCs w:val="28"/>
          <w:highlight w:val="none"/>
          <w:lang w:val="en-US" w:eastAsia="zh-CN"/>
        </w:rPr>
        <w:t>（八）扎实落实疫情防控各项措施</w:t>
      </w:r>
      <w:bookmarkEnd w:id="53"/>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2022年，雷州市市场监督管理局紧紧筑牢药店、农贸市场、冷链食品等重点领域疫情防控防线，各项防控措施扎扎实实，全市没有因为疫情防控措施落实不到位导致市场监管领域爆发疫情。一是坚持“人员、产品、环境”三同防做好冷链水产企业的疫情防控。二是切实发挥药店的“哨点作用”。三是落实好农贸市场疫情防控措施。四是落实好餐饮行业疫情管控。五是全面做好疫情期间的物价监管工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4" w:name="_Toc12711"/>
      <w:r>
        <w:rPr>
          <w:rFonts w:hint="eastAsia" w:ascii="仿宋" w:hAnsi="仿宋" w:eastAsia="仿宋" w:cs="仿宋"/>
          <w:b w:val="0"/>
          <w:bCs w:val="0"/>
          <w:color w:val="auto"/>
          <w:kern w:val="2"/>
          <w:sz w:val="28"/>
          <w:szCs w:val="28"/>
          <w:highlight w:val="none"/>
          <w:lang w:val="en-US" w:eastAsia="zh-CN"/>
        </w:rPr>
        <w:t>（九）扎实推进省级文明城市创建活动</w:t>
      </w:r>
      <w:bookmarkEnd w:id="54"/>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创文实地考核雷州市市场监督管理局主要牵头昌大昌广场、新湖市场、国际广场、新城大道商业街实地考核工作，网上上报雷州市市场监督管理局主要牵头负责食品药品安全、诚信经营、节约用餐、诚信消费等方面工作。在市创文办的指导下。雷州市市场监督管理局划片包干定岗定责，下真功夫、花真力气扎实推进创文工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lang w:val="en-US" w:eastAsia="zh-CN"/>
        </w:rPr>
      </w:pPr>
      <w:bookmarkStart w:id="55" w:name="_Toc32564"/>
      <w:r>
        <w:rPr>
          <w:rFonts w:hint="eastAsia" w:ascii="仿宋" w:hAnsi="仿宋" w:eastAsia="仿宋" w:cs="仿宋"/>
          <w:b w:val="0"/>
          <w:bCs w:val="0"/>
          <w:color w:val="auto"/>
          <w:kern w:val="2"/>
          <w:sz w:val="28"/>
          <w:szCs w:val="28"/>
          <w:highlight w:val="none"/>
          <w:lang w:val="en-US" w:eastAsia="zh-CN"/>
        </w:rPr>
        <w:t>（十）禁毒与扫黑除恶工作成效明显</w:t>
      </w:r>
      <w:bookmarkEnd w:id="55"/>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雷州市市场监督管理局所负责的化学药品禁毒领域没有发现任何毒品，2022年度全市禁毒工作考核，雷州市市场监督管理局取得94.5分的优秀档次成绩。积极开展扫黑除恶工作，2022年雷州市市场监督管理局扎实开展食品、药品、特种设备、医疗器械、价格、养老诈骗等行业治乱，切实维护公平、公正的市场秩序，把扫黑除恶不断引向深入。</w:t>
      </w:r>
    </w:p>
    <w:p>
      <w:pPr>
        <w:pStyle w:val="10"/>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2" w:firstLineChars="200"/>
        <w:contextualSpacing/>
        <w:jc w:val="both"/>
        <w:textAlignment w:val="auto"/>
        <w:outlineLvl w:val="0"/>
        <w:rPr>
          <w:rFonts w:hint="eastAsia" w:ascii="仿宋" w:hAnsi="仿宋" w:eastAsia="仿宋" w:cs="仿宋"/>
          <w:b/>
          <w:color w:val="auto"/>
          <w:kern w:val="2"/>
          <w:sz w:val="28"/>
          <w:szCs w:val="28"/>
          <w:highlight w:val="none"/>
        </w:rPr>
      </w:pPr>
      <w:bookmarkStart w:id="56" w:name="_Toc7229"/>
      <w:r>
        <w:rPr>
          <w:rFonts w:hint="eastAsia" w:ascii="仿宋" w:hAnsi="仿宋" w:eastAsia="仿宋" w:cs="仿宋"/>
          <w:b/>
          <w:color w:val="auto"/>
          <w:kern w:val="2"/>
          <w:sz w:val="28"/>
          <w:szCs w:val="28"/>
          <w:highlight w:val="none"/>
          <w:lang w:eastAsia="zh-CN"/>
        </w:rPr>
        <w:t>五、</w:t>
      </w:r>
      <w:r>
        <w:rPr>
          <w:rFonts w:hint="eastAsia" w:ascii="仿宋" w:hAnsi="仿宋" w:eastAsia="仿宋" w:cs="仿宋"/>
          <w:b/>
          <w:color w:val="auto"/>
          <w:kern w:val="2"/>
          <w:sz w:val="28"/>
          <w:szCs w:val="28"/>
          <w:highlight w:val="none"/>
        </w:rPr>
        <w:t>存在问题</w:t>
      </w:r>
      <w:bookmarkEnd w:id="43"/>
      <w:r>
        <w:rPr>
          <w:rFonts w:hint="eastAsia" w:ascii="仿宋" w:hAnsi="仿宋" w:eastAsia="仿宋" w:cs="仿宋"/>
          <w:b/>
          <w:color w:val="auto"/>
          <w:kern w:val="2"/>
          <w:sz w:val="28"/>
          <w:szCs w:val="28"/>
          <w:highlight w:val="none"/>
          <w:lang w:eastAsia="zh-CN"/>
        </w:rPr>
        <w:t>及相关建议</w:t>
      </w:r>
      <w:bookmarkEnd w:id="44"/>
      <w:bookmarkEnd w:id="56"/>
      <w:bookmarkStart w:id="57" w:name="一"/>
      <w:bookmarkEnd w:id="57"/>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outlineLvl w:val="1"/>
        <w:rPr>
          <w:rFonts w:hint="eastAsia" w:ascii="仿宋" w:hAnsi="仿宋" w:eastAsia="仿宋" w:cs="仿宋"/>
          <w:b w:val="0"/>
          <w:bCs w:val="0"/>
          <w:color w:val="auto"/>
          <w:kern w:val="2"/>
          <w:sz w:val="28"/>
          <w:szCs w:val="28"/>
          <w:highlight w:val="none"/>
        </w:rPr>
      </w:pPr>
      <w:bookmarkStart w:id="58" w:name="_Toc11913"/>
      <w:bookmarkStart w:id="59" w:name="_Toc18552"/>
      <w:bookmarkStart w:id="60" w:name="_Toc261"/>
      <w:r>
        <w:rPr>
          <w:rFonts w:hint="eastAsia" w:ascii="仿宋" w:hAnsi="仿宋" w:eastAsia="仿宋" w:cs="仿宋"/>
          <w:b w:val="0"/>
          <w:bCs w:val="0"/>
          <w:color w:val="auto"/>
          <w:kern w:val="2"/>
          <w:sz w:val="28"/>
          <w:szCs w:val="28"/>
          <w:highlight w:val="none"/>
        </w:rPr>
        <w:t>（一）存在问题</w:t>
      </w:r>
      <w:bookmarkEnd w:id="58"/>
      <w:bookmarkEnd w:id="59"/>
      <w:bookmarkEnd w:id="60"/>
      <w:bookmarkStart w:id="61" w:name="二"/>
      <w:bookmarkEnd w:id="61"/>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预决算差异率大，专项资金编制细化程度合理，出现年中调剂导致部门预决算差异大的问题，如年初项目支出预算不含食品安全抽检经费299.20万元、明厨亮灶+互联网218.84万元、业务信息系统支撑保障经费31.82万元、食用农产品快检经费17万元。</w:t>
      </w:r>
    </w:p>
    <w:p>
      <w:pPr>
        <w:pStyle w:val="10"/>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45" w:rightChars="0" w:firstLine="560" w:firstLineChars="200"/>
        <w:contextualSpacing/>
        <w:jc w:val="both"/>
        <w:textAlignment w:val="auto"/>
        <w:outlineLvl w:val="9"/>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2.未严格按照资产管理规定，每年至少盘点一次固定资产。</w:t>
      </w:r>
    </w:p>
    <w:p>
      <w:pPr>
        <w:pStyle w:val="10"/>
        <w:keepNext w:val="0"/>
        <w:keepLines w:val="0"/>
        <w:pageBreakBefore w:val="0"/>
        <w:shd w:val="clear"/>
        <w:kinsoku/>
        <w:wordWrap/>
        <w:overflowPunct/>
        <w:topLinePunct w:val="0"/>
        <w:autoSpaceDE/>
        <w:autoSpaceDN/>
        <w:bidi w:val="0"/>
        <w:adjustRightInd/>
        <w:spacing w:before="0" w:beforeAutospacing="0" w:after="0" w:afterAutospacing="0" w:line="560" w:lineRule="exact"/>
        <w:ind w:right="45" w:firstLine="560" w:firstLineChars="200"/>
        <w:contextualSpacing/>
        <w:jc w:val="both"/>
        <w:textAlignment w:val="auto"/>
        <w:outlineLvl w:val="1"/>
        <w:rPr>
          <w:rFonts w:hint="eastAsia" w:ascii="仿宋" w:hAnsi="仿宋" w:eastAsia="仿宋" w:cs="仿宋"/>
          <w:b w:val="0"/>
          <w:bCs/>
          <w:color w:val="auto"/>
          <w:kern w:val="2"/>
          <w:sz w:val="28"/>
          <w:szCs w:val="28"/>
          <w:highlight w:val="none"/>
          <w:lang w:val="en-US" w:eastAsia="zh-CN"/>
        </w:rPr>
      </w:pPr>
      <w:bookmarkStart w:id="62" w:name="_Toc22031"/>
      <w:bookmarkStart w:id="63" w:name="_Toc30769"/>
      <w:bookmarkStart w:id="64" w:name="_Toc24779"/>
      <w:r>
        <w:rPr>
          <w:rFonts w:hint="eastAsia" w:ascii="仿宋" w:hAnsi="仿宋" w:eastAsia="仿宋" w:cs="仿宋"/>
          <w:b w:val="0"/>
          <w:bCs/>
          <w:color w:val="auto"/>
          <w:kern w:val="2"/>
          <w:sz w:val="28"/>
          <w:szCs w:val="28"/>
          <w:highlight w:val="none"/>
        </w:rPr>
        <w:t>（二）</w:t>
      </w:r>
      <w:bookmarkEnd w:id="62"/>
      <w:r>
        <w:rPr>
          <w:rFonts w:hint="eastAsia" w:ascii="仿宋" w:hAnsi="仿宋" w:eastAsia="仿宋" w:cs="仿宋"/>
          <w:b w:val="0"/>
          <w:bCs/>
          <w:color w:val="auto"/>
          <w:kern w:val="2"/>
          <w:sz w:val="28"/>
          <w:szCs w:val="28"/>
          <w:highlight w:val="none"/>
          <w:lang w:val="en-US" w:eastAsia="zh-CN"/>
        </w:rPr>
        <w:t>相关建议</w:t>
      </w:r>
      <w:bookmarkEnd w:id="63"/>
      <w:bookmarkEnd w:id="64"/>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1.注重绩效目标、评价指标的关联性，更加科学合理地确定部门绩效目标和评价目标。结合实际情况科学预测，使预算编制贴合实际，切实可行，同时预算需要精细化，强化预算目标的的龙头作用。</w:t>
      </w:r>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r>
        <w:rPr>
          <w:rFonts w:hint="eastAsia" w:ascii="仿宋" w:hAnsi="仿宋" w:eastAsia="仿宋" w:cs="仿宋"/>
          <w:b w:val="0"/>
          <w:bCs w:val="0"/>
          <w:color w:val="auto"/>
          <w:kern w:val="2"/>
          <w:sz w:val="28"/>
          <w:szCs w:val="28"/>
          <w:highlight w:val="none"/>
          <w:lang w:val="en-US" w:eastAsia="zh-CN" w:bidi="ar-SA"/>
        </w:rPr>
        <w:t>严格实行资产管理制度，加强资产实物管理，严格执行资产盘点制度，每年年底前拟定资产盘点方案，资产实物管理部门、财务部门和相关资产使用部门联合进行资产盘点，针对资产数量、资产状态进行全面清查。</w:t>
      </w:r>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640"/>
        <w:contextualSpacing/>
        <w:jc w:val="both"/>
        <w:textAlignment w:val="auto"/>
        <w:rPr>
          <w:rFonts w:hint="default" w:ascii="仿宋" w:hAnsi="仿宋" w:eastAsia="仿宋" w:cs="仿宋"/>
          <w:color w:val="auto"/>
          <w:kern w:val="2"/>
          <w:sz w:val="28"/>
          <w:szCs w:val="28"/>
          <w:highlight w:val="none"/>
          <w:lang w:val="en-US" w:eastAsia="zh-CN"/>
        </w:rPr>
      </w:pPr>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562" w:firstLineChars="200"/>
        <w:contextualSpacing/>
        <w:jc w:val="both"/>
        <w:textAlignment w:val="auto"/>
        <w:outlineLvl w:val="0"/>
        <w:rPr>
          <w:rFonts w:hint="eastAsia" w:ascii="仿宋" w:hAnsi="仿宋" w:eastAsia="仿宋" w:cs="仿宋"/>
          <w:color w:val="auto"/>
          <w:kern w:val="2"/>
          <w:sz w:val="28"/>
          <w:szCs w:val="28"/>
          <w:highlight w:val="none"/>
          <w:lang w:eastAsia="zh-CN"/>
        </w:rPr>
      </w:pPr>
      <w:bookmarkStart w:id="65" w:name="_Toc1386"/>
      <w:bookmarkStart w:id="66" w:name="_Toc22165"/>
      <w:bookmarkStart w:id="67" w:name="_Toc7568"/>
      <w:r>
        <w:rPr>
          <w:rFonts w:hint="eastAsia" w:ascii="仿宋" w:hAnsi="仿宋" w:eastAsia="仿宋" w:cs="仿宋"/>
          <w:b/>
          <w:bCs/>
          <w:kern w:val="2"/>
          <w:sz w:val="28"/>
          <w:szCs w:val="28"/>
          <w:highlight w:val="none"/>
        </w:rPr>
        <w:t>附件：</w:t>
      </w:r>
      <w:bookmarkEnd w:id="65"/>
      <w:r>
        <w:rPr>
          <w:rFonts w:hint="eastAsia" w:ascii="仿宋" w:hAnsi="仿宋" w:eastAsia="仿宋" w:cs="仿宋"/>
          <w:b/>
          <w:bCs/>
          <w:kern w:val="2"/>
          <w:sz w:val="28"/>
          <w:szCs w:val="28"/>
          <w:highlight w:val="none"/>
          <w:lang w:val="en-US" w:eastAsia="zh-CN"/>
        </w:rPr>
        <w:t>雷州市市场监督管理局2022年部门整体支出绩效指标评分表</w:t>
      </w:r>
      <w:bookmarkEnd w:id="66"/>
      <w:bookmarkEnd w:id="67"/>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4200" w:firstLineChars="1500"/>
        <w:contextualSpacing/>
        <w:jc w:val="both"/>
        <w:textAlignment w:val="auto"/>
        <w:rPr>
          <w:rFonts w:hint="eastAsia" w:ascii="仿宋" w:hAnsi="仿宋" w:eastAsia="仿宋" w:cs="仿宋"/>
          <w:color w:val="auto"/>
          <w:kern w:val="2"/>
          <w:sz w:val="28"/>
          <w:szCs w:val="28"/>
          <w:highlight w:val="none"/>
          <w:lang w:eastAsia="zh-CN"/>
        </w:rPr>
      </w:pPr>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contextualSpacing/>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eastAsia="zh-CN"/>
        </w:rPr>
        <w:t>广东诚安信会计师事务所（</w:t>
      </w:r>
      <w:r>
        <w:rPr>
          <w:rFonts w:hint="eastAsia" w:ascii="仿宋" w:hAnsi="仿宋" w:eastAsia="仿宋" w:cs="仿宋"/>
          <w:color w:val="auto"/>
          <w:kern w:val="2"/>
          <w:sz w:val="28"/>
          <w:szCs w:val="28"/>
          <w:highlight w:val="none"/>
          <w:lang w:val="en-US" w:eastAsia="zh-CN"/>
        </w:rPr>
        <w:t>特殊普通合伙）</w:t>
      </w:r>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contextualSpacing/>
        <w:jc w:val="both"/>
        <w:textAlignment w:val="auto"/>
        <w:rPr>
          <w:rFonts w:hint="eastAsia" w:ascii="仿宋" w:hAnsi="仿宋" w:eastAsia="仿宋" w:cs="仿宋"/>
          <w:color w:val="auto"/>
          <w:kern w:val="2"/>
          <w:sz w:val="28"/>
          <w:szCs w:val="28"/>
          <w:highlight w:val="none"/>
          <w:lang w:val="en-US" w:eastAsia="zh-CN"/>
        </w:rPr>
      </w:pPr>
    </w:p>
    <w:p>
      <w:pPr>
        <w:pStyle w:val="10"/>
        <w:keepNext w:val="0"/>
        <w:keepLines w:val="0"/>
        <w:pageBreakBefore w:val="0"/>
        <w:kinsoku/>
        <w:wordWrap/>
        <w:overflowPunct/>
        <w:topLinePunct w:val="0"/>
        <w:autoSpaceDE/>
        <w:autoSpaceDN/>
        <w:bidi w:val="0"/>
        <w:adjustRightInd/>
        <w:spacing w:before="0" w:beforeAutospacing="0" w:after="0" w:afterAutospacing="0" w:line="560" w:lineRule="exact"/>
        <w:ind w:right="45" w:firstLine="1400" w:firstLineChars="500"/>
        <w:contextualSpacing/>
        <w:jc w:val="both"/>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中国</w:t>
      </w:r>
      <w:r>
        <w:rPr>
          <w:rFonts w:hint="eastAsia" w:ascii="微软雅黑" w:hAnsi="微软雅黑" w:eastAsia="微软雅黑" w:cs="微软雅黑"/>
          <w:color w:val="auto"/>
          <w:kern w:val="2"/>
          <w:sz w:val="28"/>
          <w:szCs w:val="28"/>
          <w:highlight w:val="none"/>
          <w:lang w:val="en-US" w:eastAsia="zh-CN"/>
        </w:rPr>
        <w:t>·</w:t>
      </w:r>
      <w:r>
        <w:rPr>
          <w:rFonts w:hint="eastAsia" w:ascii="仿宋" w:hAnsi="仿宋" w:eastAsia="仿宋" w:cs="仿宋"/>
          <w:color w:val="auto"/>
          <w:kern w:val="2"/>
          <w:sz w:val="28"/>
          <w:szCs w:val="28"/>
          <w:highlight w:val="none"/>
          <w:lang w:val="en-US" w:eastAsia="zh-CN"/>
        </w:rPr>
        <w:t>广州市</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2023年11月22日</w:t>
      </w:r>
    </w:p>
    <w:sectPr>
      <w:footerReference r:id="rId13" w:type="default"/>
      <w:pgSz w:w="11906" w:h="16838"/>
      <w:pgMar w:top="1134" w:right="1701" w:bottom="1361"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95992C-F16A-48B1-A8EF-F08FDC31255F}"/>
  </w:font>
  <w:font w:name="黑体">
    <w:panose1 w:val="02010609060101010101"/>
    <w:charset w:val="86"/>
    <w:family w:val="auto"/>
    <w:pitch w:val="default"/>
    <w:sig w:usb0="800002BF" w:usb1="38CF7CFA" w:usb2="00000016" w:usb3="00000000" w:csb0="00040001" w:csb1="00000000"/>
    <w:embedRegular r:id="rId2" w:fontKey="{5F083996-E078-490A-A52D-9BD01A1378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embedRegular r:id="rId3" w:fontKey="{3DBCD36A-E609-4AE4-B0F4-F3E87A61028B}"/>
  </w:font>
  <w:font w:name="方正小标宋简体">
    <w:altName w:val="Arial Unicode MS"/>
    <w:panose1 w:val="02000000000000000000"/>
    <w:charset w:val="86"/>
    <w:family w:val="script"/>
    <w:pitch w:val="default"/>
    <w:sig w:usb0="00000000" w:usb1="00000000" w:usb2="00000000" w:usb3="00000000" w:csb0="00040000" w:csb1="00000000"/>
    <w:embedRegular r:id="rId4" w:fontKey="{77C79903-458D-4D3F-BB7D-AC19AD7621F5}"/>
  </w:font>
  <w:font w:name="仿宋_GB2312">
    <w:altName w:val="仿宋"/>
    <w:panose1 w:val="02010609030101010101"/>
    <w:charset w:val="86"/>
    <w:family w:val="modern"/>
    <w:pitch w:val="default"/>
    <w:sig w:usb0="00000000" w:usb1="00000000" w:usb2="00000000" w:usb3="00000000" w:csb0="00040000" w:csb1="00000000"/>
    <w:embedRegular r:id="rId5" w:fontKey="{A2203FE0-1039-495E-A0A5-E18FAF88300F}"/>
  </w:font>
  <w:font w:name="Cambria">
    <w:panose1 w:val="02040503050406030204"/>
    <w:charset w:val="00"/>
    <w:family w:val="roman"/>
    <w:pitch w:val="default"/>
    <w:sig w:usb0="E00006FF" w:usb1="420024FF" w:usb2="02000000" w:usb3="00000000" w:csb0="2000019F" w:csb1="00000000"/>
    <w:embedRegular r:id="rId6" w:fontKey="{15B47724-D276-4685-90D9-9D6A75DB44C3}"/>
  </w:font>
  <w:font w:name="隶书">
    <w:panose1 w:val="02010509060101010101"/>
    <w:charset w:val="86"/>
    <w:family w:val="modern"/>
    <w:pitch w:val="default"/>
    <w:sig w:usb0="00000001" w:usb1="080E0000" w:usb2="00000000" w:usb3="00000000" w:csb0="00040000" w:csb1="00000000"/>
    <w:embedRegular r:id="rId7" w:fontKey="{65AA1052-2AAE-4451-8E39-0444E91A20A1}"/>
  </w:font>
  <w:font w:name="Arial Unicode MS">
    <w:panose1 w:val="020B0604020202020204"/>
    <w:charset w:val="86"/>
    <w:family w:val="auto"/>
    <w:pitch w:val="default"/>
    <w:sig w:usb0="FFFFFFFF" w:usb1="E9FFFFFF" w:usb2="0000003F" w:usb3="00000000" w:csb0="603F01FF" w:csb1="FFFF0000"/>
    <w:embedRegular r:id="rId8" w:fontKey="{8C9442D0-544D-44A3-9D22-4FC434965E0A}"/>
  </w:font>
  <w:font w:name="微软雅黑">
    <w:panose1 w:val="020B0503020204020204"/>
    <w:charset w:val="86"/>
    <w:family w:val="auto"/>
    <w:pitch w:val="default"/>
    <w:sig w:usb0="80000287" w:usb1="2ACF3C50" w:usb2="00000016" w:usb3="00000000" w:csb0="0004001F" w:csb1="00000000"/>
    <w:embedRegular r:id="rId9" w:fontKey="{0679A8DD-117D-4F49-B8A7-3456A94E59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pPr>
      <w:pStyle w:val="6"/>
      <w:jc w:val="center"/>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lang w:val="en-US" w:eastAsia="zh-CN"/>
      </w:rPr>
    </w:pPr>
  </w:p>
  <w:p>
    <w:pPr>
      <w:pStyle w:val="6"/>
      <w:jc w:val="center"/>
      <w:rPr>
        <w:rFonts w:hint="eastAsia"/>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pPr>
      <w:pStyle w:val="6"/>
      <w:jc w:val="center"/>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E141"/>
    <w:multiLevelType w:val="singleLevel"/>
    <w:tmpl w:val="90E2E141"/>
    <w:lvl w:ilvl="0" w:tentative="0">
      <w:start w:val="1"/>
      <w:numFmt w:val="decimal"/>
      <w:suff w:val="nothing"/>
      <w:lvlText w:val="（%1）"/>
      <w:lvlJc w:val="left"/>
    </w:lvl>
  </w:abstractNum>
  <w:abstractNum w:abstractNumId="1">
    <w:nsid w:val="CD764E39"/>
    <w:multiLevelType w:val="singleLevel"/>
    <w:tmpl w:val="CD764E39"/>
    <w:lvl w:ilvl="0" w:tentative="0">
      <w:start w:val="1"/>
      <w:numFmt w:val="decimal"/>
      <w:suff w:val="nothing"/>
      <w:lvlText w:val="%1）"/>
      <w:lvlJc w:val="left"/>
      <w:pPr>
        <w:ind w:left="640" w:leftChars="0" w:firstLine="0" w:firstLineChars="0"/>
      </w:pPr>
    </w:lvl>
  </w:abstractNum>
  <w:abstractNum w:abstractNumId="2">
    <w:nsid w:val="EA504197"/>
    <w:multiLevelType w:val="singleLevel"/>
    <w:tmpl w:val="EA504197"/>
    <w:lvl w:ilvl="0" w:tentative="0">
      <w:start w:val="1"/>
      <w:numFmt w:val="decimal"/>
      <w:suff w:val="nothing"/>
      <w:lvlText w:val="（%1）"/>
      <w:lvlJc w:val="left"/>
    </w:lvl>
  </w:abstractNum>
  <w:abstractNum w:abstractNumId="3">
    <w:nsid w:val="02512293"/>
    <w:multiLevelType w:val="singleLevel"/>
    <w:tmpl w:val="02512293"/>
    <w:lvl w:ilvl="0" w:tentative="0">
      <w:start w:val="1"/>
      <w:numFmt w:val="decimal"/>
      <w:suff w:val="nothing"/>
      <w:lvlText w:val="%1）"/>
      <w:lvlJc w:val="left"/>
      <w:pPr>
        <w:ind w:left="640" w:leftChars="0" w:firstLine="0" w:firstLineChars="0"/>
      </w:pPr>
    </w:lvl>
  </w:abstractNum>
  <w:abstractNum w:abstractNumId="4">
    <w:nsid w:val="1C3ABFE3"/>
    <w:multiLevelType w:val="singleLevel"/>
    <w:tmpl w:val="1C3ABFE3"/>
    <w:lvl w:ilvl="0" w:tentative="0">
      <w:start w:val="1"/>
      <w:numFmt w:val="decimal"/>
      <w:suff w:val="nothing"/>
      <w:lvlText w:val="%1）"/>
      <w:lvlJc w:val="left"/>
    </w:lvl>
  </w:abstractNum>
  <w:abstractNum w:abstractNumId="5">
    <w:nsid w:val="486B10A8"/>
    <w:multiLevelType w:val="singleLevel"/>
    <w:tmpl w:val="486B10A8"/>
    <w:lvl w:ilvl="0" w:tentative="0">
      <w:start w:val="1"/>
      <w:numFmt w:val="decimal"/>
      <w:suff w:val="nothing"/>
      <w:lvlText w:val="%1）"/>
      <w:lvlJc w:val="left"/>
      <w:pPr>
        <w:ind w:left="640" w:leftChars="0" w:firstLine="0" w:firstLineChars="0"/>
      </w:pPr>
    </w:lvl>
  </w:abstractNum>
  <w:abstractNum w:abstractNumId="6">
    <w:nsid w:val="785A457E"/>
    <w:multiLevelType w:val="singleLevel"/>
    <w:tmpl w:val="785A457E"/>
    <w:lvl w:ilvl="0" w:tentative="0">
      <w:start w:val="1"/>
      <w:numFmt w:val="decimal"/>
      <w:suff w:val="nothing"/>
      <w:lvlText w:val="%1）"/>
      <w:lvlJc w:val="left"/>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ZTdlOTdmOTgyNzU1NmJmOGRlNDRjYzc4NjdkNDMifQ=="/>
  </w:docVars>
  <w:rsids>
    <w:rsidRoot w:val="006553FD"/>
    <w:rsid w:val="000610D8"/>
    <w:rsid w:val="0034462D"/>
    <w:rsid w:val="00510E5D"/>
    <w:rsid w:val="006118BF"/>
    <w:rsid w:val="006553FD"/>
    <w:rsid w:val="009052E9"/>
    <w:rsid w:val="009716A5"/>
    <w:rsid w:val="0098202C"/>
    <w:rsid w:val="00AE1D2A"/>
    <w:rsid w:val="00CB203E"/>
    <w:rsid w:val="00CB7E42"/>
    <w:rsid w:val="00F74B25"/>
    <w:rsid w:val="00FB1BDD"/>
    <w:rsid w:val="00FD1F19"/>
    <w:rsid w:val="0143088D"/>
    <w:rsid w:val="0144147A"/>
    <w:rsid w:val="014B448A"/>
    <w:rsid w:val="02663C42"/>
    <w:rsid w:val="02972A4D"/>
    <w:rsid w:val="032479D2"/>
    <w:rsid w:val="036F59CE"/>
    <w:rsid w:val="04214C51"/>
    <w:rsid w:val="04E13A54"/>
    <w:rsid w:val="04E26306"/>
    <w:rsid w:val="04FC4F84"/>
    <w:rsid w:val="0538276F"/>
    <w:rsid w:val="054C316F"/>
    <w:rsid w:val="055A2662"/>
    <w:rsid w:val="056C5A14"/>
    <w:rsid w:val="056D4068"/>
    <w:rsid w:val="05C143B1"/>
    <w:rsid w:val="05E11832"/>
    <w:rsid w:val="05E91BB0"/>
    <w:rsid w:val="066F735C"/>
    <w:rsid w:val="07254F2F"/>
    <w:rsid w:val="07336CFD"/>
    <w:rsid w:val="07412E70"/>
    <w:rsid w:val="07BC3F10"/>
    <w:rsid w:val="07E15ED1"/>
    <w:rsid w:val="08E2451B"/>
    <w:rsid w:val="08E72467"/>
    <w:rsid w:val="08ED0734"/>
    <w:rsid w:val="094D3822"/>
    <w:rsid w:val="09510593"/>
    <w:rsid w:val="09957CE7"/>
    <w:rsid w:val="09C66AFC"/>
    <w:rsid w:val="09FC0BB7"/>
    <w:rsid w:val="0A0145CC"/>
    <w:rsid w:val="0A2F1F54"/>
    <w:rsid w:val="0A391B13"/>
    <w:rsid w:val="0A4B19B8"/>
    <w:rsid w:val="0A735A2D"/>
    <w:rsid w:val="0AE31A2F"/>
    <w:rsid w:val="0AEF63D4"/>
    <w:rsid w:val="0AF858DE"/>
    <w:rsid w:val="0B4D3BF1"/>
    <w:rsid w:val="0BCB0FBA"/>
    <w:rsid w:val="0C0B5597"/>
    <w:rsid w:val="0CA46B2F"/>
    <w:rsid w:val="0D2F28F9"/>
    <w:rsid w:val="0D3A38D0"/>
    <w:rsid w:val="0D42774F"/>
    <w:rsid w:val="0D486492"/>
    <w:rsid w:val="0E1C0AF6"/>
    <w:rsid w:val="0E3B31DF"/>
    <w:rsid w:val="0E3E3CC5"/>
    <w:rsid w:val="0E740392"/>
    <w:rsid w:val="0E9F7958"/>
    <w:rsid w:val="0EB91135"/>
    <w:rsid w:val="0EC275F8"/>
    <w:rsid w:val="0EC36E68"/>
    <w:rsid w:val="0F114F36"/>
    <w:rsid w:val="0F386966"/>
    <w:rsid w:val="0F4551ED"/>
    <w:rsid w:val="0F6328B2"/>
    <w:rsid w:val="10145081"/>
    <w:rsid w:val="1018468C"/>
    <w:rsid w:val="102052AA"/>
    <w:rsid w:val="10B50A33"/>
    <w:rsid w:val="10C17DEC"/>
    <w:rsid w:val="10D9230E"/>
    <w:rsid w:val="11473FEA"/>
    <w:rsid w:val="11480948"/>
    <w:rsid w:val="118A26B6"/>
    <w:rsid w:val="11901EDC"/>
    <w:rsid w:val="11A313FB"/>
    <w:rsid w:val="12146903"/>
    <w:rsid w:val="12547238"/>
    <w:rsid w:val="127D6E0B"/>
    <w:rsid w:val="12CF6372"/>
    <w:rsid w:val="12D96F5E"/>
    <w:rsid w:val="134E0E97"/>
    <w:rsid w:val="13CF2577"/>
    <w:rsid w:val="13DA6E65"/>
    <w:rsid w:val="13E5068D"/>
    <w:rsid w:val="1416193A"/>
    <w:rsid w:val="14483D94"/>
    <w:rsid w:val="14BC5351"/>
    <w:rsid w:val="14F03BFB"/>
    <w:rsid w:val="15284D87"/>
    <w:rsid w:val="15410885"/>
    <w:rsid w:val="1590451C"/>
    <w:rsid w:val="15915022"/>
    <w:rsid w:val="15DB7A2A"/>
    <w:rsid w:val="16532FDD"/>
    <w:rsid w:val="16600424"/>
    <w:rsid w:val="168B0AE8"/>
    <w:rsid w:val="16DA1BD6"/>
    <w:rsid w:val="16E53E09"/>
    <w:rsid w:val="16F73DB7"/>
    <w:rsid w:val="1744435A"/>
    <w:rsid w:val="177A3D9C"/>
    <w:rsid w:val="17B14443"/>
    <w:rsid w:val="17EA62B4"/>
    <w:rsid w:val="183A4DC4"/>
    <w:rsid w:val="18BE612E"/>
    <w:rsid w:val="18D568ED"/>
    <w:rsid w:val="19293347"/>
    <w:rsid w:val="19A9175B"/>
    <w:rsid w:val="19DB4ABE"/>
    <w:rsid w:val="1A725ABB"/>
    <w:rsid w:val="1A7D50CC"/>
    <w:rsid w:val="1AB64BE3"/>
    <w:rsid w:val="1B4273F3"/>
    <w:rsid w:val="1BC03276"/>
    <w:rsid w:val="1C11391D"/>
    <w:rsid w:val="1C4921B3"/>
    <w:rsid w:val="1C940F1F"/>
    <w:rsid w:val="1CC63464"/>
    <w:rsid w:val="1CCD2149"/>
    <w:rsid w:val="1CF4064E"/>
    <w:rsid w:val="1D2B3141"/>
    <w:rsid w:val="1D837797"/>
    <w:rsid w:val="1D8D125D"/>
    <w:rsid w:val="1D8E3BF5"/>
    <w:rsid w:val="1D9C0ECD"/>
    <w:rsid w:val="1DA455BF"/>
    <w:rsid w:val="1DB4008A"/>
    <w:rsid w:val="1DD16691"/>
    <w:rsid w:val="1E1C62C1"/>
    <w:rsid w:val="1E285CBA"/>
    <w:rsid w:val="1EA60122"/>
    <w:rsid w:val="1EC45F77"/>
    <w:rsid w:val="1EF90052"/>
    <w:rsid w:val="1F584058"/>
    <w:rsid w:val="1F7532BF"/>
    <w:rsid w:val="1F79672D"/>
    <w:rsid w:val="1FB449B9"/>
    <w:rsid w:val="20CE7DDA"/>
    <w:rsid w:val="2119252B"/>
    <w:rsid w:val="21375651"/>
    <w:rsid w:val="21BD7529"/>
    <w:rsid w:val="21C13B79"/>
    <w:rsid w:val="223512C7"/>
    <w:rsid w:val="22BF0A84"/>
    <w:rsid w:val="234C07DB"/>
    <w:rsid w:val="2357213C"/>
    <w:rsid w:val="241A0105"/>
    <w:rsid w:val="2426609F"/>
    <w:rsid w:val="243D7FA3"/>
    <w:rsid w:val="245E247D"/>
    <w:rsid w:val="246E0F7F"/>
    <w:rsid w:val="248301B4"/>
    <w:rsid w:val="24EC60FD"/>
    <w:rsid w:val="24F85B4F"/>
    <w:rsid w:val="250D7824"/>
    <w:rsid w:val="252235A1"/>
    <w:rsid w:val="25572797"/>
    <w:rsid w:val="25680356"/>
    <w:rsid w:val="25EE348E"/>
    <w:rsid w:val="25F43F56"/>
    <w:rsid w:val="264F1FC7"/>
    <w:rsid w:val="26D724F1"/>
    <w:rsid w:val="26D74138"/>
    <w:rsid w:val="270E6816"/>
    <w:rsid w:val="27796EA6"/>
    <w:rsid w:val="27C465B8"/>
    <w:rsid w:val="27EC7A38"/>
    <w:rsid w:val="286D2A41"/>
    <w:rsid w:val="28910857"/>
    <w:rsid w:val="28B74948"/>
    <w:rsid w:val="29140A5E"/>
    <w:rsid w:val="29C25353"/>
    <w:rsid w:val="29D206E5"/>
    <w:rsid w:val="2A201887"/>
    <w:rsid w:val="2A437445"/>
    <w:rsid w:val="2A9D02C5"/>
    <w:rsid w:val="2B55319D"/>
    <w:rsid w:val="2B7650C9"/>
    <w:rsid w:val="2B9F54CC"/>
    <w:rsid w:val="2BA032B8"/>
    <w:rsid w:val="2BAF5C4C"/>
    <w:rsid w:val="2BFA7A6E"/>
    <w:rsid w:val="2C2B01F5"/>
    <w:rsid w:val="2C3167C0"/>
    <w:rsid w:val="2C5C3248"/>
    <w:rsid w:val="2C89614E"/>
    <w:rsid w:val="2D493F84"/>
    <w:rsid w:val="2E051E23"/>
    <w:rsid w:val="2E222864"/>
    <w:rsid w:val="2EB35AF1"/>
    <w:rsid w:val="2EBD258D"/>
    <w:rsid w:val="2F400AFF"/>
    <w:rsid w:val="2FD64E4D"/>
    <w:rsid w:val="2FD774C9"/>
    <w:rsid w:val="2FD951A4"/>
    <w:rsid w:val="300E4B87"/>
    <w:rsid w:val="30227AED"/>
    <w:rsid w:val="309B2D5D"/>
    <w:rsid w:val="30E779E6"/>
    <w:rsid w:val="32096A79"/>
    <w:rsid w:val="323B67F2"/>
    <w:rsid w:val="323C1B3A"/>
    <w:rsid w:val="333922BD"/>
    <w:rsid w:val="336A4177"/>
    <w:rsid w:val="338D19FA"/>
    <w:rsid w:val="33957669"/>
    <w:rsid w:val="339A6E21"/>
    <w:rsid w:val="33A82BD4"/>
    <w:rsid w:val="33EC1B18"/>
    <w:rsid w:val="340E0C8A"/>
    <w:rsid w:val="346A5AF0"/>
    <w:rsid w:val="348C4EDB"/>
    <w:rsid w:val="349C4D6D"/>
    <w:rsid w:val="34A00B14"/>
    <w:rsid w:val="355949A8"/>
    <w:rsid w:val="356B22AB"/>
    <w:rsid w:val="358C1A11"/>
    <w:rsid w:val="36764DFA"/>
    <w:rsid w:val="374705CF"/>
    <w:rsid w:val="37573784"/>
    <w:rsid w:val="37BA21B8"/>
    <w:rsid w:val="386018A7"/>
    <w:rsid w:val="38A357FF"/>
    <w:rsid w:val="38D83DA0"/>
    <w:rsid w:val="391261EF"/>
    <w:rsid w:val="39322F0F"/>
    <w:rsid w:val="399E39A9"/>
    <w:rsid w:val="3A1B4BCC"/>
    <w:rsid w:val="3A501992"/>
    <w:rsid w:val="3A6022F5"/>
    <w:rsid w:val="3B182949"/>
    <w:rsid w:val="3B3213E9"/>
    <w:rsid w:val="3B4518B2"/>
    <w:rsid w:val="3B984262"/>
    <w:rsid w:val="3B9F66D9"/>
    <w:rsid w:val="3BB5472F"/>
    <w:rsid w:val="3BE178BA"/>
    <w:rsid w:val="3C215E42"/>
    <w:rsid w:val="3C7D4B5C"/>
    <w:rsid w:val="3CC2788D"/>
    <w:rsid w:val="3CDF462C"/>
    <w:rsid w:val="3D01613F"/>
    <w:rsid w:val="3D8F7F08"/>
    <w:rsid w:val="3E1C1582"/>
    <w:rsid w:val="3E1D6FEE"/>
    <w:rsid w:val="3EAF1681"/>
    <w:rsid w:val="3EC97F7C"/>
    <w:rsid w:val="3F58505F"/>
    <w:rsid w:val="3F655459"/>
    <w:rsid w:val="3F831836"/>
    <w:rsid w:val="3FB97C73"/>
    <w:rsid w:val="40652F4B"/>
    <w:rsid w:val="40957C27"/>
    <w:rsid w:val="40E165AE"/>
    <w:rsid w:val="417235CA"/>
    <w:rsid w:val="422623A5"/>
    <w:rsid w:val="423A7D24"/>
    <w:rsid w:val="42973F1A"/>
    <w:rsid w:val="435D59AE"/>
    <w:rsid w:val="43670011"/>
    <w:rsid w:val="44915BF6"/>
    <w:rsid w:val="44AD6ED3"/>
    <w:rsid w:val="44CA05E1"/>
    <w:rsid w:val="44D0413B"/>
    <w:rsid w:val="458319E2"/>
    <w:rsid w:val="45976B9E"/>
    <w:rsid w:val="45976EB0"/>
    <w:rsid w:val="45C41750"/>
    <w:rsid w:val="46065001"/>
    <w:rsid w:val="4649264B"/>
    <w:rsid w:val="466754BC"/>
    <w:rsid w:val="46804E26"/>
    <w:rsid w:val="471A0E3A"/>
    <w:rsid w:val="472471F5"/>
    <w:rsid w:val="47A33089"/>
    <w:rsid w:val="47B34B2C"/>
    <w:rsid w:val="47B96206"/>
    <w:rsid w:val="47E701C3"/>
    <w:rsid w:val="484336AB"/>
    <w:rsid w:val="48896B97"/>
    <w:rsid w:val="48A17D12"/>
    <w:rsid w:val="48E77CCF"/>
    <w:rsid w:val="49296D45"/>
    <w:rsid w:val="49D901DE"/>
    <w:rsid w:val="49E57CBF"/>
    <w:rsid w:val="4A445831"/>
    <w:rsid w:val="4AA03489"/>
    <w:rsid w:val="4AA46C3D"/>
    <w:rsid w:val="4B842E15"/>
    <w:rsid w:val="4B8E213E"/>
    <w:rsid w:val="4BC04DC1"/>
    <w:rsid w:val="4C060F0A"/>
    <w:rsid w:val="4C532704"/>
    <w:rsid w:val="4CF42DDD"/>
    <w:rsid w:val="4D170761"/>
    <w:rsid w:val="4DCD1808"/>
    <w:rsid w:val="4DD95A7F"/>
    <w:rsid w:val="4E1E1819"/>
    <w:rsid w:val="4E5008D0"/>
    <w:rsid w:val="4EE0513F"/>
    <w:rsid w:val="4F424DC1"/>
    <w:rsid w:val="4F807C09"/>
    <w:rsid w:val="4F9D64E6"/>
    <w:rsid w:val="4F9D7425"/>
    <w:rsid w:val="4FDF1314"/>
    <w:rsid w:val="50151A64"/>
    <w:rsid w:val="50502881"/>
    <w:rsid w:val="50F73284"/>
    <w:rsid w:val="51046643"/>
    <w:rsid w:val="512C5E3D"/>
    <w:rsid w:val="51B6571C"/>
    <w:rsid w:val="521F6A2C"/>
    <w:rsid w:val="52306C59"/>
    <w:rsid w:val="526C43A6"/>
    <w:rsid w:val="52DE7291"/>
    <w:rsid w:val="52E33AC0"/>
    <w:rsid w:val="52E81D78"/>
    <w:rsid w:val="532B36F7"/>
    <w:rsid w:val="532E3B54"/>
    <w:rsid w:val="537F60A7"/>
    <w:rsid w:val="538E654D"/>
    <w:rsid w:val="53B96ADB"/>
    <w:rsid w:val="53F570AB"/>
    <w:rsid w:val="543426BF"/>
    <w:rsid w:val="544D38E7"/>
    <w:rsid w:val="54576093"/>
    <w:rsid w:val="54767185"/>
    <w:rsid w:val="54806739"/>
    <w:rsid w:val="54972046"/>
    <w:rsid w:val="549A4073"/>
    <w:rsid w:val="54A808BB"/>
    <w:rsid w:val="54B50B17"/>
    <w:rsid w:val="54E975BD"/>
    <w:rsid w:val="54F75D52"/>
    <w:rsid w:val="54FA6421"/>
    <w:rsid w:val="55582E2C"/>
    <w:rsid w:val="557E0B12"/>
    <w:rsid w:val="55D17FE7"/>
    <w:rsid w:val="55EB1886"/>
    <w:rsid w:val="563B5D4D"/>
    <w:rsid w:val="569745A7"/>
    <w:rsid w:val="56B15BEA"/>
    <w:rsid w:val="56E06F7F"/>
    <w:rsid w:val="56E30533"/>
    <w:rsid w:val="56FC33A3"/>
    <w:rsid w:val="57E41DCC"/>
    <w:rsid w:val="57E866BC"/>
    <w:rsid w:val="57FF601C"/>
    <w:rsid w:val="580376B3"/>
    <w:rsid w:val="581623A1"/>
    <w:rsid w:val="587873A1"/>
    <w:rsid w:val="58852069"/>
    <w:rsid w:val="59192988"/>
    <w:rsid w:val="598A2DDA"/>
    <w:rsid w:val="5AFD7996"/>
    <w:rsid w:val="5B023A60"/>
    <w:rsid w:val="5B543CBA"/>
    <w:rsid w:val="5B5F685F"/>
    <w:rsid w:val="5B90790F"/>
    <w:rsid w:val="5C637435"/>
    <w:rsid w:val="5C6711A6"/>
    <w:rsid w:val="5CBD63E7"/>
    <w:rsid w:val="5CC65B5C"/>
    <w:rsid w:val="5CDD5A18"/>
    <w:rsid w:val="5D046280"/>
    <w:rsid w:val="5D673DD3"/>
    <w:rsid w:val="5DD919B1"/>
    <w:rsid w:val="5DE13B48"/>
    <w:rsid w:val="5DEC32FE"/>
    <w:rsid w:val="5E493261"/>
    <w:rsid w:val="5E8D16E1"/>
    <w:rsid w:val="5EA02954"/>
    <w:rsid w:val="5EAE0FA0"/>
    <w:rsid w:val="5EC1169B"/>
    <w:rsid w:val="5EEE6F69"/>
    <w:rsid w:val="5F2A743A"/>
    <w:rsid w:val="5F3442DF"/>
    <w:rsid w:val="5F38683C"/>
    <w:rsid w:val="5F550E87"/>
    <w:rsid w:val="5FDD6EA0"/>
    <w:rsid w:val="5FEC26FB"/>
    <w:rsid w:val="5FED41D0"/>
    <w:rsid w:val="602C5C12"/>
    <w:rsid w:val="602E3933"/>
    <w:rsid w:val="6054590E"/>
    <w:rsid w:val="60A21F13"/>
    <w:rsid w:val="60E824B8"/>
    <w:rsid w:val="60F86860"/>
    <w:rsid w:val="61034F55"/>
    <w:rsid w:val="611363A8"/>
    <w:rsid w:val="61AB60F1"/>
    <w:rsid w:val="61C95D4C"/>
    <w:rsid w:val="61FF4602"/>
    <w:rsid w:val="6282244A"/>
    <w:rsid w:val="63002286"/>
    <w:rsid w:val="633D167C"/>
    <w:rsid w:val="638F7EB3"/>
    <w:rsid w:val="63CB6CB5"/>
    <w:rsid w:val="64AD23E1"/>
    <w:rsid w:val="64D532A9"/>
    <w:rsid w:val="650E32F7"/>
    <w:rsid w:val="652146FB"/>
    <w:rsid w:val="65255AC0"/>
    <w:rsid w:val="654F001E"/>
    <w:rsid w:val="655B2CCD"/>
    <w:rsid w:val="657263F0"/>
    <w:rsid w:val="657F4273"/>
    <w:rsid w:val="65866261"/>
    <w:rsid w:val="66170870"/>
    <w:rsid w:val="66483F1B"/>
    <w:rsid w:val="66CD4C59"/>
    <w:rsid w:val="66EE1EAE"/>
    <w:rsid w:val="66FD6A13"/>
    <w:rsid w:val="67232083"/>
    <w:rsid w:val="67401089"/>
    <w:rsid w:val="67626AA4"/>
    <w:rsid w:val="676C6D60"/>
    <w:rsid w:val="677B6565"/>
    <w:rsid w:val="67B703C4"/>
    <w:rsid w:val="67CB2B39"/>
    <w:rsid w:val="67FC3AB9"/>
    <w:rsid w:val="68385372"/>
    <w:rsid w:val="685072A2"/>
    <w:rsid w:val="68893842"/>
    <w:rsid w:val="689F4625"/>
    <w:rsid w:val="68D92092"/>
    <w:rsid w:val="68F83E9E"/>
    <w:rsid w:val="694F4EA7"/>
    <w:rsid w:val="69576324"/>
    <w:rsid w:val="696A23DB"/>
    <w:rsid w:val="69925B38"/>
    <w:rsid w:val="69DC62D0"/>
    <w:rsid w:val="69F76873"/>
    <w:rsid w:val="6A0A2212"/>
    <w:rsid w:val="6A0C7949"/>
    <w:rsid w:val="6A4D4D3C"/>
    <w:rsid w:val="6AC141B9"/>
    <w:rsid w:val="6B2011A7"/>
    <w:rsid w:val="6B6328A5"/>
    <w:rsid w:val="6B6E6B65"/>
    <w:rsid w:val="6BC458E0"/>
    <w:rsid w:val="6C1D74FA"/>
    <w:rsid w:val="6C4D5BCC"/>
    <w:rsid w:val="6C5C1D08"/>
    <w:rsid w:val="6CCA0373"/>
    <w:rsid w:val="6CEB7475"/>
    <w:rsid w:val="6D0C1F17"/>
    <w:rsid w:val="6D0C450A"/>
    <w:rsid w:val="6D986AE8"/>
    <w:rsid w:val="6E581888"/>
    <w:rsid w:val="6E661DDA"/>
    <w:rsid w:val="6E8B56A0"/>
    <w:rsid w:val="6ED9511F"/>
    <w:rsid w:val="6F333008"/>
    <w:rsid w:val="6F43268C"/>
    <w:rsid w:val="6F4627D8"/>
    <w:rsid w:val="6FC14765"/>
    <w:rsid w:val="6FF95953"/>
    <w:rsid w:val="7044252B"/>
    <w:rsid w:val="709B4E02"/>
    <w:rsid w:val="70D97FEC"/>
    <w:rsid w:val="712D6E27"/>
    <w:rsid w:val="718D4B73"/>
    <w:rsid w:val="719B0C48"/>
    <w:rsid w:val="72047050"/>
    <w:rsid w:val="7334078B"/>
    <w:rsid w:val="733818D1"/>
    <w:rsid w:val="73970283"/>
    <w:rsid w:val="73A701FD"/>
    <w:rsid w:val="73F25AF4"/>
    <w:rsid w:val="74424693"/>
    <w:rsid w:val="746A2535"/>
    <w:rsid w:val="746C7816"/>
    <w:rsid w:val="74753E0F"/>
    <w:rsid w:val="74973B11"/>
    <w:rsid w:val="74C672AC"/>
    <w:rsid w:val="756822D6"/>
    <w:rsid w:val="758B2F20"/>
    <w:rsid w:val="75BA6AC0"/>
    <w:rsid w:val="75CD0A0C"/>
    <w:rsid w:val="75D31456"/>
    <w:rsid w:val="7624358B"/>
    <w:rsid w:val="766E23DB"/>
    <w:rsid w:val="76AC5CF8"/>
    <w:rsid w:val="76D55E4D"/>
    <w:rsid w:val="77A777E6"/>
    <w:rsid w:val="77BE4626"/>
    <w:rsid w:val="785557B8"/>
    <w:rsid w:val="789C6597"/>
    <w:rsid w:val="78AF75CE"/>
    <w:rsid w:val="78EC2E1F"/>
    <w:rsid w:val="79227053"/>
    <w:rsid w:val="792D5A15"/>
    <w:rsid w:val="79AC59BE"/>
    <w:rsid w:val="79C45B4A"/>
    <w:rsid w:val="79DB0B18"/>
    <w:rsid w:val="7A5F5AFA"/>
    <w:rsid w:val="7A824ED6"/>
    <w:rsid w:val="7AE8284E"/>
    <w:rsid w:val="7B14110B"/>
    <w:rsid w:val="7B5C106C"/>
    <w:rsid w:val="7B9626DB"/>
    <w:rsid w:val="7BF520BE"/>
    <w:rsid w:val="7C585A5D"/>
    <w:rsid w:val="7C697AF2"/>
    <w:rsid w:val="7C811052"/>
    <w:rsid w:val="7C932C89"/>
    <w:rsid w:val="7CAC6088"/>
    <w:rsid w:val="7CED7166"/>
    <w:rsid w:val="7D417FD2"/>
    <w:rsid w:val="7DEB2E3A"/>
    <w:rsid w:val="7DFC6567"/>
    <w:rsid w:val="7E067F33"/>
    <w:rsid w:val="7E103FAB"/>
    <w:rsid w:val="7E6D661C"/>
    <w:rsid w:val="7EE31F15"/>
    <w:rsid w:val="7F1475B9"/>
    <w:rsid w:val="7F4219EB"/>
    <w:rsid w:val="7F682B8A"/>
    <w:rsid w:val="7FA839A4"/>
    <w:rsid w:val="7FD65EF0"/>
    <w:rsid w:val="7FFE0C5B"/>
    <w:rsid w:val="7FFE8C8F"/>
    <w:rsid w:val="B4FF42A2"/>
    <w:rsid w:val="F5EC96D6"/>
    <w:rsid w:val="FDD88CA6"/>
    <w:rsid w:val="FEBCB9F4"/>
    <w:rsid w:val="FEFE6651"/>
    <w:rsid w:val="FF5DB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ind w:left="161"/>
    </w:pPr>
    <w:rPr>
      <w:rFonts w:hint="eastAsia" w:ascii="Microsoft JhengHei" w:hAnsi="Microsoft JhengHei" w:eastAsia="Microsoft JhengHei" w:cs="Times New Roman"/>
      <w:sz w:val="24"/>
      <w:szCs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4"/>
    <w:unhideWhenUsed/>
    <w:qFormat/>
    <w:uiPriority w:val="99"/>
    <w:pPr>
      <w:ind w:firstLine="420" w:firstLineChars="100"/>
    </w:p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文档结构图 Char"/>
    <w:basedOn w:val="13"/>
    <w:link w:val="17"/>
    <w:semiHidden/>
    <w:qFormat/>
    <w:uiPriority w:val="0"/>
    <w:rPr>
      <w:rFonts w:ascii="宋体"/>
      <w:kern w:val="2"/>
      <w:sz w:val="18"/>
      <w:szCs w:val="18"/>
    </w:rPr>
  </w:style>
  <w:style w:type="paragraph" w:customStyle="1" w:styleId="17">
    <w:name w:val="文档结构图1"/>
    <w:basedOn w:val="1"/>
    <w:link w:val="16"/>
    <w:qFormat/>
    <w:uiPriority w:val="0"/>
    <w:rPr>
      <w:rFonts w:ascii="宋体"/>
      <w:sz w:val="18"/>
      <w:szCs w:val="18"/>
    </w:rPr>
  </w:style>
  <w:style w:type="paragraph" w:customStyle="1" w:styleId="18">
    <w:name w:val="批注框文本1"/>
    <w:basedOn w:val="1"/>
    <w:qFormat/>
    <w:uiPriority w:val="0"/>
    <w:rPr>
      <w:sz w:val="18"/>
      <w:szCs w:val="18"/>
    </w:rPr>
  </w:style>
  <w:style w:type="paragraph" w:customStyle="1" w:styleId="19">
    <w:name w:val="0"/>
    <w:basedOn w:val="1"/>
    <w:qFormat/>
    <w:uiPriority w:val="0"/>
    <w:pPr>
      <w:widowControl/>
      <w:snapToGrid w:val="0"/>
      <w:spacing w:line="408" w:lineRule="auto"/>
      <w:ind w:left="1"/>
    </w:pPr>
    <w:rPr>
      <w:color w:val="000000"/>
      <w:kern w:val="0"/>
      <w:szCs w:val="21"/>
    </w:rPr>
  </w:style>
  <w:style w:type="paragraph" w:customStyle="1" w:styleId="20">
    <w:name w:val="正文文本缩进1"/>
    <w:basedOn w:val="1"/>
    <w:qFormat/>
    <w:uiPriority w:val="0"/>
    <w:pPr>
      <w:spacing w:line="560" w:lineRule="atLeast"/>
      <w:ind w:firstLine="542" w:firstLineChars="200"/>
    </w:pPr>
    <w:rPr>
      <w:rFonts w:ascii="宋体"/>
      <w:sz w:val="24"/>
      <w:szCs w:val="20"/>
    </w:rPr>
  </w:style>
  <w:style w:type="paragraph" w:customStyle="1" w:styleId="21">
    <w:name w:val="正文文本缩进 21"/>
    <w:basedOn w:val="1"/>
    <w:qFormat/>
    <w:uiPriority w:val="0"/>
    <w:pPr>
      <w:spacing w:after="120" w:line="480" w:lineRule="auto"/>
      <w:ind w:left="200" w:leftChars="200"/>
    </w:pPr>
  </w:style>
  <w:style w:type="character" w:customStyle="1" w:styleId="22">
    <w:name w:val="页码1"/>
    <w:basedOn w:val="13"/>
    <w:qFormat/>
    <w:uiPriority w:val="0"/>
  </w:style>
  <w:style w:type="character" w:customStyle="1" w:styleId="23">
    <w:name w:val="批注框文本 Char"/>
    <w:basedOn w:val="13"/>
    <w:link w:val="5"/>
    <w:qFormat/>
    <w:uiPriority w:val="0"/>
    <w:rPr>
      <w:kern w:val="2"/>
      <w:sz w:val="18"/>
      <w:szCs w:val="18"/>
    </w:rPr>
  </w:style>
  <w:style w:type="character" w:customStyle="1" w:styleId="24">
    <w:name w:val="font11"/>
    <w:basedOn w:val="13"/>
    <w:qFormat/>
    <w:uiPriority w:val="0"/>
    <w:rPr>
      <w:rFonts w:hint="eastAsia" w:ascii="宋体" w:hAnsi="宋体" w:eastAsia="宋体" w:cs="宋体"/>
      <w:color w:val="000000"/>
      <w:sz w:val="20"/>
      <w:szCs w:val="20"/>
      <w:u w:val="none"/>
    </w:rPr>
  </w:style>
  <w:style w:type="character" w:customStyle="1" w:styleId="25">
    <w:name w:val="正文 + Arial Char"/>
    <w:link w:val="26"/>
    <w:qFormat/>
    <w:uiPriority w:val="0"/>
    <w:rPr>
      <w:rFonts w:ascii="Arial" w:cs="Arial"/>
    </w:rPr>
  </w:style>
  <w:style w:type="paragraph" w:customStyle="1" w:styleId="26">
    <w:name w:val="正文 + Arial"/>
    <w:basedOn w:val="1"/>
    <w:link w:val="25"/>
    <w:qFormat/>
    <w:uiPriority w:val="0"/>
    <w:pPr>
      <w:spacing w:after="120" w:afterLines="50" w:line="360" w:lineRule="auto"/>
      <w:ind w:firstLine="420" w:firstLineChars="200"/>
    </w:pPr>
    <w:rPr>
      <w:rFonts w:ascii="Arial" w:cs="Arial"/>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列出段落11"/>
    <w:basedOn w:val="1"/>
    <w:qFormat/>
    <w:uiPriority w:val="0"/>
    <w:pPr>
      <w:ind w:firstLine="420" w:firstLineChars="200"/>
    </w:pPr>
    <w:rPr>
      <w:rFonts w:ascii="Calibri" w:hAnsi="Calibri"/>
      <w:szCs w:val="22"/>
    </w:rPr>
  </w:style>
  <w:style w:type="paragraph" w:customStyle="1" w:styleId="29">
    <w:name w:val="￥正文"/>
    <w:basedOn w:val="1"/>
    <w:qFormat/>
    <w:uiPriority w:val="0"/>
    <w:pPr>
      <w:widowControl/>
      <w:spacing w:beforeLines="50" w:afterLines="50" w:line="500" w:lineRule="exact"/>
      <w:ind w:firstLine="200" w:firstLineChars="200"/>
    </w:pPr>
    <w:rPr>
      <w:rFonts w:ascii="Times New Roman" w:hAnsi="Times New Roman" w:eastAsia="宋体" w:cs="Times New Roman"/>
      <w:kern w:val="0"/>
      <w:sz w:val="24"/>
      <w:szCs w:val="20"/>
    </w:rPr>
  </w:style>
  <w:style w:type="paragraph" w:customStyle="1" w:styleId="30">
    <w:name w:val="_Style 1"/>
    <w:basedOn w:val="1"/>
    <w:qFormat/>
    <w:uiPriority w:val="0"/>
    <w:pPr>
      <w:ind w:firstLine="420" w:firstLineChars="200"/>
    </w:pPr>
  </w:style>
  <w:style w:type="paragraph" w:customStyle="1" w:styleId="31">
    <w:name w:val="Body text|1"/>
    <w:basedOn w:val="1"/>
    <w:qFormat/>
    <w:uiPriority w:val="0"/>
    <w:pPr>
      <w:widowControl w:val="0"/>
      <w:shd w:val="clear" w:color="auto" w:fill="auto"/>
      <w:spacing w:line="269" w:lineRule="auto"/>
    </w:pPr>
    <w:rPr>
      <w:rFonts w:ascii="宋体" w:hAnsi="宋体" w:eastAsia="宋体" w:cs="宋体"/>
      <w:sz w:val="20"/>
      <w:szCs w:val="20"/>
      <w:u w:val="none"/>
      <w:shd w:val="clear" w:color="auto" w:fill="auto"/>
      <w:lang w:val="zh-TW" w:eastAsia="zh-TW" w:bidi="zh-TW"/>
    </w:rPr>
  </w:style>
  <w:style w:type="paragraph" w:customStyle="1" w:styleId="32">
    <w:name w:val="Heading #1|1"/>
    <w:basedOn w:val="1"/>
    <w:qFormat/>
    <w:uiPriority w:val="0"/>
    <w:pPr>
      <w:widowControl w:val="0"/>
      <w:shd w:val="clear" w:color="auto" w:fill="auto"/>
      <w:spacing w:after="420" w:line="574" w:lineRule="exact"/>
      <w:outlineLvl w:val="0"/>
    </w:pPr>
    <w:rPr>
      <w:rFonts w:ascii="宋体" w:hAnsi="宋体" w:eastAsia="宋体" w:cs="宋体"/>
      <w:sz w:val="34"/>
      <w:szCs w:val="34"/>
      <w:u w:val="none"/>
      <w:shd w:val="clear" w:color="auto" w:fill="auto"/>
      <w:lang w:val="zh-TW" w:eastAsia="zh-TW" w:bidi="zh-TW"/>
    </w:rPr>
  </w:style>
  <w:style w:type="paragraph" w:customStyle="1" w:styleId="33">
    <w:name w:val="Other|1"/>
    <w:basedOn w:val="1"/>
    <w:qFormat/>
    <w:uiPriority w:val="0"/>
    <w:pPr>
      <w:widowControl w:val="0"/>
      <w:shd w:val="clear" w:color="auto" w:fill="auto"/>
      <w:spacing w:after="42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WPSOffice手动目录 2"/>
    <w:autoRedefine/>
    <w:qFormat/>
    <w:uiPriority w:val="0"/>
    <w:pPr>
      <w:ind w:leftChars="200"/>
    </w:pPr>
    <w:rPr>
      <w:rFonts w:ascii="Times New Roman" w:hAnsi="Times New Roman" w:eastAsia="宋体" w:cs="Times New Roman"/>
      <w:sz w:val="20"/>
      <w:szCs w:val="20"/>
    </w:rPr>
  </w:style>
  <w:style w:type="character" w:customStyle="1" w:styleId="36">
    <w:name w:val="time"/>
    <w:basedOn w:val="13"/>
    <w:autoRedefine/>
    <w:qFormat/>
    <w:uiPriority w:val="0"/>
  </w:style>
  <w:style w:type="character" w:customStyle="1" w:styleId="37">
    <w:name w:val="print"/>
    <w:basedOn w:val="13"/>
    <w:autoRedefine/>
    <w:qFormat/>
    <w:uiPriority w:val="0"/>
  </w:style>
  <w:style w:type="character" w:customStyle="1" w:styleId="38">
    <w:name w:val="font"/>
    <w:basedOn w:val="13"/>
    <w:autoRedefine/>
    <w:qFormat/>
    <w:uiPriority w:val="0"/>
  </w:style>
  <w:style w:type="paragraph" w:customStyle="1" w:styleId="39">
    <w:name w:val="Table Text"/>
    <w:basedOn w:val="1"/>
    <w:autoRedefine/>
    <w:semiHidden/>
    <w:qFormat/>
    <w:uiPriority w:val="0"/>
    <w:rPr>
      <w:rFonts w:ascii="宋体" w:hAnsi="宋体" w:eastAsia="宋体" w:cs="宋体"/>
      <w:sz w:val="20"/>
      <w:szCs w:val="20"/>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character" w:customStyle="1" w:styleId="41">
    <w:name w:val="font21"/>
    <w:basedOn w:val="13"/>
    <w:autoRedefine/>
    <w:qFormat/>
    <w:uiPriority w:val="0"/>
    <w:rPr>
      <w:rFonts w:hint="default" w:ascii="仿宋" w:hAnsi="仿宋" w:eastAsia="仿宋" w:cs="仿宋"/>
      <w:color w:val="000000"/>
      <w:sz w:val="24"/>
      <w:szCs w:val="24"/>
      <w:u w:val="none"/>
    </w:rPr>
  </w:style>
  <w:style w:type="character" w:customStyle="1" w:styleId="42">
    <w:name w:val="font31"/>
    <w:basedOn w:val="13"/>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12</Pages>
  <Words>4498</Words>
  <Characters>4794</Characters>
  <Lines>9</Lines>
  <Paragraphs>2</Paragraphs>
  <TotalTime>10</TotalTime>
  <ScaleCrop>false</ScaleCrop>
  <LinksUpToDate>false</LinksUpToDate>
  <CharactersWithSpaces>4888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2016-01-18T16:04:00Z</dcterms:created>
  <dc:creator>Billgates</dc:creator>
  <cp:lastModifiedBy>Molly</cp:lastModifiedBy>
  <cp:lastPrinted>2021-12-31T19:01:00Z</cp:lastPrinted>
  <dcterms:modified xsi:type="dcterms:W3CDTF">2023-12-19T10:09:45Z</dcterms:modified>
  <dc:title>广东省徐闻新华书店报表附注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CE48AF3B319842409ACD3EA8FE2EC111</vt:lpwstr>
  </property>
</Properties>
</file>