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《湛江雷州通用航空基地项目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用地单元控制性详细规划》草案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日至202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4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5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16</w:t>
      </w:r>
      <w:bookmarkStart w:id="3" w:name="_GoBack"/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信件邮戳日或电话、邮箱提交时间不应超过 反馈期限最后一天，逾期视为放弃权利，不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联系电话、联系地址、邮政编码，如反馈信 息不准确或不完整导致无法核实有关情况的,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7F13C2C-F885-4E65-AA4B-DC516FF2C33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llMDU2NzliYTAxYWM0MDZhYTdkZWM3NTllNDM3MGMifQ=="/>
  </w:docVars>
  <w:rsids>
    <w:rsidRoot w:val="00000000"/>
    <w:rsid w:val="040B5690"/>
    <w:rsid w:val="0F254482"/>
    <w:rsid w:val="137C2E27"/>
    <w:rsid w:val="3ACE0942"/>
    <w:rsid w:val="4A2D79E0"/>
    <w:rsid w:val="4A3800BD"/>
    <w:rsid w:val="4A900DB1"/>
    <w:rsid w:val="65FD2C93"/>
    <w:rsid w:val="73E238FF"/>
    <w:rsid w:val="74F45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autoRedefine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autoRedefine/>
    <w:qFormat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429</Characters>
  <TotalTime>0</TotalTime>
  <ScaleCrop>false</ScaleCrop>
  <LinksUpToDate>false</LinksUpToDate>
  <CharactersWithSpaces>443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2023-02-28T04:00:00Z</dcterms:created>
  <dc:creator>lm</dc:creator>
  <cp:lastModifiedBy>名威</cp:lastModifiedBy>
  <dcterms:modified xsi:type="dcterms:W3CDTF">2024-04-16T01:42:11Z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AEC82FE294834496A30F7A18D091513E_13</vt:lpwstr>
  </property>
</Properties>
</file>