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844E8">
      <w:pPr>
        <w:spacing w:line="240" w:lineRule="auto"/>
        <w:jc w:val="center"/>
        <w:rPr>
          <w:rFonts w:hint="default" w:ascii="Times New Roman" w:hAnsi="Times New Roman" w:eastAsia="黑体" w:cs="Times New Roman"/>
          <w:b/>
          <w:sz w:val="52"/>
          <w:szCs w:val="52"/>
          <w:lang w:eastAsia="zh-CN"/>
        </w:rPr>
      </w:pPr>
    </w:p>
    <w:p w14:paraId="3A657CE5">
      <w:pPr>
        <w:spacing w:line="240" w:lineRule="auto"/>
        <w:jc w:val="center"/>
        <w:rPr>
          <w:rFonts w:hint="default" w:ascii="Times New Roman" w:hAnsi="Times New Roman" w:eastAsia="黑体" w:cs="Times New Roman"/>
          <w:b/>
          <w:sz w:val="72"/>
          <w:szCs w:val="72"/>
          <w:lang w:eastAsia="zh-CN"/>
        </w:rPr>
      </w:pPr>
    </w:p>
    <w:p w14:paraId="0D57BAFF">
      <w:pPr>
        <w:jc w:val="center"/>
        <w:rPr>
          <w:rFonts w:hint="default" w:ascii="Times New Roman" w:hAnsi="Times New Roman" w:eastAsia="黑体" w:cs="Times New Roman"/>
          <w:b/>
          <w:sz w:val="52"/>
          <w:szCs w:val="52"/>
          <w:lang w:eastAsia="zh-CN"/>
        </w:rPr>
      </w:pPr>
      <w:r>
        <w:rPr>
          <w:rFonts w:hint="default" w:ascii="Times New Roman" w:hAnsi="Times New Roman" w:eastAsia="黑体" w:cs="Times New Roman"/>
          <w:b/>
          <w:sz w:val="52"/>
          <w:szCs w:val="52"/>
          <w:lang w:eastAsia="zh-CN"/>
        </w:rPr>
        <w:t>雷州市水土保持规划</w:t>
      </w:r>
    </w:p>
    <w:p w14:paraId="69947573">
      <w:pPr>
        <w:jc w:val="center"/>
        <w:rPr>
          <w:rFonts w:hint="default" w:ascii="Times New Roman" w:hAnsi="Times New Roman" w:eastAsia="黑体" w:cs="Times New Roman"/>
          <w:b/>
          <w:sz w:val="52"/>
          <w:szCs w:val="52"/>
          <w:lang w:eastAsia="zh-CN"/>
        </w:rPr>
      </w:pPr>
      <w:r>
        <w:rPr>
          <w:rFonts w:hint="default" w:ascii="Times New Roman" w:hAnsi="Times New Roman" w:cs="Times New Roman"/>
          <w:b/>
          <w:sz w:val="52"/>
          <w:szCs w:val="52"/>
          <w:lang w:eastAsia="zh-CN"/>
        </w:rPr>
        <w:t>（20</w:t>
      </w:r>
      <w:r>
        <w:rPr>
          <w:rFonts w:hint="default" w:ascii="Times New Roman" w:hAnsi="Times New Roman" w:cs="Times New Roman"/>
          <w:b/>
          <w:sz w:val="52"/>
          <w:szCs w:val="52"/>
          <w:lang w:val="en-US" w:eastAsia="zh-CN"/>
        </w:rPr>
        <w:t>24</w:t>
      </w:r>
      <w:r>
        <w:rPr>
          <w:rFonts w:hint="default" w:ascii="Times New Roman" w:hAnsi="Times New Roman" w:eastAsia="黑体" w:cs="Times New Roman"/>
          <w:b/>
          <w:kern w:val="2"/>
          <w:sz w:val="52"/>
          <w:szCs w:val="52"/>
          <w:lang w:val="en-US" w:eastAsia="zh-CN"/>
        </w:rPr>
        <w:t>-</w:t>
      </w:r>
      <w:r>
        <w:rPr>
          <w:rFonts w:hint="default" w:ascii="Times New Roman" w:hAnsi="Times New Roman" w:cs="Times New Roman"/>
          <w:b/>
          <w:sz w:val="52"/>
          <w:szCs w:val="52"/>
          <w:lang w:eastAsia="zh-CN"/>
        </w:rPr>
        <w:t>203</w:t>
      </w:r>
      <w:r>
        <w:rPr>
          <w:rFonts w:hint="default" w:ascii="Times New Roman" w:hAnsi="Times New Roman" w:cs="Times New Roman"/>
          <w:b/>
          <w:sz w:val="52"/>
          <w:szCs w:val="52"/>
          <w:lang w:val="en-US" w:eastAsia="zh-CN"/>
        </w:rPr>
        <w:t>5</w:t>
      </w:r>
      <w:r>
        <w:rPr>
          <w:rFonts w:hint="default" w:ascii="Times New Roman" w:hAnsi="Times New Roman" w:cs="Times New Roman"/>
          <w:b/>
          <w:sz w:val="52"/>
          <w:szCs w:val="52"/>
          <w:lang w:eastAsia="zh-CN"/>
        </w:rPr>
        <w:t>年）</w:t>
      </w:r>
    </w:p>
    <w:p w14:paraId="51F87E96">
      <w:pPr>
        <w:pStyle w:val="2"/>
        <w:ind w:firstLine="0"/>
        <w:jc w:val="center"/>
        <w:rPr>
          <w:rFonts w:hint="default" w:ascii="Times New Roman" w:hAnsi="Times New Roman" w:cs="Times New Roman"/>
          <w:b/>
          <w:sz w:val="52"/>
          <w:szCs w:val="52"/>
          <w:lang w:eastAsia="zh-CN"/>
        </w:rPr>
      </w:pPr>
    </w:p>
    <w:p w14:paraId="45238E61">
      <w:pPr>
        <w:pStyle w:val="2"/>
        <w:ind w:firstLine="0"/>
        <w:jc w:val="center"/>
        <w:rPr>
          <w:rFonts w:hint="default" w:ascii="Times New Roman" w:hAnsi="Times New Roman" w:eastAsia="黑体" w:cs="Times New Roman"/>
          <w:b/>
          <w:sz w:val="52"/>
          <w:szCs w:val="52"/>
          <w:lang w:eastAsia="zh-CN"/>
        </w:rPr>
      </w:pPr>
      <w:r>
        <w:rPr>
          <w:rFonts w:hint="default" w:ascii="Times New Roman" w:hAnsi="Times New Roman" w:eastAsia="黑体" w:cs="Times New Roman"/>
          <w:b/>
          <w:sz w:val="52"/>
          <w:szCs w:val="52"/>
          <w:lang w:eastAsia="zh-CN"/>
        </w:rPr>
        <w:t>专题研究</w:t>
      </w:r>
    </w:p>
    <w:p w14:paraId="79D81514">
      <w:pPr>
        <w:pStyle w:val="2"/>
        <w:ind w:firstLine="480"/>
        <w:rPr>
          <w:rFonts w:hint="default" w:ascii="Times New Roman" w:hAnsi="Times New Roman" w:cs="Times New Roman"/>
          <w:lang w:eastAsia="zh-CN"/>
        </w:rPr>
      </w:pPr>
    </w:p>
    <w:p w14:paraId="7B252AE7">
      <w:pPr>
        <w:pStyle w:val="2"/>
        <w:ind w:firstLine="640"/>
        <w:rPr>
          <w:rFonts w:hint="default" w:ascii="Times New Roman" w:hAnsi="Times New Roman" w:cs="Times New Roman"/>
          <w:sz w:val="32"/>
          <w:szCs w:val="32"/>
          <w:lang w:eastAsia="zh-CN"/>
        </w:rPr>
      </w:pPr>
    </w:p>
    <w:p w14:paraId="7489BEEB">
      <w:pPr>
        <w:pStyle w:val="2"/>
        <w:ind w:firstLine="640"/>
        <w:rPr>
          <w:rFonts w:hint="default" w:ascii="Times New Roman" w:hAnsi="Times New Roman" w:cs="Times New Roman"/>
          <w:sz w:val="32"/>
          <w:szCs w:val="32"/>
          <w:lang w:eastAsia="zh-CN"/>
        </w:rPr>
      </w:pPr>
    </w:p>
    <w:p w14:paraId="6FD1E10C">
      <w:pPr>
        <w:pStyle w:val="2"/>
        <w:ind w:firstLine="640"/>
        <w:rPr>
          <w:rFonts w:hint="default" w:ascii="Times New Roman" w:hAnsi="Times New Roman" w:cs="Times New Roman"/>
          <w:sz w:val="32"/>
          <w:szCs w:val="32"/>
          <w:lang w:eastAsia="zh-CN"/>
        </w:rPr>
      </w:pPr>
    </w:p>
    <w:p w14:paraId="3698780D">
      <w:pPr>
        <w:pStyle w:val="2"/>
        <w:ind w:firstLine="640"/>
        <w:rPr>
          <w:rFonts w:hint="default" w:ascii="Times New Roman" w:hAnsi="Times New Roman" w:cs="Times New Roman"/>
          <w:sz w:val="32"/>
          <w:szCs w:val="32"/>
          <w:lang w:eastAsia="zh-CN"/>
        </w:rPr>
      </w:pPr>
    </w:p>
    <w:p w14:paraId="67D2FD96">
      <w:pPr>
        <w:pStyle w:val="2"/>
        <w:ind w:firstLine="640"/>
        <w:rPr>
          <w:rFonts w:hint="default" w:ascii="Times New Roman" w:hAnsi="Times New Roman" w:cs="Times New Roman"/>
          <w:sz w:val="32"/>
          <w:szCs w:val="32"/>
          <w:lang w:eastAsia="zh-CN"/>
        </w:rPr>
      </w:pPr>
    </w:p>
    <w:p w14:paraId="493489E4">
      <w:pPr>
        <w:pStyle w:val="2"/>
        <w:ind w:firstLine="640"/>
        <w:rPr>
          <w:rFonts w:hint="default" w:ascii="Times New Roman" w:hAnsi="Times New Roman" w:cs="Times New Roman"/>
          <w:sz w:val="32"/>
          <w:szCs w:val="32"/>
          <w:lang w:eastAsia="zh-CN"/>
        </w:rPr>
      </w:pPr>
    </w:p>
    <w:p w14:paraId="08F4D89D">
      <w:pPr>
        <w:pStyle w:val="2"/>
        <w:ind w:firstLine="640"/>
        <w:rPr>
          <w:rFonts w:hint="default" w:ascii="Times New Roman" w:hAnsi="Times New Roman" w:cs="Times New Roman"/>
          <w:sz w:val="32"/>
          <w:szCs w:val="32"/>
          <w:lang w:eastAsia="zh-CN"/>
        </w:rPr>
      </w:pPr>
    </w:p>
    <w:p w14:paraId="6004CFDC">
      <w:pPr>
        <w:pStyle w:val="2"/>
        <w:ind w:firstLine="640"/>
        <w:rPr>
          <w:rFonts w:hint="default" w:ascii="Times New Roman" w:hAnsi="Times New Roman" w:cs="Times New Roman"/>
          <w:sz w:val="32"/>
          <w:szCs w:val="32"/>
          <w:lang w:eastAsia="zh-CN"/>
        </w:rPr>
      </w:pPr>
    </w:p>
    <w:p w14:paraId="0C20C592">
      <w:pPr>
        <w:pStyle w:val="2"/>
        <w:ind w:firstLine="640"/>
        <w:rPr>
          <w:rFonts w:hint="default" w:ascii="Times New Roman" w:hAnsi="Times New Roman" w:cs="Times New Roman"/>
          <w:sz w:val="32"/>
          <w:szCs w:val="32"/>
          <w:lang w:eastAsia="zh-CN"/>
        </w:rPr>
      </w:pPr>
    </w:p>
    <w:p w14:paraId="53B2BEC5">
      <w:pPr>
        <w:pStyle w:val="2"/>
        <w:ind w:firstLine="640"/>
        <w:rPr>
          <w:rFonts w:hint="default" w:ascii="Times New Roman" w:hAnsi="Times New Roman" w:cs="Times New Roman"/>
          <w:sz w:val="32"/>
          <w:szCs w:val="32"/>
          <w:lang w:eastAsia="zh-CN"/>
        </w:rPr>
      </w:pPr>
    </w:p>
    <w:p w14:paraId="4549108A">
      <w:pPr>
        <w:pStyle w:val="2"/>
        <w:ind w:firstLine="1606" w:firstLineChars="500"/>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委托单位：雷州市水务局</w:t>
      </w:r>
    </w:p>
    <w:p w14:paraId="5F62D78B">
      <w:pPr>
        <w:pStyle w:val="2"/>
        <w:ind w:firstLine="1606" w:firstLineChars="500"/>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编制单位：广东河海工程咨询有限公司</w:t>
      </w:r>
    </w:p>
    <w:p w14:paraId="3224BE94">
      <w:pPr>
        <w:pStyle w:val="2"/>
        <w:ind w:firstLine="0"/>
        <w:jc w:val="center"/>
        <w:rPr>
          <w:rFonts w:hint="default" w:ascii="Times New Roman" w:hAnsi="Times New Roman" w:cs="Times New Roman"/>
          <w:b/>
          <w:sz w:val="32"/>
          <w:szCs w:val="32"/>
          <w:lang w:eastAsia="zh-CN"/>
        </w:rPr>
        <w:sectPr>
          <w:headerReference r:id="rId7" w:type="first"/>
          <w:footerReference r:id="rId9" w:type="first"/>
          <w:headerReference r:id="rId5" w:type="default"/>
          <w:footerReference r:id="rId8" w:type="default"/>
          <w:headerReference r:id="rId6" w:type="even"/>
          <w:pgSz w:w="11907" w:h="16840"/>
          <w:pgMar w:top="1340" w:right="1580" w:bottom="280" w:left="1580" w:header="720" w:footer="720" w:gutter="0"/>
          <w:pgNumType w:start="1"/>
          <w:cols w:space="720" w:num="1"/>
          <w:titlePg/>
        </w:sectPr>
      </w:pPr>
      <w:r>
        <w:rPr>
          <w:rFonts w:hint="default" w:ascii="Times New Roman" w:hAnsi="Times New Roman" w:cs="Times New Roman"/>
          <w:b/>
          <w:sz w:val="32"/>
          <w:szCs w:val="32"/>
          <w:lang w:eastAsia="zh-CN"/>
        </w:rPr>
        <w:t>202</w:t>
      </w:r>
      <w:r>
        <w:rPr>
          <w:rFonts w:hint="eastAsia" w:ascii="Times New Roman" w:hAnsi="Times New Roman" w:cs="Times New Roman"/>
          <w:b/>
          <w:sz w:val="32"/>
          <w:szCs w:val="32"/>
          <w:lang w:val="en-US" w:eastAsia="zh-CN"/>
        </w:rPr>
        <w:t>5</w:t>
      </w:r>
      <w:r>
        <w:rPr>
          <w:rFonts w:hint="default" w:ascii="Times New Roman" w:hAnsi="Times New Roman" w:cs="Times New Roman"/>
          <w:b/>
          <w:sz w:val="32"/>
          <w:szCs w:val="32"/>
          <w:lang w:eastAsia="zh-CN"/>
        </w:rPr>
        <w:t>年</w:t>
      </w:r>
      <w:r>
        <w:rPr>
          <w:rFonts w:hint="eastAsia" w:ascii="Times New Roman" w:hAnsi="Times New Roman" w:cs="Times New Roman"/>
          <w:b/>
          <w:sz w:val="32"/>
          <w:szCs w:val="32"/>
          <w:lang w:val="en-US" w:eastAsia="zh-CN"/>
        </w:rPr>
        <w:t>3</w:t>
      </w:r>
      <w:r>
        <w:rPr>
          <w:rFonts w:hint="default" w:ascii="Times New Roman" w:hAnsi="Times New Roman" w:cs="Times New Roman"/>
          <w:b/>
          <w:sz w:val="32"/>
          <w:szCs w:val="32"/>
          <w:lang w:eastAsia="zh-CN"/>
        </w:rPr>
        <w:t xml:space="preserve">月 </w:t>
      </w:r>
    </w:p>
    <w:p w14:paraId="0E5CDD29">
      <w:pPr>
        <w:pStyle w:val="2"/>
        <w:ind w:firstLine="0"/>
        <w:jc w:val="center"/>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drawing>
          <wp:inline distT="0" distB="0" distL="114300" distR="114300">
            <wp:extent cx="5552440" cy="4017010"/>
            <wp:effectExtent l="0" t="0" r="10160" b="2540"/>
            <wp:docPr id="77" name="图片 77" descr="水保方案4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水保方案4星"/>
                    <pic:cNvPicPr>
                      <a:picLocks noChangeAspect="1"/>
                    </pic:cNvPicPr>
                  </pic:nvPicPr>
                  <pic:blipFill>
                    <a:blip r:embed="rId16"/>
                    <a:stretch>
                      <a:fillRect/>
                    </a:stretch>
                  </pic:blipFill>
                  <pic:spPr>
                    <a:xfrm>
                      <a:off x="0" y="0"/>
                      <a:ext cx="5552440" cy="4017010"/>
                    </a:xfrm>
                    <a:prstGeom prst="rect">
                      <a:avLst/>
                    </a:prstGeom>
                  </pic:spPr>
                </pic:pic>
              </a:graphicData>
            </a:graphic>
          </wp:inline>
        </w:drawing>
      </w:r>
    </w:p>
    <w:p w14:paraId="2A869C41">
      <w:pPr>
        <w:pStyle w:val="2"/>
        <w:ind w:firstLine="0"/>
        <w:jc w:val="center"/>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drawing>
          <wp:inline distT="0" distB="0" distL="114300" distR="114300">
            <wp:extent cx="5547995" cy="3977640"/>
            <wp:effectExtent l="0" t="0" r="14605" b="3810"/>
            <wp:docPr id="102" name="图片 102" descr="水保监测4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水保监测4星"/>
                    <pic:cNvPicPr>
                      <a:picLocks noChangeAspect="1"/>
                    </pic:cNvPicPr>
                  </pic:nvPicPr>
                  <pic:blipFill>
                    <a:blip r:embed="rId17"/>
                    <a:stretch>
                      <a:fillRect/>
                    </a:stretch>
                  </pic:blipFill>
                  <pic:spPr>
                    <a:xfrm>
                      <a:off x="0" y="0"/>
                      <a:ext cx="5547995" cy="3977640"/>
                    </a:xfrm>
                    <a:prstGeom prst="rect">
                      <a:avLst/>
                    </a:prstGeom>
                  </pic:spPr>
                </pic:pic>
              </a:graphicData>
            </a:graphic>
          </wp:inline>
        </w:drawing>
      </w:r>
    </w:p>
    <w:p w14:paraId="607815B3">
      <w:pPr>
        <w:pStyle w:val="2"/>
        <w:ind w:firstLine="0"/>
        <w:jc w:val="center"/>
        <w:rPr>
          <w:rFonts w:hint="default" w:ascii="Times New Roman" w:hAnsi="Times New Roman" w:cs="Times New Roman"/>
          <w:b/>
          <w:sz w:val="32"/>
          <w:szCs w:val="32"/>
          <w:lang w:eastAsia="zh-CN"/>
        </w:rPr>
      </w:pPr>
    </w:p>
    <w:p w14:paraId="605F016D">
      <w:pPr>
        <w:pStyle w:val="2"/>
        <w:ind w:firstLine="0"/>
        <w:jc w:val="center"/>
        <w:rPr>
          <w:rFonts w:hint="default" w:ascii="Times New Roman" w:hAnsi="Times New Roman" w:cs="Times New Roman"/>
          <w:b/>
          <w:sz w:val="32"/>
          <w:szCs w:val="32"/>
          <w:lang w:eastAsia="zh-CN"/>
        </w:rPr>
      </w:pPr>
    </w:p>
    <w:p w14:paraId="00093A74">
      <w:pPr>
        <w:pStyle w:val="2"/>
        <w:ind w:firstLine="0"/>
        <w:jc w:val="center"/>
        <w:rPr>
          <w:rFonts w:hint="default" w:ascii="Times New Roman" w:hAnsi="Times New Roman" w:cs="Times New Roman"/>
          <w:b/>
          <w:sz w:val="32"/>
          <w:szCs w:val="32"/>
          <w:lang w:eastAsia="zh-CN"/>
        </w:rPr>
        <w:sectPr>
          <w:pgSz w:w="11907" w:h="16840"/>
          <w:pgMar w:top="1340" w:right="1580" w:bottom="280" w:left="1580" w:header="720" w:footer="720" w:gutter="0"/>
          <w:pgNumType w:start="1"/>
          <w:cols w:space="720" w:num="1"/>
          <w:titlePg/>
        </w:sectPr>
      </w:pPr>
    </w:p>
    <w:p w14:paraId="7ED172DD">
      <w:pPr>
        <w:pStyle w:val="2"/>
        <w:ind w:firstLine="0"/>
        <w:rPr>
          <w:rFonts w:hint="default" w:ascii="Times New Roman" w:hAnsi="Times New Roman" w:cs="Times New Roman"/>
          <w:sz w:val="32"/>
          <w:szCs w:val="32"/>
          <w:lang w:eastAsia="zh-CN"/>
        </w:rPr>
      </w:pPr>
      <w:r>
        <w:rPr>
          <w:rFonts w:hint="default" w:ascii="Times New Roman" w:hAnsi="Times New Roman" w:eastAsia="黑体" w:cs="Times New Roman"/>
          <w:sz w:val="32"/>
          <w:szCs w:val="32"/>
          <w:lang w:eastAsia="zh-CN"/>
        </w:rPr>
        <w:t>项目名称</w:t>
      </w:r>
      <w:r>
        <w:rPr>
          <w:rFonts w:hint="default" w:ascii="Times New Roman" w:hAnsi="Times New Roman" w:cs="Times New Roman"/>
          <w:sz w:val="28"/>
          <w:szCs w:val="28"/>
          <w:lang w:eastAsia="zh-CN"/>
        </w:rPr>
        <w:t>：</w:t>
      </w:r>
      <w:r>
        <w:rPr>
          <w:rFonts w:hint="default" w:ascii="Times New Roman" w:hAnsi="Times New Roman" w:cs="Times New Roman"/>
          <w:sz w:val="32"/>
          <w:szCs w:val="32"/>
          <w:lang w:eastAsia="zh-CN"/>
        </w:rPr>
        <w:t>雷州市水土保持规划（20</w:t>
      </w:r>
      <w:r>
        <w:rPr>
          <w:rFonts w:hint="default" w:ascii="Times New Roman" w:hAnsi="Times New Roman" w:cs="Times New Roman"/>
          <w:sz w:val="32"/>
          <w:szCs w:val="32"/>
          <w:lang w:val="en-US" w:eastAsia="zh-CN"/>
        </w:rPr>
        <w:t>24-</w:t>
      </w:r>
      <w:r>
        <w:rPr>
          <w:rFonts w:hint="default" w:ascii="Times New Roman" w:hAnsi="Times New Roman" w:cs="Times New Roman"/>
          <w:sz w:val="32"/>
          <w:szCs w:val="32"/>
          <w:lang w:eastAsia="zh-CN"/>
        </w:rPr>
        <w:t>203</w:t>
      </w:r>
      <w:r>
        <w:rPr>
          <w:rFonts w:hint="default" w:ascii="Times New Roman" w:hAnsi="Times New Roman" w:cs="Times New Roman"/>
          <w:sz w:val="32"/>
          <w:szCs w:val="32"/>
          <w:lang w:val="en-US" w:eastAsia="zh-CN"/>
        </w:rPr>
        <w:t>5</w:t>
      </w:r>
      <w:r>
        <w:rPr>
          <w:rFonts w:hint="default" w:ascii="Times New Roman" w:hAnsi="Times New Roman" w:cs="Times New Roman"/>
          <w:sz w:val="32"/>
          <w:szCs w:val="32"/>
          <w:lang w:eastAsia="zh-CN"/>
        </w:rPr>
        <w:t>年</w:t>
      </w:r>
      <w:r>
        <w:rPr>
          <w:rFonts w:hint="default" w:ascii="Times New Roman" w:hAnsi="Times New Roman" w:cs="Times New Roman"/>
          <w:sz w:val="32"/>
          <w:szCs w:val="32"/>
          <w:highlight w:val="none"/>
          <w:lang w:eastAsia="zh-CN"/>
        </w:rPr>
        <w:t>）专题研究</w:t>
      </w:r>
    </w:p>
    <w:p w14:paraId="05290C95">
      <w:pPr>
        <w:pStyle w:val="2"/>
        <w:ind w:firstLine="0"/>
        <w:rPr>
          <w:rFonts w:hint="default" w:ascii="Times New Roman" w:hAnsi="Times New Roman" w:cs="Times New Roman"/>
          <w:sz w:val="28"/>
          <w:szCs w:val="28"/>
          <w:lang w:eastAsia="zh-CN"/>
        </w:rPr>
      </w:pPr>
      <w:r>
        <w:rPr>
          <w:rFonts w:hint="default" w:ascii="Times New Roman" w:hAnsi="Times New Roman" w:eastAsia="黑体" w:cs="Times New Roman"/>
          <w:sz w:val="32"/>
          <w:szCs w:val="32"/>
          <w:lang w:eastAsia="zh-CN"/>
        </w:rPr>
        <w:t>委托单位：</w:t>
      </w:r>
      <w:r>
        <w:rPr>
          <w:rFonts w:hint="default" w:ascii="Times New Roman" w:hAnsi="Times New Roman" w:cs="Times New Roman" w:eastAsiaTheme="minorEastAsia"/>
          <w:bCs/>
          <w:sz w:val="32"/>
          <w:szCs w:val="32"/>
          <w:lang w:val="en-US" w:eastAsia="zh-CN" w:bidi="ar-SA"/>
        </w:rPr>
        <w:t>雷州市水务局</w:t>
      </w:r>
    </w:p>
    <w:p w14:paraId="4136EEE5">
      <w:pPr>
        <w:pStyle w:val="2"/>
        <w:ind w:firstLine="0"/>
        <w:rPr>
          <w:rFonts w:hint="default" w:ascii="Times New Roman" w:hAnsi="Times New Roman" w:cs="Times New Roman"/>
          <w:sz w:val="28"/>
          <w:szCs w:val="28"/>
          <w:lang w:eastAsia="zh-CN"/>
        </w:rPr>
      </w:pPr>
      <w:r>
        <w:rPr>
          <w:rFonts w:hint="default" w:ascii="Times New Roman" w:hAnsi="Times New Roman" w:eastAsia="黑体" w:cs="Times New Roman"/>
          <w:sz w:val="32"/>
          <w:szCs w:val="32"/>
          <w:lang w:eastAsia="zh-CN"/>
        </w:rPr>
        <w:t>完成单位：</w:t>
      </w:r>
      <w:r>
        <w:rPr>
          <w:rFonts w:hint="default" w:ascii="Times New Roman" w:hAnsi="Times New Roman" w:cs="Times New Roman"/>
          <w:sz w:val="30"/>
          <w:szCs w:val="30"/>
          <w:lang w:eastAsia="zh-CN"/>
        </w:rPr>
        <w:t>广东河海工程咨询有限公司</w:t>
      </w:r>
    </w:p>
    <w:p w14:paraId="22923EC8">
      <w:pPr>
        <w:pStyle w:val="2"/>
        <w:spacing w:after="0" w:line="360" w:lineRule="auto"/>
        <w:ind w:left="0" w:leftChars="0"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Cs w:val="28"/>
        </w:rPr>
        <w:drawing>
          <wp:anchor distT="0" distB="0" distL="114300" distR="114300" simplePos="0" relativeHeight="251670528" behindDoc="0" locked="0" layoutInCell="1" allowOverlap="1">
            <wp:simplePos x="0" y="0"/>
            <wp:positionH relativeFrom="page">
              <wp:posOffset>3765550</wp:posOffset>
            </wp:positionH>
            <wp:positionV relativeFrom="page">
              <wp:posOffset>2491105</wp:posOffset>
            </wp:positionV>
            <wp:extent cx="1219200" cy="400050"/>
            <wp:effectExtent l="0" t="0" r="0" b="0"/>
            <wp:wrapSquare wrapText="bothSides"/>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8"/>
                    <a:srcRect l="18071" t="27556" r="54659" b="47838"/>
                    <a:stretch>
                      <a:fillRect/>
                    </a:stretch>
                  </pic:blipFill>
                  <pic:spPr>
                    <a:xfrm>
                      <a:off x="0" y="0"/>
                      <a:ext cx="1219200" cy="400050"/>
                    </a:xfrm>
                    <a:prstGeom prst="rect">
                      <a:avLst/>
                    </a:prstGeom>
                    <a:noFill/>
                    <a:ln>
                      <a:noFill/>
                    </a:ln>
                  </pic:spPr>
                </pic:pic>
              </a:graphicData>
            </a:graphic>
          </wp:anchor>
        </w:drawing>
      </w:r>
    </w:p>
    <w:p w14:paraId="13126944">
      <w:pPr>
        <w:keepNext w:val="0"/>
        <w:keepLines w:val="0"/>
        <w:pageBreakBefore w:val="0"/>
        <w:widowControl/>
        <w:kinsoku/>
        <w:wordWrap/>
        <w:overflowPunct/>
        <w:topLinePunct w:val="0"/>
        <w:autoSpaceDE/>
        <w:autoSpaceDN/>
        <w:bidi w:val="0"/>
        <w:adjustRightInd/>
        <w:snapToGrid w:val="0"/>
        <w:spacing w:before="157" w:beforeLines="50" w:after="120" w:line="360" w:lineRule="auto"/>
        <w:ind w:firstLine="561"/>
        <w:textAlignment w:val="auto"/>
        <w:rPr>
          <w:rFonts w:hint="default" w:ascii="Times New Roman" w:hAnsi="Times New Roman" w:cs="Times New Roman"/>
          <w:color w:val="auto"/>
          <w:szCs w:val="28"/>
        </w:rPr>
      </w:pPr>
      <w:r>
        <w:rPr>
          <w:rFonts w:hint="default" w:ascii="Times New Roman" w:hAnsi="Times New Roman" w:cs="Times New Roman"/>
          <w:b/>
          <w:color w:val="auto"/>
          <w:szCs w:val="28"/>
        </w:rPr>
        <w:t>核      定：</w:t>
      </w:r>
      <w:r>
        <w:rPr>
          <w:rFonts w:hint="default" w:ascii="Times New Roman" w:hAnsi="Times New Roman" w:cs="Times New Roman"/>
          <w:color w:val="auto"/>
          <w:szCs w:val="28"/>
        </w:rPr>
        <w:t xml:space="preserve">孙栓国   董事长    </w:t>
      </w:r>
    </w:p>
    <w:p w14:paraId="36B2F541">
      <w:pPr>
        <w:keepNext w:val="0"/>
        <w:keepLines w:val="0"/>
        <w:pageBreakBefore w:val="0"/>
        <w:widowControl/>
        <w:kinsoku/>
        <w:wordWrap/>
        <w:overflowPunct/>
        <w:topLinePunct w:val="0"/>
        <w:autoSpaceDE/>
        <w:autoSpaceDN/>
        <w:bidi w:val="0"/>
        <w:adjustRightInd/>
        <w:snapToGrid/>
        <w:spacing w:before="157" w:beforeLines="50" w:after="120" w:line="360" w:lineRule="auto"/>
        <w:ind w:firstLine="602"/>
        <w:textAlignment w:val="auto"/>
        <w:rPr>
          <w:rFonts w:hint="default" w:ascii="Times New Roman" w:hAnsi="Times New Roman" w:cs="Times New Roman"/>
          <w:b/>
          <w:color w:val="auto"/>
          <w:szCs w:val="28"/>
        </w:rPr>
      </w:pPr>
      <w:r>
        <w:rPr>
          <w:rFonts w:hint="default" w:ascii="Times New Roman" w:hAnsi="Times New Roman" w:cs="Times New Roman"/>
          <w:color w:val="auto"/>
          <w:szCs w:val="28"/>
        </w:rPr>
        <w:drawing>
          <wp:anchor distT="0" distB="0" distL="114300" distR="114300" simplePos="0" relativeHeight="251671552" behindDoc="0" locked="0" layoutInCell="1" allowOverlap="1">
            <wp:simplePos x="0" y="0"/>
            <wp:positionH relativeFrom="page">
              <wp:posOffset>3990975</wp:posOffset>
            </wp:positionH>
            <wp:positionV relativeFrom="page">
              <wp:posOffset>3002280</wp:posOffset>
            </wp:positionV>
            <wp:extent cx="730250" cy="358775"/>
            <wp:effectExtent l="0" t="0" r="0" b="3175"/>
            <wp:wrapSquare wrapText="bothSides"/>
            <wp:docPr id="26"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5"/>
                    <pic:cNvPicPr>
                      <a:picLocks noChangeAspect="1"/>
                    </pic:cNvPicPr>
                  </pic:nvPicPr>
                  <pic:blipFill>
                    <a:blip r:embed="rId19"/>
                    <a:srcRect l="19351" t="47041" r="64101" b="34082"/>
                    <a:stretch>
                      <a:fillRect/>
                    </a:stretch>
                  </pic:blipFill>
                  <pic:spPr>
                    <a:xfrm>
                      <a:off x="0" y="0"/>
                      <a:ext cx="730250" cy="358775"/>
                    </a:xfrm>
                    <a:prstGeom prst="rect">
                      <a:avLst/>
                    </a:prstGeom>
                    <a:noFill/>
                    <a:ln>
                      <a:noFill/>
                    </a:ln>
                  </pic:spPr>
                </pic:pic>
              </a:graphicData>
            </a:graphic>
          </wp:anchor>
        </w:drawing>
      </w:r>
      <w:r>
        <w:rPr>
          <w:rFonts w:hint="default" w:ascii="Times New Roman" w:hAnsi="Times New Roman" w:cs="Times New Roman"/>
          <w:b/>
          <w:color w:val="auto"/>
          <w:szCs w:val="28"/>
        </w:rPr>
        <w:t>审      查：</w:t>
      </w:r>
      <w:r>
        <w:rPr>
          <w:rFonts w:hint="default" w:ascii="Times New Roman" w:hAnsi="Times New Roman" w:cs="Times New Roman"/>
          <w:color w:val="auto"/>
          <w:szCs w:val="28"/>
        </w:rPr>
        <w:t xml:space="preserve">巢礼义   经理/高工   </w:t>
      </w:r>
    </w:p>
    <w:p w14:paraId="2F27186B">
      <w:pPr>
        <w:keepNext w:val="0"/>
        <w:keepLines w:val="0"/>
        <w:pageBreakBefore w:val="0"/>
        <w:widowControl/>
        <w:kinsoku/>
        <w:wordWrap/>
        <w:overflowPunct/>
        <w:topLinePunct w:val="0"/>
        <w:autoSpaceDE/>
        <w:autoSpaceDN/>
        <w:bidi w:val="0"/>
        <w:adjustRightInd/>
        <w:snapToGrid/>
        <w:spacing w:before="157" w:beforeLines="50" w:after="120" w:line="360" w:lineRule="auto"/>
        <w:ind w:firstLine="562"/>
        <w:textAlignment w:val="auto"/>
        <w:rPr>
          <w:rFonts w:hint="eastAsia" w:ascii="Times New Roman" w:hAnsi="Times New Roman" w:eastAsia="宋体" w:cs="Times New Roman"/>
          <w:color w:val="auto"/>
          <w:szCs w:val="28"/>
          <w:lang w:eastAsia="zh-CN"/>
        </w:rPr>
      </w:pPr>
      <w:r>
        <w:rPr>
          <w:rFonts w:hint="default" w:ascii="Times New Roman" w:hAnsi="Times New Roman" w:cs="Times New Roman"/>
          <w:b/>
          <w:color w:val="auto"/>
          <w:sz w:val="30"/>
          <w:szCs w:val="30"/>
        </w:rPr>
        <w:drawing>
          <wp:anchor distT="0" distB="0" distL="114300" distR="114300" simplePos="0" relativeHeight="251664384" behindDoc="0" locked="0" layoutInCell="1" allowOverlap="1">
            <wp:simplePos x="0" y="0"/>
            <wp:positionH relativeFrom="column">
              <wp:posOffset>2757805</wp:posOffset>
            </wp:positionH>
            <wp:positionV relativeFrom="paragraph">
              <wp:posOffset>50800</wp:posOffset>
            </wp:positionV>
            <wp:extent cx="956310" cy="389255"/>
            <wp:effectExtent l="0" t="0" r="15240" b="10795"/>
            <wp:wrapNone/>
            <wp:docPr id="27" name="图片 163" descr="电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3" descr="电子"/>
                    <pic:cNvPicPr>
                      <a:picLocks noChangeAspect="1"/>
                    </pic:cNvPicPr>
                  </pic:nvPicPr>
                  <pic:blipFill>
                    <a:blip r:embed="rId20">
                      <a:lum bright="6000" contrast="3999"/>
                    </a:blip>
                    <a:stretch>
                      <a:fillRect/>
                    </a:stretch>
                  </pic:blipFill>
                  <pic:spPr>
                    <a:xfrm>
                      <a:off x="0" y="0"/>
                      <a:ext cx="956310" cy="389255"/>
                    </a:xfrm>
                    <a:prstGeom prst="rect">
                      <a:avLst/>
                    </a:prstGeom>
                    <a:noFill/>
                    <a:ln>
                      <a:noFill/>
                    </a:ln>
                  </pic:spPr>
                </pic:pic>
              </a:graphicData>
            </a:graphic>
          </wp:anchor>
        </w:drawing>
      </w:r>
      <w:r>
        <w:rPr>
          <w:rFonts w:hint="default" w:ascii="Times New Roman" w:hAnsi="Times New Roman" w:cs="Times New Roman"/>
          <w:b/>
          <w:color w:val="auto"/>
          <w:szCs w:val="28"/>
        </w:rPr>
        <w:t>校       核：</w:t>
      </w:r>
      <w:r>
        <w:rPr>
          <w:rFonts w:hint="default" w:ascii="Times New Roman" w:hAnsi="Times New Roman" w:cs="Times New Roman"/>
          <w:color w:val="auto"/>
          <w:szCs w:val="28"/>
        </w:rPr>
        <w:t xml:space="preserve">杜广荣   高工    </w:t>
      </w:r>
    </w:p>
    <w:p w14:paraId="30991C2C">
      <w:pPr>
        <w:keepNext w:val="0"/>
        <w:keepLines w:val="0"/>
        <w:pageBreakBefore w:val="0"/>
        <w:widowControl/>
        <w:kinsoku/>
        <w:wordWrap/>
        <w:overflowPunct/>
        <w:topLinePunct w:val="0"/>
        <w:autoSpaceDE/>
        <w:autoSpaceDN/>
        <w:bidi w:val="0"/>
        <w:adjustRightInd/>
        <w:snapToGrid/>
        <w:spacing w:before="157" w:beforeLines="50" w:after="120" w:line="360" w:lineRule="auto"/>
        <w:ind w:firstLine="562"/>
        <w:textAlignment w:val="auto"/>
        <w:rPr>
          <w:rFonts w:hint="default" w:eastAsia="宋体"/>
          <w:lang w:val="en-US" w:eastAsia="zh-CN"/>
        </w:rPr>
      </w:pPr>
      <w:r>
        <w:rPr>
          <w:rFonts w:hint="eastAsia" w:ascii="Times New Roman" w:hAnsi="Times New Roman" w:eastAsia="宋体" w:cs="Times New Roman"/>
          <w:color w:val="auto"/>
          <w:szCs w:val="28"/>
          <w:lang w:val="en-US" w:eastAsia="zh-CN"/>
        </w:rPr>
        <w:drawing>
          <wp:anchor distT="0" distB="0" distL="114300" distR="114300" simplePos="0" relativeHeight="251669504" behindDoc="0" locked="0" layoutInCell="1" allowOverlap="1">
            <wp:simplePos x="0" y="0"/>
            <wp:positionH relativeFrom="column">
              <wp:posOffset>2745740</wp:posOffset>
            </wp:positionH>
            <wp:positionV relativeFrom="paragraph">
              <wp:posOffset>140335</wp:posOffset>
            </wp:positionV>
            <wp:extent cx="899795" cy="309245"/>
            <wp:effectExtent l="0" t="0" r="14605" b="14605"/>
            <wp:wrapSquare wrapText="bothSides"/>
            <wp:docPr id="63" name="图片 5" descr="825bbca7a5b8a30ac8e832889c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825bbca7a5b8a30ac8e832889c12933"/>
                    <pic:cNvPicPr>
                      <a:picLocks noChangeAspect="1"/>
                    </pic:cNvPicPr>
                  </pic:nvPicPr>
                  <pic:blipFill>
                    <a:blip r:embed="rId21"/>
                    <a:stretch>
                      <a:fillRect/>
                    </a:stretch>
                  </pic:blipFill>
                  <pic:spPr>
                    <a:xfrm>
                      <a:off x="0" y="0"/>
                      <a:ext cx="899795" cy="309245"/>
                    </a:xfrm>
                    <a:prstGeom prst="rect">
                      <a:avLst/>
                    </a:prstGeom>
                    <a:noFill/>
                    <a:ln>
                      <a:noFill/>
                    </a:ln>
                  </pic:spPr>
                </pic:pic>
              </a:graphicData>
            </a:graphic>
          </wp:anchor>
        </w:drawing>
      </w:r>
      <w:r>
        <w:rPr>
          <w:rFonts w:hint="default" w:ascii="Times New Roman" w:hAnsi="Times New Roman" w:cs="Times New Roman"/>
          <w:b/>
          <w:color w:val="auto"/>
          <w:szCs w:val="28"/>
        </w:rPr>
        <w:t>项目负责人：</w:t>
      </w:r>
      <w:r>
        <w:rPr>
          <w:rFonts w:hint="default" w:ascii="Times New Roman" w:hAnsi="Times New Roman" w:cs="Times New Roman"/>
          <w:color w:val="auto"/>
          <w:szCs w:val="28"/>
        </w:rPr>
        <w:t xml:space="preserve"> </w:t>
      </w:r>
      <w:r>
        <w:rPr>
          <w:rFonts w:hint="eastAsia" w:ascii="Times New Roman" w:hAnsi="Times New Roman" w:cs="Times New Roman"/>
          <w:color w:val="auto"/>
          <w:szCs w:val="28"/>
          <w:lang w:val="en-US" w:eastAsia="zh-CN"/>
        </w:rPr>
        <w:t>李庆芳   高工</w:t>
      </w:r>
    </w:p>
    <w:p w14:paraId="2067B5D6">
      <w:pPr>
        <w:keepNext w:val="0"/>
        <w:keepLines w:val="0"/>
        <w:pageBreakBefore w:val="0"/>
        <w:widowControl/>
        <w:kinsoku/>
        <w:wordWrap/>
        <w:overflowPunct/>
        <w:topLinePunct w:val="0"/>
        <w:autoSpaceDE/>
        <w:autoSpaceDN/>
        <w:bidi w:val="0"/>
        <w:adjustRightInd/>
        <w:snapToGrid/>
        <w:spacing w:before="157" w:beforeLines="50" w:after="120" w:line="360" w:lineRule="auto"/>
        <w:ind w:firstLine="562"/>
        <w:textAlignment w:val="auto"/>
        <w:rPr>
          <w:rFonts w:hint="eastAsia" w:ascii="Times New Roman" w:hAnsi="Times New Roman" w:eastAsia="宋体" w:cs="Times New Roman"/>
          <w:color w:val="auto"/>
          <w:szCs w:val="28"/>
          <w:lang w:val="en-US" w:eastAsia="zh-CN"/>
        </w:rPr>
      </w:pPr>
      <w:r>
        <w:rPr>
          <w:rFonts w:hint="eastAsia" w:ascii="Times New Roman" w:hAnsi="Times New Roman" w:eastAsia="宋体" w:cs="Times New Roman"/>
          <w:color w:val="auto"/>
          <w:szCs w:val="28"/>
          <w:lang w:val="en-US" w:eastAsia="zh-CN"/>
        </w:rPr>
        <w:drawing>
          <wp:anchor distT="0" distB="0" distL="114300" distR="114300" simplePos="0" relativeHeight="251668480" behindDoc="0" locked="0" layoutInCell="1" allowOverlap="1">
            <wp:simplePos x="0" y="0"/>
            <wp:positionH relativeFrom="column">
              <wp:posOffset>2680970</wp:posOffset>
            </wp:positionH>
            <wp:positionV relativeFrom="paragraph">
              <wp:posOffset>87630</wp:posOffset>
            </wp:positionV>
            <wp:extent cx="899795" cy="309245"/>
            <wp:effectExtent l="0" t="0" r="14605" b="14605"/>
            <wp:wrapSquare wrapText="bothSides"/>
            <wp:docPr id="105" name="图片 6" descr="825bbca7a5b8a30ac8e832889c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825bbca7a5b8a30ac8e832889c12933"/>
                    <pic:cNvPicPr>
                      <a:picLocks noChangeAspect="1"/>
                    </pic:cNvPicPr>
                  </pic:nvPicPr>
                  <pic:blipFill>
                    <a:blip r:embed="rId21"/>
                    <a:stretch>
                      <a:fillRect/>
                    </a:stretch>
                  </pic:blipFill>
                  <pic:spPr>
                    <a:xfrm>
                      <a:off x="0" y="0"/>
                      <a:ext cx="899795" cy="309245"/>
                    </a:xfrm>
                    <a:prstGeom prst="rect">
                      <a:avLst/>
                    </a:prstGeom>
                    <a:noFill/>
                    <a:ln>
                      <a:noFill/>
                    </a:ln>
                  </pic:spPr>
                </pic:pic>
              </a:graphicData>
            </a:graphic>
          </wp:anchor>
        </w:drawing>
      </w:r>
      <w:r>
        <w:rPr>
          <w:rFonts w:hint="default" w:ascii="Times New Roman" w:hAnsi="Times New Roman" w:cs="Times New Roman"/>
          <w:b/>
          <w:color w:val="auto"/>
          <w:szCs w:val="28"/>
        </w:rPr>
        <w:t>编      写：</w:t>
      </w:r>
      <w:r>
        <w:rPr>
          <w:rFonts w:hint="eastAsia" w:ascii="Times New Roman" w:hAnsi="Times New Roman" w:cs="Times New Roman"/>
          <w:b/>
          <w:color w:val="auto"/>
          <w:szCs w:val="28"/>
          <w:lang w:val="en-US" w:eastAsia="zh-CN"/>
        </w:rPr>
        <w:t xml:space="preserve"> </w:t>
      </w:r>
      <w:r>
        <w:rPr>
          <w:rFonts w:hint="eastAsia" w:ascii="Times New Roman" w:hAnsi="Times New Roman" w:eastAsia="宋体" w:cs="Times New Roman"/>
          <w:color w:val="auto"/>
          <w:szCs w:val="28"/>
          <w:lang w:val="en-US" w:eastAsia="zh-CN"/>
        </w:rPr>
        <w:t>李庆芳   高工</w:t>
      </w:r>
    </w:p>
    <w:p w14:paraId="6146C927">
      <w:pPr>
        <w:keepNext w:val="0"/>
        <w:keepLines w:val="0"/>
        <w:pageBreakBefore w:val="0"/>
        <w:widowControl/>
        <w:kinsoku/>
        <w:wordWrap/>
        <w:overflowPunct/>
        <w:topLinePunct w:val="0"/>
        <w:autoSpaceDE/>
        <w:autoSpaceDN/>
        <w:bidi w:val="0"/>
        <w:adjustRightInd/>
        <w:snapToGrid/>
        <w:spacing w:before="157" w:beforeLines="50" w:after="120" w:line="360" w:lineRule="auto"/>
        <w:ind w:firstLine="2160" w:firstLineChars="900"/>
        <w:textAlignment w:val="auto"/>
        <w:rPr>
          <w:rFonts w:hint="default" w:ascii="Times New Roman" w:hAnsi="Times New Roman" w:cs="Times New Roman"/>
          <w:b/>
          <w:color w:val="auto"/>
          <w:szCs w:val="28"/>
        </w:rPr>
      </w:pPr>
      <w:r>
        <w:rPr>
          <w:rFonts w:hint="default" w:ascii="Times New Roman" w:hAnsi="Times New Roman" w:cs="Times New Roman"/>
          <w:color w:val="auto"/>
          <w:szCs w:val="28"/>
        </w:rPr>
        <w:drawing>
          <wp:anchor distT="0" distB="0" distL="114300" distR="114300" simplePos="0" relativeHeight="251667456" behindDoc="0" locked="0" layoutInCell="1" allowOverlap="1">
            <wp:simplePos x="0" y="0"/>
            <wp:positionH relativeFrom="page">
              <wp:posOffset>3898900</wp:posOffset>
            </wp:positionH>
            <wp:positionV relativeFrom="page">
              <wp:posOffset>4617720</wp:posOffset>
            </wp:positionV>
            <wp:extent cx="626745" cy="292735"/>
            <wp:effectExtent l="0" t="0" r="1905" b="12065"/>
            <wp:wrapSquare wrapText="bothSides"/>
            <wp:docPr id="103" name="图片 36"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6" descr="卡通人物&#10;&#10;描述已自动生成"/>
                    <pic:cNvPicPr>
                      <a:picLocks noChangeAspect="1"/>
                    </pic:cNvPicPr>
                  </pic:nvPicPr>
                  <pic:blipFill>
                    <a:blip r:embed="rId22"/>
                    <a:stretch>
                      <a:fillRect/>
                    </a:stretch>
                  </pic:blipFill>
                  <pic:spPr>
                    <a:xfrm>
                      <a:off x="0" y="0"/>
                      <a:ext cx="626745" cy="292735"/>
                    </a:xfrm>
                    <a:prstGeom prst="rect">
                      <a:avLst/>
                    </a:prstGeom>
                    <a:noFill/>
                    <a:ln>
                      <a:noFill/>
                    </a:ln>
                  </pic:spPr>
                </pic:pic>
              </a:graphicData>
            </a:graphic>
          </wp:anchor>
        </w:drawing>
      </w:r>
      <w:r>
        <w:rPr>
          <w:rFonts w:hint="default" w:ascii="Times New Roman" w:hAnsi="Times New Roman" w:cs="Times New Roman"/>
          <w:color w:val="auto"/>
          <w:szCs w:val="28"/>
        </w:rPr>
        <w:t xml:space="preserve">张  璐   工程师 </w:t>
      </w:r>
    </w:p>
    <w:p w14:paraId="37B3FB6D">
      <w:pPr>
        <w:keepNext w:val="0"/>
        <w:keepLines w:val="0"/>
        <w:pageBreakBefore w:val="0"/>
        <w:widowControl/>
        <w:kinsoku/>
        <w:wordWrap/>
        <w:overflowPunct/>
        <w:topLinePunct w:val="0"/>
        <w:autoSpaceDE/>
        <w:autoSpaceDN/>
        <w:bidi w:val="0"/>
        <w:adjustRightInd/>
        <w:snapToGrid/>
        <w:spacing w:before="157" w:beforeLines="50" w:after="120" w:line="360" w:lineRule="auto"/>
        <w:ind w:firstLine="2160" w:firstLineChars="9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drawing>
          <wp:anchor distT="0" distB="0" distL="114300" distR="114300" simplePos="0" relativeHeight="251666432" behindDoc="0" locked="0" layoutInCell="1" allowOverlap="1">
            <wp:simplePos x="0" y="0"/>
            <wp:positionH relativeFrom="column">
              <wp:posOffset>2712720</wp:posOffset>
            </wp:positionH>
            <wp:positionV relativeFrom="paragraph">
              <wp:posOffset>34925</wp:posOffset>
            </wp:positionV>
            <wp:extent cx="554990" cy="427355"/>
            <wp:effectExtent l="0" t="0" r="16510" b="10795"/>
            <wp:wrapSquare wrapText="bothSides"/>
            <wp:docPr id="107" name="图片 8" descr="8302a8f57bde06f1788d69d9fd9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descr="8302a8f57bde06f1788d69d9fd99654"/>
                    <pic:cNvPicPr>
                      <a:picLocks noChangeAspect="1"/>
                    </pic:cNvPicPr>
                  </pic:nvPicPr>
                  <pic:blipFill>
                    <a:blip r:embed="rId23"/>
                    <a:stretch>
                      <a:fillRect/>
                    </a:stretch>
                  </pic:blipFill>
                  <pic:spPr>
                    <a:xfrm>
                      <a:off x="0" y="0"/>
                      <a:ext cx="554990" cy="427355"/>
                    </a:xfrm>
                    <a:prstGeom prst="rect">
                      <a:avLst/>
                    </a:prstGeom>
                    <a:noFill/>
                    <a:ln>
                      <a:noFill/>
                    </a:ln>
                  </pic:spPr>
                </pic:pic>
              </a:graphicData>
            </a:graphic>
          </wp:anchor>
        </w:drawing>
      </w:r>
      <w:r>
        <w:rPr>
          <w:rFonts w:hint="default" w:ascii="Times New Roman" w:hAnsi="Times New Roman" w:cs="Times New Roman"/>
          <w:color w:val="auto"/>
          <w:szCs w:val="28"/>
        </w:rPr>
        <w:t xml:space="preserve">方  祥   工程师    </w:t>
      </w:r>
    </w:p>
    <w:p w14:paraId="0C9F6CCB">
      <w:pPr>
        <w:keepNext w:val="0"/>
        <w:keepLines w:val="0"/>
        <w:pageBreakBefore w:val="0"/>
        <w:widowControl/>
        <w:kinsoku/>
        <w:wordWrap/>
        <w:overflowPunct/>
        <w:topLinePunct w:val="0"/>
        <w:autoSpaceDE/>
        <w:autoSpaceDN/>
        <w:bidi w:val="0"/>
        <w:adjustRightInd/>
        <w:snapToGrid/>
        <w:spacing w:before="157" w:beforeLines="50" w:after="120" w:line="360" w:lineRule="auto"/>
        <w:ind w:firstLine="56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 xml:space="preserve">           </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 xml:space="preserve"> 陈培煊   工程师  </w:t>
      </w:r>
      <w:r>
        <w:rPr>
          <w:rFonts w:hint="default" w:ascii="Times New Roman" w:hAnsi="Times New Roman" w:eastAsia="仿宋" w:cs="Times New Roman"/>
          <w:color w:val="auto"/>
          <w:szCs w:val="28"/>
        </w:rPr>
        <w:drawing>
          <wp:anchor distT="0" distB="0" distL="114300" distR="114300" simplePos="0" relativeHeight="251665408" behindDoc="0" locked="0" layoutInCell="1" allowOverlap="1">
            <wp:simplePos x="0" y="0"/>
            <wp:positionH relativeFrom="column">
              <wp:posOffset>2717800</wp:posOffset>
            </wp:positionH>
            <wp:positionV relativeFrom="paragraph">
              <wp:posOffset>106680</wp:posOffset>
            </wp:positionV>
            <wp:extent cx="743585" cy="338455"/>
            <wp:effectExtent l="0" t="0" r="18415" b="4445"/>
            <wp:wrapSquare wrapText="bothSides"/>
            <wp:docPr id="106" name="图片 9" descr="1b37b87f5b876be082a1fc99a86f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descr="1b37b87f5b876be082a1fc99a86f89c"/>
                    <pic:cNvPicPr>
                      <a:picLocks noChangeAspect="1"/>
                    </pic:cNvPicPr>
                  </pic:nvPicPr>
                  <pic:blipFill>
                    <a:blip r:embed="rId24"/>
                    <a:stretch>
                      <a:fillRect/>
                    </a:stretch>
                  </pic:blipFill>
                  <pic:spPr>
                    <a:xfrm>
                      <a:off x="0" y="0"/>
                      <a:ext cx="743585" cy="338455"/>
                    </a:xfrm>
                    <a:prstGeom prst="rect">
                      <a:avLst/>
                    </a:prstGeom>
                    <a:noFill/>
                    <a:ln>
                      <a:noFill/>
                    </a:ln>
                  </pic:spPr>
                </pic:pic>
              </a:graphicData>
            </a:graphic>
          </wp:anchor>
        </w:drawing>
      </w:r>
    </w:p>
    <w:p w14:paraId="2182E2A2">
      <w:pPr>
        <w:pStyle w:val="2"/>
        <w:keepNext w:val="0"/>
        <w:keepLines w:val="0"/>
        <w:pageBreakBefore w:val="0"/>
        <w:widowControl/>
        <w:kinsoku/>
        <w:wordWrap/>
        <w:overflowPunct/>
        <w:topLinePunct w:val="0"/>
        <w:autoSpaceDE/>
        <w:autoSpaceDN/>
        <w:bidi w:val="0"/>
        <w:adjustRightInd/>
        <w:snapToGrid/>
        <w:spacing w:before="157" w:beforeLines="50" w:after="120" w:line="360" w:lineRule="auto"/>
        <w:ind w:left="480" w:firstLineChars="0"/>
        <w:textAlignment w:val="auto"/>
        <w:rPr>
          <w:rFonts w:hint="default" w:ascii="Times New Roman" w:hAnsi="Times New Roman" w:cs="Times New Roman"/>
          <w:color w:val="auto"/>
          <w:sz w:val="28"/>
          <w:szCs w:val="28"/>
        </w:rPr>
      </w:pPr>
    </w:p>
    <w:p w14:paraId="409C7DDE">
      <w:pPr>
        <w:rPr>
          <w:rFonts w:hint="default" w:ascii="Times New Roman" w:hAnsi="Times New Roman" w:eastAsia="黑体" w:cs="Times New Roman"/>
          <w:bCs/>
          <w:color w:val="auto"/>
          <w:sz w:val="32"/>
          <w:szCs w:val="32"/>
        </w:rPr>
      </w:pPr>
    </w:p>
    <w:p w14:paraId="35A2FECD">
      <w:pPr>
        <w:rPr>
          <w:rFonts w:hint="default" w:ascii="Times New Roman" w:hAnsi="Times New Roman" w:eastAsia="仿宋_GB2312" w:cs="Times New Roman"/>
          <w:bCs/>
          <w:color w:val="auto"/>
          <w:sz w:val="32"/>
          <w:szCs w:val="32"/>
        </w:rPr>
      </w:pPr>
      <w:r>
        <w:rPr>
          <w:rFonts w:hint="default" w:ascii="Times New Roman" w:hAnsi="Times New Roman" w:eastAsia="黑体" w:cs="Times New Roman"/>
          <w:bCs/>
          <w:color w:val="auto"/>
          <w:sz w:val="32"/>
          <w:szCs w:val="32"/>
        </w:rPr>
        <w:t>地 址：</w:t>
      </w:r>
      <w:r>
        <w:rPr>
          <w:rFonts w:hint="default" w:ascii="Times New Roman" w:hAnsi="Times New Roman" w:eastAsia="仿宋_GB2312" w:cs="Times New Roman"/>
          <w:bCs/>
          <w:color w:val="auto"/>
          <w:sz w:val="32"/>
          <w:szCs w:val="32"/>
        </w:rPr>
        <w:t>广东省广州市天寿路101号3楼</w:t>
      </w:r>
    </w:p>
    <w:p w14:paraId="56A7FCED">
      <w:pPr>
        <w:rPr>
          <w:rFonts w:hint="default" w:ascii="Times New Roman" w:hAnsi="Times New Roman" w:eastAsia="仿宋_GB2312" w:cs="Times New Roman"/>
          <w:bCs/>
          <w:color w:val="auto"/>
          <w:sz w:val="32"/>
          <w:szCs w:val="32"/>
        </w:rPr>
      </w:pPr>
      <w:r>
        <w:rPr>
          <w:rFonts w:hint="default" w:ascii="Times New Roman" w:hAnsi="Times New Roman" w:eastAsia="黑体" w:cs="Times New Roman"/>
          <w:bCs/>
          <w:color w:val="auto"/>
          <w:sz w:val="32"/>
          <w:szCs w:val="32"/>
        </w:rPr>
        <w:t>联系电话：</w:t>
      </w:r>
      <w:r>
        <w:rPr>
          <w:rFonts w:hint="default" w:ascii="Times New Roman" w:hAnsi="Times New Roman" w:eastAsia="仿宋_GB2312" w:cs="Times New Roman"/>
          <w:bCs/>
          <w:color w:val="auto"/>
          <w:sz w:val="32"/>
          <w:szCs w:val="32"/>
        </w:rPr>
        <w:t>020-38863999转8910</w:t>
      </w:r>
    </w:p>
    <w:p w14:paraId="22381382">
      <w:pPr>
        <w:rPr>
          <w:rFonts w:hint="default" w:ascii="Times New Roman" w:hAnsi="Times New Roman" w:cs="Times New Roman"/>
          <w:color w:val="auto"/>
          <w:sz w:val="30"/>
          <w:szCs w:val="30"/>
        </w:rPr>
      </w:pPr>
      <w:r>
        <w:rPr>
          <w:rFonts w:hint="default" w:ascii="Times New Roman" w:hAnsi="Times New Roman" w:eastAsia="黑体" w:cs="Times New Roman"/>
          <w:bCs/>
          <w:color w:val="auto"/>
          <w:sz w:val="32"/>
          <w:szCs w:val="32"/>
        </w:rPr>
        <w:t>传真电话：</w:t>
      </w:r>
      <w:r>
        <w:rPr>
          <w:rFonts w:hint="default" w:ascii="Times New Roman" w:hAnsi="Times New Roman" w:eastAsia="仿宋_GB2312" w:cs="Times New Roman"/>
          <w:bCs/>
          <w:color w:val="auto"/>
          <w:sz w:val="32"/>
          <w:szCs w:val="32"/>
        </w:rPr>
        <w:t>020-38811355</w:t>
      </w:r>
    </w:p>
    <w:p w14:paraId="08169ED6">
      <w:pPr>
        <w:rPr>
          <w:rFonts w:hint="default" w:ascii="Times New Roman" w:hAnsi="Times New Roman" w:cs="Times New Roman"/>
          <w:color w:val="auto"/>
        </w:rPr>
        <w:sectPr>
          <w:pgSz w:w="11906" w:h="16838"/>
          <w:pgMar w:top="1440" w:right="1800" w:bottom="1440" w:left="1800" w:header="851" w:footer="992" w:gutter="0"/>
          <w:pgNumType w:fmt="upperRoman" w:start="1"/>
          <w:cols w:space="720" w:num="1"/>
          <w:docGrid w:type="lines" w:linePitch="312" w:charSpace="0"/>
        </w:sectPr>
      </w:pPr>
      <w:r>
        <w:rPr>
          <w:rFonts w:hint="default" w:ascii="Times New Roman" w:hAnsi="Times New Roman" w:eastAsia="黑体" w:cs="Times New Roman"/>
          <w:bCs/>
          <w:color w:val="auto"/>
          <w:sz w:val="32"/>
          <w:szCs w:val="32"/>
        </w:rPr>
        <w:t>电子邮件：</w:t>
      </w:r>
      <w:r>
        <w:rPr>
          <w:rFonts w:hint="default" w:ascii="Times New Roman" w:hAnsi="Times New Roman" w:eastAsia="仿宋_GB2312" w:cs="Times New Roman"/>
          <w:bCs/>
          <w:color w:val="auto"/>
          <w:sz w:val="32"/>
          <w:szCs w:val="32"/>
        </w:rPr>
        <w:t>gdhhgczx@163.com</w:t>
      </w:r>
    </w:p>
    <w:p w14:paraId="288207E0">
      <w:pPr>
        <w:pStyle w:val="2"/>
        <w:rPr>
          <w:rFonts w:hint="default" w:ascii="Times New Roman" w:hAnsi="Times New Roman" w:cs="Times New Roman"/>
          <w:sz w:val="28"/>
          <w:szCs w:val="28"/>
          <w:lang w:eastAsia="zh-CN"/>
        </w:rPr>
        <w:sectPr>
          <w:pgSz w:w="11907" w:h="16840"/>
          <w:pgMar w:top="1340" w:right="1580" w:bottom="280" w:left="1580" w:header="720" w:footer="720" w:gutter="0"/>
          <w:pgNumType w:start="1"/>
          <w:cols w:space="720" w:num="1"/>
          <w:titlePg/>
        </w:sectPr>
      </w:pPr>
    </w:p>
    <w:p w14:paraId="714E1A88">
      <w:pPr>
        <w:pStyle w:val="2"/>
        <w:ind w:firstLine="0"/>
        <w:jc w:val="center"/>
        <w:rPr>
          <w:rFonts w:hint="default" w:ascii="Times New Roman" w:hAnsi="Times New Roman" w:cs="Times New Roman"/>
          <w:b/>
          <w:sz w:val="32"/>
          <w:szCs w:val="32"/>
          <w:lang w:eastAsia="zh-CN"/>
        </w:rPr>
      </w:pPr>
    </w:p>
    <w:p w14:paraId="75A9B668">
      <w:pPr>
        <w:jc w:val="center"/>
        <w:rPr>
          <w:rFonts w:hint="default" w:ascii="Times New Roman" w:hAnsi="Times New Roman" w:cs="Times New Roman"/>
          <w:sz w:val="36"/>
          <w:szCs w:val="36"/>
          <w:lang w:eastAsia="zh-CN"/>
        </w:rPr>
      </w:pPr>
    </w:p>
    <w:p w14:paraId="336DABD5">
      <w:pPr>
        <w:jc w:val="center"/>
        <w:rPr>
          <w:rFonts w:hint="default" w:ascii="Times New Roman" w:hAnsi="Times New Roman" w:cs="Times New Roman"/>
          <w:b/>
          <w:sz w:val="36"/>
          <w:szCs w:val="36"/>
          <w:lang w:eastAsia="zh-CN"/>
        </w:rPr>
      </w:pPr>
      <w:r>
        <w:rPr>
          <w:rFonts w:hint="default" w:ascii="Times New Roman" w:hAnsi="Times New Roman" w:cs="Times New Roman"/>
          <w:b/>
          <w:sz w:val="36"/>
          <w:szCs w:val="36"/>
          <w:lang w:eastAsia="zh-CN"/>
        </w:rPr>
        <w:t>雷州市水土保持规划（20</w:t>
      </w:r>
      <w:r>
        <w:rPr>
          <w:rFonts w:hint="default" w:ascii="Times New Roman" w:hAnsi="Times New Roman" w:cs="Times New Roman"/>
          <w:b/>
          <w:sz w:val="36"/>
          <w:szCs w:val="36"/>
          <w:lang w:val="en-US" w:eastAsia="zh-CN"/>
        </w:rPr>
        <w:t>24-</w:t>
      </w:r>
      <w:r>
        <w:rPr>
          <w:rFonts w:hint="default" w:ascii="Times New Roman" w:hAnsi="Times New Roman" w:cs="Times New Roman"/>
          <w:b/>
          <w:sz w:val="36"/>
          <w:szCs w:val="36"/>
          <w:lang w:eastAsia="zh-CN"/>
        </w:rPr>
        <w:t>203</w:t>
      </w:r>
      <w:r>
        <w:rPr>
          <w:rFonts w:hint="default" w:ascii="Times New Roman" w:hAnsi="Times New Roman" w:cs="Times New Roman"/>
          <w:b/>
          <w:sz w:val="36"/>
          <w:szCs w:val="36"/>
          <w:lang w:val="en-US" w:eastAsia="zh-CN"/>
        </w:rPr>
        <w:t>5</w:t>
      </w:r>
      <w:r>
        <w:rPr>
          <w:rFonts w:hint="default" w:ascii="Times New Roman" w:hAnsi="Times New Roman" w:cs="Times New Roman"/>
          <w:b/>
          <w:sz w:val="36"/>
          <w:szCs w:val="36"/>
          <w:lang w:eastAsia="zh-CN"/>
        </w:rPr>
        <w:t>年）</w:t>
      </w:r>
    </w:p>
    <w:p w14:paraId="07153875">
      <w:pPr>
        <w:pStyle w:val="2"/>
        <w:ind w:firstLine="480"/>
        <w:rPr>
          <w:rFonts w:hint="default" w:ascii="Times New Roman" w:hAnsi="Times New Roman" w:cs="Times New Roman"/>
          <w:lang w:eastAsia="zh-CN"/>
        </w:rPr>
      </w:pPr>
    </w:p>
    <w:p w14:paraId="78D29AF7">
      <w:pPr>
        <w:pStyle w:val="2"/>
        <w:ind w:firstLine="480"/>
        <w:rPr>
          <w:rFonts w:hint="default" w:ascii="Times New Roman" w:hAnsi="Times New Roman" w:cs="Times New Roman"/>
          <w:lang w:eastAsia="zh-CN"/>
        </w:rPr>
      </w:pPr>
    </w:p>
    <w:p w14:paraId="38E7BE62">
      <w:pPr>
        <w:pStyle w:val="2"/>
        <w:numPr>
          <w:ilvl w:val="0"/>
          <w:numId w:val="2"/>
        </w:numPr>
        <w:ind w:left="482" w:firstLine="1247"/>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水土流失</w:t>
      </w:r>
      <w:r>
        <w:rPr>
          <w:rFonts w:hint="default" w:ascii="Times New Roman" w:hAnsi="Times New Roman" w:cs="Times New Roman"/>
          <w:b/>
          <w:sz w:val="32"/>
          <w:szCs w:val="32"/>
          <w:lang w:val="en-US" w:eastAsia="zh-CN"/>
        </w:rPr>
        <w:t>动态监测成果分析</w:t>
      </w:r>
      <w:r>
        <w:rPr>
          <w:rFonts w:hint="default" w:ascii="Times New Roman" w:hAnsi="Times New Roman" w:cs="Times New Roman"/>
          <w:b/>
          <w:sz w:val="32"/>
          <w:szCs w:val="32"/>
          <w:lang w:eastAsia="zh-CN"/>
        </w:rPr>
        <w:t>专题</w:t>
      </w:r>
    </w:p>
    <w:p w14:paraId="06304382">
      <w:pPr>
        <w:pStyle w:val="2"/>
        <w:ind w:left="1729" w:firstLine="0"/>
        <w:rPr>
          <w:rFonts w:hint="default" w:ascii="Times New Roman" w:hAnsi="Times New Roman" w:cs="Times New Roman"/>
          <w:b/>
          <w:sz w:val="32"/>
          <w:szCs w:val="32"/>
          <w:lang w:eastAsia="zh-CN"/>
        </w:rPr>
      </w:pPr>
    </w:p>
    <w:p w14:paraId="26F7F4B6">
      <w:pPr>
        <w:pStyle w:val="2"/>
        <w:numPr>
          <w:ilvl w:val="0"/>
          <w:numId w:val="2"/>
        </w:numPr>
        <w:ind w:left="482" w:firstLine="1247"/>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水土保持区划专题</w:t>
      </w:r>
    </w:p>
    <w:p w14:paraId="18325E55">
      <w:pPr>
        <w:pStyle w:val="2"/>
        <w:ind w:left="1729" w:firstLine="0"/>
        <w:rPr>
          <w:rFonts w:hint="default" w:ascii="Times New Roman" w:hAnsi="Times New Roman" w:cs="Times New Roman"/>
          <w:b/>
          <w:sz w:val="32"/>
          <w:szCs w:val="32"/>
          <w:lang w:eastAsia="zh-CN"/>
        </w:rPr>
      </w:pPr>
    </w:p>
    <w:p w14:paraId="1398E4AB">
      <w:pPr>
        <w:pStyle w:val="2"/>
        <w:numPr>
          <w:ilvl w:val="0"/>
          <w:numId w:val="2"/>
        </w:numPr>
        <w:ind w:left="482" w:firstLine="1247"/>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水土流失重点防治区划专题</w:t>
      </w:r>
    </w:p>
    <w:p w14:paraId="74613A2E">
      <w:pPr>
        <w:pStyle w:val="2"/>
        <w:rPr>
          <w:rFonts w:hint="default" w:ascii="Times New Roman" w:hAnsi="Times New Roman" w:cs="Times New Roman"/>
          <w:b/>
          <w:sz w:val="32"/>
          <w:szCs w:val="32"/>
          <w:lang w:eastAsia="zh-CN"/>
        </w:rPr>
      </w:pPr>
    </w:p>
    <w:p w14:paraId="78625F61">
      <w:pPr>
        <w:pStyle w:val="2"/>
        <w:rPr>
          <w:rFonts w:hint="default" w:ascii="Times New Roman" w:hAnsi="Times New Roman" w:cs="Times New Roman"/>
          <w:b/>
          <w:sz w:val="32"/>
          <w:szCs w:val="32"/>
          <w:lang w:eastAsia="zh-CN"/>
        </w:rPr>
      </w:pPr>
    </w:p>
    <w:p w14:paraId="445A97A1">
      <w:pPr>
        <w:pStyle w:val="2"/>
        <w:rPr>
          <w:rFonts w:hint="default" w:ascii="Times New Roman" w:hAnsi="Times New Roman" w:cs="Times New Roman"/>
          <w:b/>
          <w:sz w:val="32"/>
          <w:szCs w:val="32"/>
          <w:lang w:eastAsia="zh-CN"/>
        </w:rPr>
      </w:pPr>
    </w:p>
    <w:p w14:paraId="46D62EF7">
      <w:pPr>
        <w:pStyle w:val="2"/>
        <w:rPr>
          <w:rFonts w:hint="default" w:ascii="Times New Roman" w:hAnsi="Times New Roman" w:cs="Times New Roman"/>
          <w:b/>
          <w:sz w:val="32"/>
          <w:szCs w:val="32"/>
          <w:lang w:eastAsia="zh-CN"/>
        </w:rPr>
      </w:pPr>
    </w:p>
    <w:p w14:paraId="63BD7A52">
      <w:pPr>
        <w:pStyle w:val="2"/>
        <w:rPr>
          <w:rFonts w:hint="default" w:ascii="Times New Roman" w:hAnsi="Times New Roman" w:cs="Times New Roman"/>
          <w:b/>
          <w:sz w:val="32"/>
          <w:szCs w:val="32"/>
          <w:lang w:eastAsia="zh-CN"/>
        </w:rPr>
      </w:pPr>
    </w:p>
    <w:p w14:paraId="0FA3E672">
      <w:pPr>
        <w:pStyle w:val="2"/>
        <w:ind w:left="960" w:firstLine="0"/>
        <w:rPr>
          <w:rFonts w:hint="default" w:ascii="Times New Roman" w:hAnsi="Times New Roman" w:cs="Times New Roman"/>
          <w:lang w:eastAsia="zh-CN"/>
        </w:rPr>
        <w:sectPr>
          <w:pgSz w:w="11907" w:h="16840"/>
          <w:pgMar w:top="1340" w:right="1580" w:bottom="280" w:left="1580" w:header="720" w:footer="720" w:gutter="0"/>
          <w:pgNumType w:start="1"/>
          <w:cols w:space="720" w:num="1"/>
          <w:titlePg/>
        </w:sectPr>
      </w:pPr>
    </w:p>
    <w:p w14:paraId="085BB794">
      <w:pPr>
        <w:pStyle w:val="2"/>
        <w:ind w:firstLine="0"/>
        <w:jc w:val="center"/>
        <w:rPr>
          <w:rFonts w:hint="default" w:ascii="Times New Roman" w:hAnsi="Times New Roman" w:cs="Times New Roman"/>
          <w:b/>
          <w:sz w:val="30"/>
          <w:szCs w:val="30"/>
          <w:lang w:eastAsia="zh-CN"/>
        </w:rPr>
      </w:pPr>
      <w:r>
        <w:rPr>
          <w:rFonts w:hint="default" w:ascii="Times New Roman" w:hAnsi="Times New Roman" w:cs="Times New Roman"/>
          <w:b/>
          <w:sz w:val="30"/>
          <w:szCs w:val="30"/>
          <w:lang w:eastAsia="zh-CN"/>
        </w:rPr>
        <w:t>目 录</w:t>
      </w:r>
    </w:p>
    <w:sdt>
      <w:sdtPr>
        <w:rPr>
          <w:rFonts w:hint="default" w:ascii="Times New Roman" w:hAnsi="Times New Roman" w:eastAsia="宋体" w:cs="Times New Roman"/>
          <w:b w:val="0"/>
          <w:bCs w:val="0"/>
          <w:color w:val="auto"/>
          <w:sz w:val="24"/>
          <w:szCs w:val="22"/>
          <w:lang w:val="zh-CN" w:eastAsia="en-US"/>
        </w:rPr>
        <w:id w:val="1496386573"/>
        <w:docPartObj>
          <w:docPartGallery w:val="Table of Contents"/>
          <w:docPartUnique/>
        </w:docPartObj>
      </w:sdtPr>
      <w:sdtEndPr>
        <w:rPr>
          <w:rFonts w:hint="default" w:ascii="Times New Roman" w:hAnsi="Times New Roman" w:eastAsia="宋体" w:cs="Times New Roman"/>
          <w:b w:val="0"/>
          <w:bCs w:val="0"/>
          <w:color w:val="auto"/>
          <w:sz w:val="24"/>
          <w:szCs w:val="22"/>
          <w:lang w:val="zh-CN" w:eastAsia="en-US"/>
        </w:rPr>
      </w:sdtEndPr>
      <w:sdtContent>
        <w:p w14:paraId="57C46022">
          <w:pPr>
            <w:pStyle w:val="67"/>
            <w:ind w:firstLine="480"/>
            <w:rPr>
              <w:rFonts w:hint="default" w:ascii="Times New Roman" w:hAnsi="Times New Roman" w:cs="Times New Roman"/>
            </w:rPr>
          </w:pPr>
        </w:p>
        <w:p w14:paraId="1DF9CE71">
          <w:pPr>
            <w:pStyle w:val="22"/>
            <w:tabs>
              <w:tab w:val="right" w:leader="dot" w:pos="8747"/>
            </w:tabs>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_Toc23078 </w:instrText>
          </w:r>
          <w:r>
            <w:rPr>
              <w:rFonts w:hint="default" w:ascii="Times New Roman" w:hAnsi="Times New Roman" w:cs="Times New Roman"/>
            </w:rPr>
            <w:fldChar w:fldCharType="separate"/>
          </w:r>
          <w:r>
            <w:rPr>
              <w:rFonts w:hint="default" w:ascii="Times New Roman" w:hAnsi="Times New Roman" w:cs="Times New Roman"/>
            </w:rPr>
            <w:t>专题一、雷州市水土流失动态监测成果分析</w:t>
          </w:r>
          <w:r>
            <w:tab/>
          </w:r>
          <w:r>
            <w:fldChar w:fldCharType="begin"/>
          </w:r>
          <w:r>
            <w:instrText xml:space="preserve"> PAGEREF _Toc23078 \h </w:instrText>
          </w:r>
          <w:r>
            <w:fldChar w:fldCharType="separate"/>
          </w:r>
          <w:r>
            <w:t>1</w:t>
          </w:r>
          <w:r>
            <w:fldChar w:fldCharType="end"/>
          </w:r>
          <w:r>
            <w:rPr>
              <w:rFonts w:hint="default" w:ascii="Times New Roman" w:hAnsi="Times New Roman" w:cs="Times New Roman"/>
            </w:rPr>
            <w:fldChar w:fldCharType="end"/>
          </w:r>
        </w:p>
        <w:p w14:paraId="4F44AC7A">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_Toc1887 </w:instrText>
          </w:r>
          <w:r>
            <w:rPr>
              <w:rFonts w:hint="default" w:ascii="Times New Roman" w:hAnsi="Times New Roman" w:cs="Times New Roman"/>
              <w:bCs/>
              <w:lang w:val="zh-CN"/>
            </w:rPr>
            <w:fldChar w:fldCharType="separate"/>
          </w:r>
          <w:r>
            <w:rPr>
              <w:rFonts w:hint="default" w:ascii="Times New Roman" w:hAnsi="Times New Roman" w:cs="Times New Roman"/>
              <w:szCs w:val="30"/>
            </w:rPr>
            <w:t>1 项目基本情况</w:t>
          </w:r>
          <w:r>
            <w:tab/>
          </w:r>
          <w:r>
            <w:fldChar w:fldCharType="begin"/>
          </w:r>
          <w:r>
            <w:instrText xml:space="preserve"> PAGEREF _Toc1887 \h </w:instrText>
          </w:r>
          <w:r>
            <w:fldChar w:fldCharType="separate"/>
          </w:r>
          <w:r>
            <w:t>2</w:t>
          </w:r>
          <w:r>
            <w:fldChar w:fldCharType="end"/>
          </w:r>
          <w:r>
            <w:rPr>
              <w:rFonts w:hint="default" w:ascii="Times New Roman" w:hAnsi="Times New Roman" w:cs="Times New Roman"/>
              <w:bCs/>
              <w:lang w:val="zh-CN"/>
            </w:rPr>
            <w:fldChar w:fldCharType="end"/>
          </w:r>
        </w:p>
        <w:p w14:paraId="6DD78495">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_Toc11862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1.1 </w:t>
          </w:r>
          <w:r>
            <w:rPr>
              <w:rFonts w:hint="default" w:ascii="Times New Roman" w:hAnsi="Times New Roman" w:cs="Times New Roman"/>
              <w:lang w:eastAsia="zh-CN"/>
            </w:rPr>
            <w:t>项目范围</w:t>
          </w:r>
          <w:r>
            <w:tab/>
          </w:r>
          <w:r>
            <w:fldChar w:fldCharType="begin"/>
          </w:r>
          <w:r>
            <w:instrText xml:space="preserve"> PAGEREF _Toc11862 \h </w:instrText>
          </w:r>
          <w:r>
            <w:fldChar w:fldCharType="separate"/>
          </w:r>
          <w:r>
            <w:t>2</w:t>
          </w:r>
          <w:r>
            <w:fldChar w:fldCharType="end"/>
          </w:r>
          <w:r>
            <w:rPr>
              <w:rFonts w:hint="default" w:ascii="Times New Roman" w:hAnsi="Times New Roman" w:cs="Times New Roman"/>
              <w:bCs/>
              <w:lang w:val="zh-CN"/>
            </w:rPr>
            <w:fldChar w:fldCharType="end"/>
          </w:r>
        </w:p>
        <w:p w14:paraId="21815BA4">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_Toc31798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1.2 </w:t>
          </w:r>
          <w:r>
            <w:rPr>
              <w:rFonts w:hint="default" w:ascii="Times New Roman" w:hAnsi="Times New Roman" w:cs="Times New Roman"/>
              <w:lang w:eastAsia="zh-CN"/>
            </w:rPr>
            <w:t>自然地理</w:t>
          </w:r>
          <w:r>
            <w:tab/>
          </w:r>
          <w:r>
            <w:fldChar w:fldCharType="begin"/>
          </w:r>
          <w:r>
            <w:instrText xml:space="preserve"> PAGEREF _Toc31798 \h </w:instrText>
          </w:r>
          <w:r>
            <w:fldChar w:fldCharType="separate"/>
          </w:r>
          <w:r>
            <w:t>4</w:t>
          </w:r>
          <w:r>
            <w:fldChar w:fldCharType="end"/>
          </w:r>
          <w:r>
            <w:rPr>
              <w:rFonts w:hint="default" w:ascii="Times New Roman" w:hAnsi="Times New Roman" w:cs="Times New Roman"/>
              <w:bCs/>
              <w:lang w:val="zh-CN"/>
            </w:rPr>
            <w:fldChar w:fldCharType="end"/>
          </w:r>
        </w:p>
        <w:p w14:paraId="53AA87F0">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_Toc7740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1.2.1气象</w:t>
          </w:r>
          <w:r>
            <w:tab/>
          </w:r>
          <w:r>
            <w:fldChar w:fldCharType="begin"/>
          </w:r>
          <w:r>
            <w:instrText xml:space="preserve"> PAGEREF _Toc7740 \h </w:instrText>
          </w:r>
          <w:r>
            <w:fldChar w:fldCharType="separate"/>
          </w:r>
          <w:r>
            <w:t>4</w:t>
          </w:r>
          <w:r>
            <w:fldChar w:fldCharType="end"/>
          </w:r>
          <w:r>
            <w:rPr>
              <w:rFonts w:hint="default" w:ascii="Times New Roman" w:hAnsi="Times New Roman" w:cs="Times New Roman"/>
              <w:bCs/>
              <w:lang w:val="zh-CN"/>
            </w:rPr>
            <w:fldChar w:fldCharType="end"/>
          </w:r>
        </w:p>
        <w:p w14:paraId="29685335">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_Toc22896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1.2.2土壤</w:t>
          </w:r>
          <w:r>
            <w:tab/>
          </w:r>
          <w:r>
            <w:fldChar w:fldCharType="begin"/>
          </w:r>
          <w:r>
            <w:instrText xml:space="preserve"> PAGEREF _Toc22896 \h </w:instrText>
          </w:r>
          <w:r>
            <w:fldChar w:fldCharType="separate"/>
          </w:r>
          <w:r>
            <w:t>4</w:t>
          </w:r>
          <w:r>
            <w:fldChar w:fldCharType="end"/>
          </w:r>
          <w:r>
            <w:rPr>
              <w:rFonts w:hint="default" w:ascii="Times New Roman" w:hAnsi="Times New Roman" w:cs="Times New Roman"/>
              <w:bCs/>
              <w:lang w:val="zh-CN"/>
            </w:rPr>
            <w:fldChar w:fldCharType="end"/>
          </w:r>
        </w:p>
        <w:p w14:paraId="4CAFD6EB">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_Toc14193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1.2.3水系</w:t>
          </w:r>
          <w:r>
            <w:tab/>
          </w:r>
          <w:r>
            <w:fldChar w:fldCharType="begin"/>
          </w:r>
          <w:r>
            <w:instrText xml:space="preserve"> PAGEREF _Toc14193 \h </w:instrText>
          </w:r>
          <w:r>
            <w:fldChar w:fldCharType="separate"/>
          </w:r>
          <w:r>
            <w:t>5</w:t>
          </w:r>
          <w:r>
            <w:fldChar w:fldCharType="end"/>
          </w:r>
          <w:r>
            <w:rPr>
              <w:rFonts w:hint="default" w:ascii="Times New Roman" w:hAnsi="Times New Roman" w:cs="Times New Roman"/>
              <w:bCs/>
              <w:lang w:val="zh-CN"/>
            </w:rPr>
            <w:fldChar w:fldCharType="end"/>
          </w:r>
        </w:p>
        <w:p w14:paraId="194F5207">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_Toc21572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1.3 </w:t>
          </w:r>
          <w:r>
            <w:rPr>
              <w:rFonts w:hint="default" w:ascii="Times New Roman" w:hAnsi="Times New Roman" w:cs="Times New Roman"/>
              <w:lang w:eastAsia="zh-CN"/>
            </w:rPr>
            <w:t>地形地貌</w:t>
          </w:r>
          <w:r>
            <w:tab/>
          </w:r>
          <w:r>
            <w:fldChar w:fldCharType="begin"/>
          </w:r>
          <w:r>
            <w:instrText xml:space="preserve"> PAGEREF _Toc21572 \h </w:instrText>
          </w:r>
          <w:r>
            <w:fldChar w:fldCharType="separate"/>
          </w:r>
          <w:r>
            <w:t>6</w:t>
          </w:r>
          <w:r>
            <w:fldChar w:fldCharType="end"/>
          </w:r>
          <w:r>
            <w:rPr>
              <w:rFonts w:hint="default" w:ascii="Times New Roman" w:hAnsi="Times New Roman" w:cs="Times New Roman"/>
              <w:bCs/>
              <w:lang w:val="zh-CN"/>
            </w:rPr>
            <w:fldChar w:fldCharType="end"/>
          </w:r>
        </w:p>
        <w:p w14:paraId="6F6D8D87">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_Toc26679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1.4 </w:t>
          </w:r>
          <w:r>
            <w:rPr>
              <w:rFonts w:hint="default" w:ascii="Times New Roman" w:hAnsi="Times New Roman" w:cs="Times New Roman"/>
              <w:lang w:eastAsia="zh-CN"/>
            </w:rPr>
            <w:t>土地利用</w:t>
          </w:r>
          <w:r>
            <w:tab/>
          </w:r>
          <w:r>
            <w:fldChar w:fldCharType="begin"/>
          </w:r>
          <w:r>
            <w:instrText xml:space="preserve"> PAGEREF _Toc26679 \h </w:instrText>
          </w:r>
          <w:r>
            <w:fldChar w:fldCharType="separate"/>
          </w:r>
          <w:r>
            <w:t>7</w:t>
          </w:r>
          <w:r>
            <w:fldChar w:fldCharType="end"/>
          </w:r>
          <w:r>
            <w:rPr>
              <w:rFonts w:hint="default" w:ascii="Times New Roman" w:hAnsi="Times New Roman" w:cs="Times New Roman"/>
              <w:bCs/>
              <w:lang w:val="zh-CN"/>
            </w:rPr>
            <w:fldChar w:fldCharType="end"/>
          </w:r>
        </w:p>
        <w:p w14:paraId="6BCA4432">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_Toc76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1.5 </w:t>
          </w:r>
          <w:r>
            <w:rPr>
              <w:rFonts w:hint="default" w:ascii="Times New Roman" w:hAnsi="Times New Roman" w:cs="Times New Roman"/>
              <w:lang w:eastAsia="zh-CN"/>
            </w:rPr>
            <w:t>社会经济</w:t>
          </w:r>
          <w:r>
            <w:tab/>
          </w:r>
          <w:r>
            <w:fldChar w:fldCharType="begin"/>
          </w:r>
          <w:r>
            <w:instrText xml:space="preserve"> PAGEREF _Toc76 \h </w:instrText>
          </w:r>
          <w:r>
            <w:fldChar w:fldCharType="separate"/>
          </w:r>
          <w:r>
            <w:t>9</w:t>
          </w:r>
          <w:r>
            <w:fldChar w:fldCharType="end"/>
          </w:r>
          <w:r>
            <w:rPr>
              <w:rFonts w:hint="default" w:ascii="Times New Roman" w:hAnsi="Times New Roman" w:cs="Times New Roman"/>
              <w:bCs/>
              <w:lang w:val="zh-CN"/>
            </w:rPr>
            <w:fldChar w:fldCharType="end"/>
          </w:r>
        </w:p>
        <w:p w14:paraId="06B816C7">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_Toc17071 </w:instrText>
          </w:r>
          <w:r>
            <w:rPr>
              <w:rFonts w:hint="default" w:ascii="Times New Roman" w:hAnsi="Times New Roman" w:cs="Times New Roman"/>
              <w:bCs/>
              <w:lang w:val="zh-CN"/>
            </w:rPr>
            <w:fldChar w:fldCharType="separate"/>
          </w:r>
          <w:r>
            <w:rPr>
              <w:rFonts w:hint="eastAsia" w:ascii="Times New Roman" w:hAnsi="Times New Roman" w:cs="Times New Roman"/>
              <w:lang w:eastAsia="zh-CN"/>
            </w:rPr>
            <w:t xml:space="preserve">1.6 </w:t>
          </w:r>
          <w:r>
            <w:rPr>
              <w:rFonts w:hint="default" w:ascii="Times New Roman" w:hAnsi="Times New Roman" w:cs="Times New Roman"/>
              <w:lang w:eastAsia="zh-CN"/>
            </w:rPr>
            <w:t>历次水土流失调查情况</w:t>
          </w:r>
          <w:r>
            <w:tab/>
          </w:r>
          <w:r>
            <w:fldChar w:fldCharType="begin"/>
          </w:r>
          <w:r>
            <w:instrText xml:space="preserve"> PAGEREF _Toc17071 \h </w:instrText>
          </w:r>
          <w:r>
            <w:fldChar w:fldCharType="separate"/>
          </w:r>
          <w:r>
            <w:t>10</w:t>
          </w:r>
          <w:r>
            <w:fldChar w:fldCharType="end"/>
          </w:r>
          <w:r>
            <w:rPr>
              <w:rFonts w:hint="default" w:ascii="Times New Roman" w:hAnsi="Times New Roman" w:cs="Times New Roman"/>
              <w:bCs/>
              <w:lang w:val="zh-CN"/>
            </w:rPr>
            <w:fldChar w:fldCharType="end"/>
          </w:r>
        </w:p>
        <w:p w14:paraId="2CE231A4">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_Toc2125 </w:instrText>
          </w:r>
          <w:r>
            <w:rPr>
              <w:rFonts w:hint="default" w:ascii="Times New Roman" w:hAnsi="Times New Roman" w:cs="Times New Roman"/>
              <w:bCs/>
              <w:lang w:val="zh-CN"/>
            </w:rPr>
            <w:fldChar w:fldCharType="separate"/>
          </w:r>
          <w:r>
            <w:rPr>
              <w:rFonts w:hint="default" w:ascii="Times New Roman" w:hAnsi="Times New Roman" w:cs="Times New Roman"/>
              <w:szCs w:val="30"/>
              <w:lang w:val="en-US" w:eastAsia="zh-CN"/>
            </w:rPr>
            <w:t>2</w:t>
          </w:r>
          <w:r>
            <w:rPr>
              <w:rFonts w:hint="default" w:ascii="Times New Roman" w:hAnsi="Times New Roman" w:cs="Times New Roman"/>
              <w:szCs w:val="30"/>
              <w:lang w:eastAsia="zh-CN"/>
            </w:rPr>
            <w:t xml:space="preserve"> </w:t>
          </w:r>
          <w:r>
            <w:rPr>
              <w:rFonts w:hint="default" w:ascii="Times New Roman" w:hAnsi="Times New Roman" w:cs="Times New Roman"/>
              <w:szCs w:val="30"/>
              <w:lang w:val="en-US" w:eastAsia="zh-CN"/>
            </w:rPr>
            <w:t>水土流失动态监测结果</w:t>
          </w:r>
          <w:r>
            <w:tab/>
          </w:r>
          <w:r>
            <w:fldChar w:fldCharType="begin"/>
          </w:r>
          <w:r>
            <w:instrText xml:space="preserve"> PAGEREF _Toc2125 \h </w:instrText>
          </w:r>
          <w:r>
            <w:fldChar w:fldCharType="separate"/>
          </w:r>
          <w:r>
            <w:t>12</w:t>
          </w:r>
          <w:r>
            <w:fldChar w:fldCharType="end"/>
          </w:r>
          <w:r>
            <w:rPr>
              <w:rFonts w:hint="default" w:ascii="Times New Roman" w:hAnsi="Times New Roman" w:cs="Times New Roman"/>
              <w:bCs/>
              <w:lang w:val="zh-CN"/>
            </w:rPr>
            <w:fldChar w:fldCharType="end"/>
          </w:r>
        </w:p>
        <w:p w14:paraId="7D2798D9">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_Toc19218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.2.1土壤侵蚀面积与强度分析</w:t>
          </w:r>
          <w:r>
            <w:tab/>
          </w:r>
          <w:r>
            <w:fldChar w:fldCharType="begin"/>
          </w:r>
          <w:r>
            <w:instrText xml:space="preserve"> PAGEREF _Toc19218 \h </w:instrText>
          </w:r>
          <w:r>
            <w:fldChar w:fldCharType="separate"/>
          </w:r>
          <w:r>
            <w:t>13</w:t>
          </w:r>
          <w:r>
            <w:fldChar w:fldCharType="end"/>
          </w:r>
          <w:r>
            <w:rPr>
              <w:rFonts w:hint="default" w:ascii="Times New Roman" w:hAnsi="Times New Roman" w:cs="Times New Roman"/>
              <w:bCs/>
              <w:lang w:val="zh-CN"/>
            </w:rPr>
            <w:fldChar w:fldCharType="end"/>
          </w:r>
        </w:p>
        <w:p w14:paraId="26A808F1">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.2.2土壤侵蚀空间分布分析</w:t>
          </w:r>
          <w:r>
            <w:tab/>
          </w:r>
          <w:r>
            <w:fldChar w:fldCharType="begin"/>
          </w:r>
          <w:r>
            <w:instrText xml:space="preserve"> PAGEREF _Toc23062 \h </w:instrText>
          </w:r>
          <w:r>
            <w:fldChar w:fldCharType="separate"/>
          </w:r>
          <w:r>
            <w:t>16</w:t>
          </w:r>
          <w:r>
            <w:fldChar w:fldCharType="end"/>
          </w:r>
          <w:r>
            <w:rPr>
              <w:rFonts w:hint="default" w:ascii="Times New Roman" w:hAnsi="Times New Roman" w:cs="Times New Roman"/>
              <w:bCs/>
              <w:lang w:val="zh-CN"/>
            </w:rPr>
            <w:fldChar w:fldCharType="end"/>
          </w:r>
        </w:p>
        <w:p w14:paraId="1D780943">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_Toc12415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.2.3土壤侵蚀类型分析</w:t>
          </w:r>
          <w:r>
            <w:tab/>
          </w:r>
          <w:r>
            <w:fldChar w:fldCharType="begin"/>
          </w:r>
          <w:r>
            <w:instrText xml:space="preserve"> PAGEREF _Toc12415 \h </w:instrText>
          </w:r>
          <w:r>
            <w:fldChar w:fldCharType="separate"/>
          </w:r>
          <w:r>
            <w:t>19</w:t>
          </w:r>
          <w:r>
            <w:fldChar w:fldCharType="end"/>
          </w:r>
          <w:r>
            <w:rPr>
              <w:rFonts w:hint="default" w:ascii="Times New Roman" w:hAnsi="Times New Roman" w:cs="Times New Roman"/>
              <w:bCs/>
              <w:lang w:val="zh-CN"/>
            </w:rPr>
            <w:fldChar w:fldCharType="end"/>
          </w:r>
        </w:p>
        <w:p w14:paraId="11E3172A">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_Toc18069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.2.4土壤侵蚀原因分析</w:t>
          </w:r>
          <w:r>
            <w:tab/>
          </w:r>
          <w:r>
            <w:fldChar w:fldCharType="begin"/>
          </w:r>
          <w:r>
            <w:instrText xml:space="preserve"> PAGEREF _Toc18069 \h </w:instrText>
          </w:r>
          <w:r>
            <w:fldChar w:fldCharType="separate"/>
          </w:r>
          <w:r>
            <w:t>21</w:t>
          </w:r>
          <w:r>
            <w:fldChar w:fldCharType="end"/>
          </w:r>
          <w:r>
            <w:rPr>
              <w:rFonts w:hint="default" w:ascii="Times New Roman" w:hAnsi="Times New Roman" w:cs="Times New Roman"/>
              <w:bCs/>
              <w:lang w:val="zh-CN"/>
            </w:rPr>
            <w:fldChar w:fldCharType="end"/>
          </w:r>
        </w:p>
        <w:p w14:paraId="6188F218">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_Toc3409 </w:instrText>
          </w:r>
          <w:r>
            <w:rPr>
              <w:rFonts w:hint="default" w:ascii="Times New Roman" w:hAnsi="Times New Roman" w:cs="Times New Roman"/>
              <w:bCs/>
              <w:lang w:val="zh-CN"/>
            </w:rPr>
            <w:fldChar w:fldCharType="separate"/>
          </w:r>
          <w:r>
            <w:rPr>
              <w:rFonts w:hint="default" w:ascii="Times New Roman" w:hAnsi="Times New Roman" w:cs="Times New Roman"/>
              <w:szCs w:val="30"/>
              <w:lang w:val="en-US" w:eastAsia="zh-CN"/>
            </w:rPr>
            <w:t>3</w:t>
          </w:r>
          <w:r>
            <w:rPr>
              <w:rFonts w:hint="default" w:ascii="Times New Roman" w:hAnsi="Times New Roman" w:cs="Times New Roman"/>
              <w:szCs w:val="30"/>
            </w:rPr>
            <w:t xml:space="preserve"> 雷州市土壤侵蚀动态变化分析</w:t>
          </w:r>
          <w:r>
            <w:tab/>
          </w:r>
          <w:r>
            <w:fldChar w:fldCharType="begin"/>
          </w:r>
          <w:r>
            <w:instrText xml:space="preserve"> PAGEREF _Toc3409 \h </w:instrText>
          </w:r>
          <w:r>
            <w:fldChar w:fldCharType="separate"/>
          </w:r>
          <w:r>
            <w:t>23</w:t>
          </w:r>
          <w:r>
            <w:fldChar w:fldCharType="end"/>
          </w:r>
          <w:r>
            <w:rPr>
              <w:rFonts w:hint="default" w:ascii="Times New Roman" w:hAnsi="Times New Roman" w:cs="Times New Roman"/>
              <w:bCs/>
              <w:lang w:val="zh-CN"/>
            </w:rPr>
            <w:fldChar w:fldCharType="end"/>
          </w:r>
        </w:p>
        <w:p w14:paraId="4F6F13B4">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_Toc24402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3</w:t>
          </w:r>
          <w:r>
            <w:rPr>
              <w:rFonts w:hint="default" w:ascii="Times New Roman" w:hAnsi="Times New Roman" w:cs="Times New Roman"/>
              <w:lang w:eastAsia="zh-CN"/>
            </w:rPr>
            <w:t>.1 侵蚀面积动态变化</w:t>
          </w:r>
          <w:r>
            <w:tab/>
          </w:r>
          <w:r>
            <w:fldChar w:fldCharType="begin"/>
          </w:r>
          <w:r>
            <w:instrText xml:space="preserve"> PAGEREF _Toc24402 \h </w:instrText>
          </w:r>
          <w:r>
            <w:fldChar w:fldCharType="separate"/>
          </w:r>
          <w:r>
            <w:t>23</w:t>
          </w:r>
          <w:r>
            <w:fldChar w:fldCharType="end"/>
          </w:r>
          <w:r>
            <w:rPr>
              <w:rFonts w:hint="default" w:ascii="Times New Roman" w:hAnsi="Times New Roman" w:cs="Times New Roman"/>
              <w:bCs/>
              <w:lang w:val="zh-CN"/>
            </w:rPr>
            <w:fldChar w:fldCharType="end"/>
          </w:r>
        </w:p>
        <w:p w14:paraId="02250D7E">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_Toc29475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3</w:t>
          </w:r>
          <w:r>
            <w:rPr>
              <w:rFonts w:hint="default" w:ascii="Times New Roman" w:hAnsi="Times New Roman" w:cs="Times New Roman"/>
              <w:lang w:eastAsia="zh-CN"/>
            </w:rPr>
            <w:t>.2 侵蚀变化的原因分析</w:t>
          </w:r>
          <w:r>
            <w:tab/>
          </w:r>
          <w:r>
            <w:fldChar w:fldCharType="begin"/>
          </w:r>
          <w:r>
            <w:instrText xml:space="preserve"> PAGEREF _Toc29475 \h </w:instrText>
          </w:r>
          <w:r>
            <w:fldChar w:fldCharType="separate"/>
          </w:r>
          <w:r>
            <w:t>24</w:t>
          </w:r>
          <w:r>
            <w:fldChar w:fldCharType="end"/>
          </w:r>
          <w:r>
            <w:rPr>
              <w:rFonts w:hint="default" w:ascii="Times New Roman" w:hAnsi="Times New Roman" w:cs="Times New Roman"/>
              <w:bCs/>
              <w:lang w:val="zh-CN"/>
            </w:rPr>
            <w:fldChar w:fldCharType="end"/>
          </w:r>
        </w:p>
        <w:p w14:paraId="1305FF2B">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_Toc25831 </w:instrText>
          </w:r>
          <w:r>
            <w:rPr>
              <w:rFonts w:hint="default" w:ascii="Times New Roman" w:hAnsi="Times New Roman" w:cs="Times New Roman"/>
              <w:bCs/>
              <w:lang w:val="zh-CN"/>
            </w:rPr>
            <w:fldChar w:fldCharType="separate"/>
          </w:r>
          <w:r>
            <w:rPr>
              <w:rFonts w:hint="default" w:ascii="Times New Roman" w:hAnsi="Times New Roman" w:cs="Times New Roman"/>
              <w:szCs w:val="30"/>
              <w:lang w:val="en-US" w:eastAsia="zh-CN"/>
            </w:rPr>
            <w:t>4</w:t>
          </w:r>
          <w:r>
            <w:rPr>
              <w:rFonts w:hint="default" w:ascii="Times New Roman" w:hAnsi="Times New Roman" w:cs="Times New Roman"/>
              <w:szCs w:val="30"/>
            </w:rPr>
            <w:t xml:space="preserve"> 结论与建议</w:t>
          </w:r>
          <w:r>
            <w:tab/>
          </w:r>
          <w:r>
            <w:fldChar w:fldCharType="begin"/>
          </w:r>
          <w:r>
            <w:instrText xml:space="preserve"> PAGEREF _Toc25831 \h </w:instrText>
          </w:r>
          <w:r>
            <w:fldChar w:fldCharType="separate"/>
          </w:r>
          <w:r>
            <w:t>25</w:t>
          </w:r>
          <w:r>
            <w:fldChar w:fldCharType="end"/>
          </w:r>
          <w:r>
            <w:rPr>
              <w:rFonts w:hint="default" w:ascii="Times New Roman" w:hAnsi="Times New Roman" w:cs="Times New Roman"/>
              <w:bCs/>
              <w:lang w:val="zh-CN"/>
            </w:rPr>
            <w:fldChar w:fldCharType="end"/>
          </w:r>
        </w:p>
        <w:p w14:paraId="34B7D069">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_Toc26597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4</w:t>
          </w:r>
          <w:r>
            <w:rPr>
              <w:rFonts w:hint="default" w:ascii="Times New Roman" w:hAnsi="Times New Roman" w:cs="Times New Roman"/>
              <w:lang w:eastAsia="zh-CN"/>
            </w:rPr>
            <w:t>.1 结论</w:t>
          </w:r>
          <w:r>
            <w:tab/>
          </w:r>
          <w:r>
            <w:fldChar w:fldCharType="begin"/>
          </w:r>
          <w:r>
            <w:instrText xml:space="preserve"> PAGEREF _Toc26597 \h </w:instrText>
          </w:r>
          <w:r>
            <w:fldChar w:fldCharType="separate"/>
          </w:r>
          <w:r>
            <w:t>25</w:t>
          </w:r>
          <w:r>
            <w:fldChar w:fldCharType="end"/>
          </w:r>
          <w:r>
            <w:rPr>
              <w:rFonts w:hint="default" w:ascii="Times New Roman" w:hAnsi="Times New Roman" w:cs="Times New Roman"/>
              <w:bCs/>
              <w:lang w:val="zh-CN"/>
            </w:rPr>
            <w:fldChar w:fldCharType="end"/>
          </w:r>
        </w:p>
        <w:p w14:paraId="7DCA8582">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_Toc30268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4</w:t>
          </w:r>
          <w:r>
            <w:rPr>
              <w:rFonts w:hint="default" w:ascii="Times New Roman" w:hAnsi="Times New Roman" w:cs="Times New Roman"/>
              <w:lang w:eastAsia="zh-CN"/>
            </w:rPr>
            <w:t>.2 建议</w:t>
          </w:r>
          <w:r>
            <w:tab/>
          </w:r>
          <w:r>
            <w:fldChar w:fldCharType="begin"/>
          </w:r>
          <w:r>
            <w:instrText xml:space="preserve"> PAGEREF _Toc30268 \h </w:instrText>
          </w:r>
          <w:r>
            <w:fldChar w:fldCharType="separate"/>
          </w:r>
          <w:r>
            <w:t>25</w:t>
          </w:r>
          <w:r>
            <w:fldChar w:fldCharType="end"/>
          </w:r>
          <w:r>
            <w:rPr>
              <w:rFonts w:hint="default" w:ascii="Times New Roman" w:hAnsi="Times New Roman" w:cs="Times New Roman"/>
              <w:bCs/>
              <w:lang w:val="zh-CN"/>
            </w:rPr>
            <w:fldChar w:fldCharType="end"/>
          </w:r>
        </w:p>
        <w:p w14:paraId="4425C1E3">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_Toc25780 </w:instrText>
          </w:r>
          <w:r>
            <w:rPr>
              <w:rFonts w:hint="default" w:ascii="Times New Roman" w:hAnsi="Times New Roman" w:cs="Times New Roman"/>
              <w:bCs/>
              <w:lang w:val="zh-CN"/>
            </w:rPr>
            <w:fldChar w:fldCharType="separate"/>
          </w:r>
          <w:r>
            <w:rPr>
              <w:rFonts w:hint="default" w:ascii="Times New Roman" w:hAnsi="Times New Roman" w:cs="Times New Roman"/>
            </w:rPr>
            <w:t>专题二、水土保持区划划分成果报告</w:t>
          </w:r>
          <w:r>
            <w:tab/>
          </w:r>
          <w:r>
            <w:fldChar w:fldCharType="begin"/>
          </w:r>
          <w:r>
            <w:instrText xml:space="preserve"> PAGEREF _Toc25780 \h </w:instrText>
          </w:r>
          <w:r>
            <w:fldChar w:fldCharType="separate"/>
          </w:r>
          <w:r>
            <w:t>1</w:t>
          </w:r>
          <w:r>
            <w:fldChar w:fldCharType="end"/>
          </w:r>
          <w:r>
            <w:rPr>
              <w:rFonts w:hint="default" w:ascii="Times New Roman" w:hAnsi="Times New Roman" w:cs="Times New Roman"/>
              <w:bCs/>
              <w:lang w:val="zh-CN"/>
            </w:rPr>
            <w:fldChar w:fldCharType="end"/>
          </w:r>
        </w:p>
        <w:p w14:paraId="448C31AF">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_Toc28295 </w:instrText>
          </w:r>
          <w:r>
            <w:rPr>
              <w:rFonts w:hint="default" w:ascii="Times New Roman" w:hAnsi="Times New Roman" w:cs="Times New Roman"/>
              <w:bCs/>
              <w:lang w:val="zh-CN"/>
            </w:rPr>
            <w:fldChar w:fldCharType="separate"/>
          </w:r>
          <w:r>
            <w:rPr>
              <w:rFonts w:hint="default" w:ascii="Times New Roman" w:hAnsi="Times New Roman" w:cs="Times New Roman"/>
              <w:szCs w:val="30"/>
            </w:rPr>
            <w:t>1 区划目的及原则</w:t>
          </w:r>
          <w:r>
            <w:tab/>
          </w:r>
          <w:r>
            <w:fldChar w:fldCharType="begin"/>
          </w:r>
          <w:r>
            <w:instrText xml:space="preserve"> PAGEREF _Toc28295 \h </w:instrText>
          </w:r>
          <w:r>
            <w:fldChar w:fldCharType="separate"/>
          </w:r>
          <w:r>
            <w:t>3</w:t>
          </w:r>
          <w:r>
            <w:fldChar w:fldCharType="end"/>
          </w:r>
          <w:r>
            <w:rPr>
              <w:rFonts w:hint="default" w:ascii="Times New Roman" w:hAnsi="Times New Roman" w:cs="Times New Roman"/>
              <w:bCs/>
              <w:lang w:val="zh-CN"/>
            </w:rPr>
            <w:fldChar w:fldCharType="end"/>
          </w:r>
        </w:p>
        <w:p w14:paraId="3C1AA3A5">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_Toc11344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1.1 区划目的</w:t>
          </w:r>
          <w:r>
            <w:tab/>
          </w:r>
          <w:r>
            <w:fldChar w:fldCharType="begin"/>
          </w:r>
          <w:r>
            <w:instrText xml:space="preserve"> PAGEREF _Toc11344 \h </w:instrText>
          </w:r>
          <w:r>
            <w:fldChar w:fldCharType="separate"/>
          </w:r>
          <w:r>
            <w:t>3</w:t>
          </w:r>
          <w:r>
            <w:fldChar w:fldCharType="end"/>
          </w:r>
          <w:r>
            <w:rPr>
              <w:rFonts w:hint="default" w:ascii="Times New Roman" w:hAnsi="Times New Roman" w:cs="Times New Roman"/>
              <w:bCs/>
              <w:lang w:val="zh-CN"/>
            </w:rPr>
            <w:fldChar w:fldCharType="end"/>
          </w:r>
        </w:p>
        <w:p w14:paraId="41058FDE">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_Toc4190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1.2 本区在上位区划中的情况</w:t>
          </w:r>
          <w:r>
            <w:tab/>
          </w:r>
          <w:r>
            <w:fldChar w:fldCharType="begin"/>
          </w:r>
          <w:r>
            <w:instrText xml:space="preserve"> PAGEREF _Toc4190 \h </w:instrText>
          </w:r>
          <w:r>
            <w:fldChar w:fldCharType="separate"/>
          </w:r>
          <w:r>
            <w:t>3</w:t>
          </w:r>
          <w:r>
            <w:fldChar w:fldCharType="end"/>
          </w:r>
          <w:r>
            <w:rPr>
              <w:rFonts w:hint="default" w:ascii="Times New Roman" w:hAnsi="Times New Roman" w:cs="Times New Roman"/>
              <w:bCs/>
              <w:lang w:val="zh-CN"/>
            </w:rPr>
            <w:fldChar w:fldCharType="end"/>
          </w:r>
        </w:p>
        <w:p w14:paraId="1AE5B393">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_Toc15974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1.3区划原则</w:t>
          </w:r>
          <w:r>
            <w:tab/>
          </w:r>
          <w:r>
            <w:fldChar w:fldCharType="begin"/>
          </w:r>
          <w:r>
            <w:instrText xml:space="preserve"> PAGEREF _Toc15974 \h </w:instrText>
          </w:r>
          <w:r>
            <w:fldChar w:fldCharType="separate"/>
          </w:r>
          <w:r>
            <w:t>3</w:t>
          </w:r>
          <w:r>
            <w:fldChar w:fldCharType="end"/>
          </w:r>
          <w:r>
            <w:rPr>
              <w:rFonts w:hint="default" w:ascii="Times New Roman" w:hAnsi="Times New Roman" w:cs="Times New Roman"/>
              <w:bCs/>
              <w:lang w:val="zh-CN"/>
            </w:rPr>
            <w:fldChar w:fldCharType="end"/>
          </w:r>
        </w:p>
        <w:p w14:paraId="0BFCA6F4">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_Toc20071 </w:instrText>
          </w:r>
          <w:r>
            <w:rPr>
              <w:rFonts w:hint="default" w:ascii="Times New Roman" w:hAnsi="Times New Roman" w:cs="Times New Roman"/>
              <w:bCs/>
              <w:lang w:val="zh-CN"/>
            </w:rPr>
            <w:fldChar w:fldCharType="separate"/>
          </w:r>
          <w:r>
            <w:rPr>
              <w:rFonts w:hint="default" w:ascii="Times New Roman" w:hAnsi="Times New Roman" w:cs="Times New Roman"/>
              <w:szCs w:val="30"/>
            </w:rPr>
            <w:t>2 区划指标体系</w:t>
          </w:r>
          <w:r>
            <w:tab/>
          </w:r>
          <w:r>
            <w:fldChar w:fldCharType="begin"/>
          </w:r>
          <w:r>
            <w:instrText xml:space="preserve"> PAGEREF _Toc20071 \h </w:instrText>
          </w:r>
          <w:r>
            <w:fldChar w:fldCharType="separate"/>
          </w:r>
          <w:r>
            <w:t>4</w:t>
          </w:r>
          <w:r>
            <w:fldChar w:fldCharType="end"/>
          </w:r>
          <w:r>
            <w:rPr>
              <w:rFonts w:hint="default" w:ascii="Times New Roman" w:hAnsi="Times New Roman" w:cs="Times New Roman"/>
              <w:bCs/>
              <w:lang w:val="zh-CN"/>
            </w:rPr>
            <w:fldChar w:fldCharType="end"/>
          </w:r>
        </w:p>
        <w:p w14:paraId="79D68A44">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_Toc5641 </w:instrText>
          </w:r>
          <w:r>
            <w:rPr>
              <w:rFonts w:hint="default" w:ascii="Times New Roman" w:hAnsi="Times New Roman" w:cs="Times New Roman"/>
              <w:bCs/>
              <w:lang w:val="zh-CN"/>
            </w:rPr>
            <w:fldChar w:fldCharType="separate"/>
          </w:r>
          <w:r>
            <w:rPr>
              <w:rFonts w:hint="default" w:ascii="Times New Roman" w:hAnsi="Times New Roman" w:cs="Times New Roman"/>
              <w:szCs w:val="30"/>
            </w:rPr>
            <w:t>3 区划划分方法</w:t>
          </w:r>
          <w:r>
            <w:tab/>
          </w:r>
          <w:r>
            <w:fldChar w:fldCharType="begin"/>
          </w:r>
          <w:r>
            <w:instrText xml:space="preserve"> PAGEREF _Toc5641 \h </w:instrText>
          </w:r>
          <w:r>
            <w:fldChar w:fldCharType="separate"/>
          </w:r>
          <w:r>
            <w:t>6</w:t>
          </w:r>
          <w:r>
            <w:fldChar w:fldCharType="end"/>
          </w:r>
          <w:r>
            <w:rPr>
              <w:rFonts w:hint="default" w:ascii="Times New Roman" w:hAnsi="Times New Roman" w:cs="Times New Roman"/>
              <w:bCs/>
              <w:lang w:val="zh-CN"/>
            </w:rPr>
            <w:fldChar w:fldCharType="end"/>
          </w:r>
        </w:p>
        <w:p w14:paraId="2F5D6FCE">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_Toc18017 </w:instrText>
          </w:r>
          <w:r>
            <w:rPr>
              <w:rFonts w:hint="default" w:ascii="Times New Roman" w:hAnsi="Times New Roman" w:cs="Times New Roman"/>
              <w:bCs/>
              <w:lang w:val="zh-CN"/>
            </w:rPr>
            <w:fldChar w:fldCharType="separate"/>
          </w:r>
          <w:r>
            <w:rPr>
              <w:rFonts w:hint="default" w:ascii="Times New Roman" w:hAnsi="Times New Roman" w:cs="Times New Roman"/>
              <w:szCs w:val="30"/>
            </w:rPr>
            <w:t>4 区划结果</w:t>
          </w:r>
          <w:r>
            <w:tab/>
          </w:r>
          <w:r>
            <w:fldChar w:fldCharType="begin"/>
          </w:r>
          <w:r>
            <w:instrText xml:space="preserve"> PAGEREF _Toc18017 \h </w:instrText>
          </w:r>
          <w:r>
            <w:fldChar w:fldCharType="separate"/>
          </w:r>
          <w:r>
            <w:t>8</w:t>
          </w:r>
          <w:r>
            <w:fldChar w:fldCharType="end"/>
          </w:r>
          <w:r>
            <w:rPr>
              <w:rFonts w:hint="default" w:ascii="Times New Roman" w:hAnsi="Times New Roman" w:cs="Times New Roman"/>
              <w:bCs/>
              <w:lang w:val="zh-CN"/>
            </w:rPr>
            <w:fldChar w:fldCharType="end"/>
          </w:r>
        </w:p>
        <w:p w14:paraId="50FAF2AE">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_Toc5389 </w:instrText>
          </w:r>
          <w:r>
            <w:rPr>
              <w:rFonts w:hint="default" w:ascii="Times New Roman" w:hAnsi="Times New Roman" w:cs="Times New Roman"/>
              <w:bCs/>
              <w:lang w:val="zh-CN"/>
            </w:rPr>
            <w:fldChar w:fldCharType="separate"/>
          </w:r>
          <w:r>
            <w:rPr>
              <w:rFonts w:hint="default" w:ascii="Times New Roman" w:hAnsi="Times New Roman" w:cs="Times New Roman"/>
              <w:szCs w:val="30"/>
            </w:rPr>
            <w:t>5 分区概述</w:t>
          </w:r>
          <w:r>
            <w:tab/>
          </w:r>
          <w:r>
            <w:fldChar w:fldCharType="begin"/>
          </w:r>
          <w:r>
            <w:instrText xml:space="preserve"> PAGEREF _Toc5389 \h </w:instrText>
          </w:r>
          <w:r>
            <w:fldChar w:fldCharType="separate"/>
          </w:r>
          <w:r>
            <w:t>9</w:t>
          </w:r>
          <w:r>
            <w:fldChar w:fldCharType="end"/>
          </w:r>
          <w:r>
            <w:rPr>
              <w:rFonts w:hint="default" w:ascii="Times New Roman" w:hAnsi="Times New Roman" w:cs="Times New Roman"/>
              <w:bCs/>
              <w:lang w:val="zh-CN"/>
            </w:rPr>
            <w:fldChar w:fldCharType="end"/>
          </w:r>
        </w:p>
        <w:p w14:paraId="0C772CFA">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_Toc27037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5.1北部平原人居环境保护和水源涵养区(I)</w:t>
          </w:r>
          <w:r>
            <w:tab/>
          </w:r>
          <w:r>
            <w:fldChar w:fldCharType="begin"/>
          </w:r>
          <w:r>
            <w:instrText xml:space="preserve"> PAGEREF _Toc27037 \h </w:instrText>
          </w:r>
          <w:r>
            <w:fldChar w:fldCharType="separate"/>
          </w:r>
          <w:r>
            <w:t>9</w:t>
          </w:r>
          <w:r>
            <w:fldChar w:fldCharType="end"/>
          </w:r>
          <w:r>
            <w:rPr>
              <w:rFonts w:hint="default" w:ascii="Times New Roman" w:hAnsi="Times New Roman" w:cs="Times New Roman"/>
              <w:bCs/>
              <w:lang w:val="zh-CN"/>
            </w:rPr>
            <w:fldChar w:fldCharType="end"/>
          </w:r>
        </w:p>
        <w:p w14:paraId="19907916">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_Toc19234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5.2南部台地农田</w:t>
          </w:r>
          <w:r>
            <w:rPr>
              <w:rFonts w:hint="eastAsia" w:cs="Times New Roman"/>
              <w:lang w:val="en-US" w:eastAsia="zh-CN"/>
            </w:rPr>
            <w:t>防</w:t>
          </w:r>
          <w:r>
            <w:rPr>
              <w:rFonts w:hint="default" w:ascii="Times New Roman" w:hAnsi="Times New Roman" w:cs="Times New Roman"/>
              <w:lang w:eastAsia="zh-CN"/>
            </w:rPr>
            <w:t>护和生态维护区（II）</w:t>
          </w:r>
          <w:r>
            <w:tab/>
          </w:r>
          <w:r>
            <w:fldChar w:fldCharType="begin"/>
          </w:r>
          <w:r>
            <w:instrText xml:space="preserve"> PAGEREF _Toc19234 \h </w:instrText>
          </w:r>
          <w:r>
            <w:fldChar w:fldCharType="separate"/>
          </w:r>
          <w:r>
            <w:t>10</w:t>
          </w:r>
          <w:r>
            <w:fldChar w:fldCharType="end"/>
          </w:r>
          <w:r>
            <w:rPr>
              <w:rFonts w:hint="default" w:ascii="Times New Roman" w:hAnsi="Times New Roman" w:cs="Times New Roman"/>
              <w:bCs/>
              <w:lang w:val="zh-CN"/>
            </w:rPr>
            <w:fldChar w:fldCharType="end"/>
          </w:r>
        </w:p>
        <w:p w14:paraId="05D61750">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_Toc26148 </w:instrText>
          </w:r>
          <w:r>
            <w:rPr>
              <w:rFonts w:hint="default" w:ascii="Times New Roman" w:hAnsi="Times New Roman" w:cs="Times New Roman"/>
              <w:bCs/>
              <w:lang w:val="zh-CN"/>
            </w:rPr>
            <w:fldChar w:fldCharType="separate"/>
          </w:r>
          <w:r>
            <w:rPr>
              <w:rFonts w:hint="default" w:ascii="Times New Roman" w:hAnsi="Times New Roman" w:cs="Times New Roman"/>
            </w:rPr>
            <w:t>专题三、水土流失重点防治区划分成果报告</w:t>
          </w:r>
          <w:r>
            <w:tab/>
          </w:r>
          <w:r>
            <w:fldChar w:fldCharType="begin"/>
          </w:r>
          <w:r>
            <w:instrText xml:space="preserve"> PAGEREF _Toc26148 \h </w:instrText>
          </w:r>
          <w:r>
            <w:fldChar w:fldCharType="separate"/>
          </w:r>
          <w:r>
            <w:t>1</w:t>
          </w:r>
          <w:r>
            <w:fldChar w:fldCharType="end"/>
          </w:r>
          <w:r>
            <w:rPr>
              <w:rFonts w:hint="default" w:ascii="Times New Roman" w:hAnsi="Times New Roman" w:cs="Times New Roman"/>
              <w:bCs/>
              <w:lang w:val="zh-CN"/>
            </w:rPr>
            <w:fldChar w:fldCharType="end"/>
          </w:r>
        </w:p>
        <w:p w14:paraId="261DD810">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_Toc32480 </w:instrText>
          </w:r>
          <w:r>
            <w:rPr>
              <w:rFonts w:hint="default" w:ascii="Times New Roman" w:hAnsi="Times New Roman" w:cs="Times New Roman"/>
              <w:bCs/>
              <w:lang w:val="zh-CN"/>
            </w:rPr>
            <w:fldChar w:fldCharType="separate"/>
          </w:r>
          <w:r>
            <w:rPr>
              <w:rFonts w:hint="default" w:ascii="Times New Roman" w:hAnsi="Times New Roman" w:cs="Times New Roman"/>
              <w:szCs w:val="30"/>
            </w:rPr>
            <w:t>1 划分依据及原则</w:t>
          </w:r>
          <w:r>
            <w:tab/>
          </w:r>
          <w:r>
            <w:fldChar w:fldCharType="begin"/>
          </w:r>
          <w:r>
            <w:instrText xml:space="preserve"> PAGEREF _Toc32480 \h </w:instrText>
          </w:r>
          <w:r>
            <w:fldChar w:fldCharType="separate"/>
          </w:r>
          <w:r>
            <w:t>2</w:t>
          </w:r>
          <w:r>
            <w:fldChar w:fldCharType="end"/>
          </w:r>
          <w:r>
            <w:rPr>
              <w:rFonts w:hint="default" w:ascii="Times New Roman" w:hAnsi="Times New Roman" w:cs="Times New Roman"/>
              <w:bCs/>
              <w:lang w:val="zh-CN"/>
            </w:rPr>
            <w:fldChar w:fldCharType="end"/>
          </w:r>
        </w:p>
        <w:p w14:paraId="6C23E9DE">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_Toc15893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1.1划分依据</w:t>
          </w:r>
          <w:r>
            <w:tab/>
          </w:r>
          <w:r>
            <w:fldChar w:fldCharType="begin"/>
          </w:r>
          <w:r>
            <w:instrText xml:space="preserve"> PAGEREF _Toc15893 \h </w:instrText>
          </w:r>
          <w:r>
            <w:fldChar w:fldCharType="separate"/>
          </w:r>
          <w:r>
            <w:t>2</w:t>
          </w:r>
          <w:r>
            <w:fldChar w:fldCharType="end"/>
          </w:r>
          <w:r>
            <w:rPr>
              <w:rFonts w:hint="default" w:ascii="Times New Roman" w:hAnsi="Times New Roman" w:cs="Times New Roman"/>
              <w:bCs/>
              <w:lang w:val="zh-CN"/>
            </w:rPr>
            <w:fldChar w:fldCharType="end"/>
          </w:r>
        </w:p>
        <w:p w14:paraId="69A390C5">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_Toc20520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1.2划分原则</w:t>
          </w:r>
          <w:r>
            <w:tab/>
          </w:r>
          <w:r>
            <w:fldChar w:fldCharType="begin"/>
          </w:r>
          <w:r>
            <w:instrText xml:space="preserve"> PAGEREF _Toc20520 \h </w:instrText>
          </w:r>
          <w:r>
            <w:fldChar w:fldCharType="separate"/>
          </w:r>
          <w:r>
            <w:t>2</w:t>
          </w:r>
          <w:r>
            <w:fldChar w:fldCharType="end"/>
          </w:r>
          <w:r>
            <w:rPr>
              <w:rFonts w:hint="default" w:ascii="Times New Roman" w:hAnsi="Times New Roman" w:cs="Times New Roman"/>
              <w:bCs/>
              <w:lang w:val="zh-CN"/>
            </w:rPr>
            <w:fldChar w:fldCharType="end"/>
          </w:r>
        </w:p>
        <w:p w14:paraId="0FC2917F">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_Toc9995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1.3划分范围</w:t>
          </w:r>
          <w:r>
            <w:tab/>
          </w:r>
          <w:r>
            <w:fldChar w:fldCharType="begin"/>
          </w:r>
          <w:r>
            <w:instrText xml:space="preserve"> PAGEREF _Toc9995 \h </w:instrText>
          </w:r>
          <w:r>
            <w:fldChar w:fldCharType="separate"/>
          </w:r>
          <w:r>
            <w:t>3</w:t>
          </w:r>
          <w:r>
            <w:fldChar w:fldCharType="end"/>
          </w:r>
          <w:r>
            <w:rPr>
              <w:rFonts w:hint="default" w:ascii="Times New Roman" w:hAnsi="Times New Roman" w:cs="Times New Roman"/>
              <w:bCs/>
              <w:lang w:val="zh-CN"/>
            </w:rPr>
            <w:fldChar w:fldCharType="end"/>
          </w:r>
        </w:p>
        <w:p w14:paraId="60D35C77">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_Toc18045 </w:instrText>
          </w:r>
          <w:r>
            <w:rPr>
              <w:rFonts w:hint="default" w:ascii="Times New Roman" w:hAnsi="Times New Roman" w:cs="Times New Roman"/>
              <w:bCs/>
              <w:lang w:val="zh-CN"/>
            </w:rPr>
            <w:fldChar w:fldCharType="separate"/>
          </w:r>
          <w:r>
            <w:rPr>
              <w:rFonts w:hint="default" w:ascii="Times New Roman" w:hAnsi="Times New Roman" w:cs="Times New Roman"/>
              <w:szCs w:val="30"/>
            </w:rPr>
            <w:t>2重点预防区划分</w:t>
          </w:r>
          <w:r>
            <w:tab/>
          </w:r>
          <w:r>
            <w:fldChar w:fldCharType="begin"/>
          </w:r>
          <w:r>
            <w:instrText xml:space="preserve"> PAGEREF _Toc18045 \h </w:instrText>
          </w:r>
          <w:r>
            <w:fldChar w:fldCharType="separate"/>
          </w:r>
          <w:r>
            <w:t>4</w:t>
          </w:r>
          <w:r>
            <w:fldChar w:fldCharType="end"/>
          </w:r>
          <w:r>
            <w:rPr>
              <w:rFonts w:hint="default" w:ascii="Times New Roman" w:hAnsi="Times New Roman" w:cs="Times New Roman"/>
              <w:bCs/>
              <w:lang w:val="zh-CN"/>
            </w:rPr>
            <w:fldChar w:fldCharType="end"/>
          </w:r>
        </w:p>
        <w:p w14:paraId="0DFA491E">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_Toc22915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2.1划分指标体系</w:t>
          </w:r>
          <w:r>
            <w:tab/>
          </w:r>
          <w:r>
            <w:fldChar w:fldCharType="begin"/>
          </w:r>
          <w:r>
            <w:instrText xml:space="preserve"> PAGEREF _Toc22915 \h </w:instrText>
          </w:r>
          <w:r>
            <w:fldChar w:fldCharType="separate"/>
          </w:r>
          <w:r>
            <w:t>4</w:t>
          </w:r>
          <w:r>
            <w:fldChar w:fldCharType="end"/>
          </w:r>
          <w:r>
            <w:rPr>
              <w:rFonts w:hint="default" w:ascii="Times New Roman" w:hAnsi="Times New Roman" w:cs="Times New Roman"/>
              <w:bCs/>
              <w:lang w:val="zh-CN"/>
            </w:rPr>
            <w:fldChar w:fldCharType="end"/>
          </w:r>
        </w:p>
        <w:p w14:paraId="1F7A03B4">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_Toc29515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2.2 上位水土流失的预防区划分概述</w:t>
          </w:r>
          <w:r>
            <w:tab/>
          </w:r>
          <w:r>
            <w:fldChar w:fldCharType="begin"/>
          </w:r>
          <w:r>
            <w:instrText xml:space="preserve"> PAGEREF _Toc29515 \h </w:instrText>
          </w:r>
          <w:r>
            <w:fldChar w:fldCharType="separate"/>
          </w:r>
          <w:r>
            <w:t>4</w:t>
          </w:r>
          <w:r>
            <w:fldChar w:fldCharType="end"/>
          </w:r>
          <w:r>
            <w:rPr>
              <w:rFonts w:hint="default" w:ascii="Times New Roman" w:hAnsi="Times New Roman" w:cs="Times New Roman"/>
              <w:bCs/>
              <w:lang w:val="zh-CN"/>
            </w:rPr>
            <w:fldChar w:fldCharType="end"/>
          </w:r>
        </w:p>
        <w:p w14:paraId="508EA23D">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_Toc30874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2.3划分标准及方法</w:t>
          </w:r>
          <w:r>
            <w:tab/>
          </w:r>
          <w:r>
            <w:fldChar w:fldCharType="begin"/>
          </w:r>
          <w:r>
            <w:instrText xml:space="preserve"> PAGEREF _Toc30874 \h </w:instrText>
          </w:r>
          <w:r>
            <w:fldChar w:fldCharType="separate"/>
          </w:r>
          <w:r>
            <w:t>5</w:t>
          </w:r>
          <w:r>
            <w:fldChar w:fldCharType="end"/>
          </w:r>
          <w:r>
            <w:rPr>
              <w:rFonts w:hint="default" w:ascii="Times New Roman" w:hAnsi="Times New Roman" w:cs="Times New Roman"/>
              <w:bCs/>
              <w:lang w:val="zh-CN"/>
            </w:rPr>
            <w:fldChar w:fldCharType="end"/>
          </w:r>
        </w:p>
        <w:p w14:paraId="3FEFA986">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_Toc20270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2.3.1划分标准</w:t>
          </w:r>
          <w:r>
            <w:tab/>
          </w:r>
          <w:r>
            <w:fldChar w:fldCharType="begin"/>
          </w:r>
          <w:r>
            <w:instrText xml:space="preserve"> PAGEREF _Toc20270 \h </w:instrText>
          </w:r>
          <w:r>
            <w:fldChar w:fldCharType="separate"/>
          </w:r>
          <w:r>
            <w:t>5</w:t>
          </w:r>
          <w:r>
            <w:fldChar w:fldCharType="end"/>
          </w:r>
          <w:r>
            <w:rPr>
              <w:rFonts w:hint="default" w:ascii="Times New Roman" w:hAnsi="Times New Roman" w:cs="Times New Roman"/>
              <w:bCs/>
              <w:lang w:val="zh-CN"/>
            </w:rPr>
            <w:fldChar w:fldCharType="end"/>
          </w:r>
        </w:p>
        <w:p w14:paraId="45DF31DC">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_Toc15516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2.3.2划分方法</w:t>
          </w:r>
          <w:r>
            <w:tab/>
          </w:r>
          <w:r>
            <w:fldChar w:fldCharType="begin"/>
          </w:r>
          <w:r>
            <w:instrText xml:space="preserve"> PAGEREF _Toc15516 \h </w:instrText>
          </w:r>
          <w:r>
            <w:fldChar w:fldCharType="separate"/>
          </w:r>
          <w:r>
            <w:t>5</w:t>
          </w:r>
          <w:r>
            <w:fldChar w:fldCharType="end"/>
          </w:r>
          <w:r>
            <w:rPr>
              <w:rFonts w:hint="default" w:ascii="Times New Roman" w:hAnsi="Times New Roman" w:cs="Times New Roman"/>
              <w:bCs/>
              <w:lang w:val="zh-CN"/>
            </w:rPr>
            <w:fldChar w:fldCharType="end"/>
          </w:r>
        </w:p>
        <w:p w14:paraId="65B39A39">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_Toc29374 </w:instrText>
          </w:r>
          <w:r>
            <w:rPr>
              <w:rFonts w:hint="default" w:ascii="Times New Roman" w:hAnsi="Times New Roman" w:cs="Times New Roman"/>
              <w:bCs/>
              <w:lang w:val="zh-CN"/>
            </w:rPr>
            <w:fldChar w:fldCharType="separate"/>
          </w:r>
          <w:r>
            <w:rPr>
              <w:rFonts w:hint="default" w:ascii="Times New Roman" w:hAnsi="Times New Roman" w:cs="Times New Roman"/>
              <w:szCs w:val="30"/>
            </w:rPr>
            <w:t>3重点治理区划分</w:t>
          </w:r>
          <w:r>
            <w:tab/>
          </w:r>
          <w:r>
            <w:fldChar w:fldCharType="begin"/>
          </w:r>
          <w:r>
            <w:instrText xml:space="preserve"> PAGEREF _Toc29374 \h </w:instrText>
          </w:r>
          <w:r>
            <w:fldChar w:fldCharType="separate"/>
          </w:r>
          <w:r>
            <w:t>7</w:t>
          </w:r>
          <w:r>
            <w:fldChar w:fldCharType="end"/>
          </w:r>
          <w:r>
            <w:rPr>
              <w:rFonts w:hint="default" w:ascii="Times New Roman" w:hAnsi="Times New Roman" w:cs="Times New Roman"/>
              <w:bCs/>
              <w:lang w:val="zh-CN"/>
            </w:rPr>
            <w:fldChar w:fldCharType="end"/>
          </w:r>
        </w:p>
        <w:p w14:paraId="12E616C0">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_Toc8002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3.1划分指标体系</w:t>
          </w:r>
          <w:r>
            <w:tab/>
          </w:r>
          <w:r>
            <w:fldChar w:fldCharType="begin"/>
          </w:r>
          <w:r>
            <w:instrText xml:space="preserve"> PAGEREF _Toc8002 \h </w:instrText>
          </w:r>
          <w:r>
            <w:fldChar w:fldCharType="separate"/>
          </w:r>
          <w:r>
            <w:t>7</w:t>
          </w:r>
          <w:r>
            <w:fldChar w:fldCharType="end"/>
          </w:r>
          <w:r>
            <w:rPr>
              <w:rFonts w:hint="default" w:ascii="Times New Roman" w:hAnsi="Times New Roman" w:cs="Times New Roman"/>
              <w:bCs/>
              <w:lang w:val="zh-CN"/>
            </w:rPr>
            <w:fldChar w:fldCharType="end"/>
          </w:r>
        </w:p>
        <w:p w14:paraId="33C8DE39">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_Toc3691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3.2上位水土流失的重点治理区划分概述</w:t>
          </w:r>
          <w:r>
            <w:tab/>
          </w:r>
          <w:r>
            <w:fldChar w:fldCharType="begin"/>
          </w:r>
          <w:r>
            <w:instrText xml:space="preserve"> PAGEREF _Toc3691 \h </w:instrText>
          </w:r>
          <w:r>
            <w:fldChar w:fldCharType="separate"/>
          </w:r>
          <w:r>
            <w:t>7</w:t>
          </w:r>
          <w:r>
            <w:fldChar w:fldCharType="end"/>
          </w:r>
          <w:r>
            <w:rPr>
              <w:rFonts w:hint="default" w:ascii="Times New Roman" w:hAnsi="Times New Roman" w:cs="Times New Roman"/>
              <w:bCs/>
              <w:lang w:val="zh-CN"/>
            </w:rPr>
            <w:fldChar w:fldCharType="end"/>
          </w:r>
        </w:p>
        <w:p w14:paraId="39978256">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_Toc32390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3.3指标选取</w:t>
          </w:r>
          <w:r>
            <w:tab/>
          </w:r>
          <w:r>
            <w:fldChar w:fldCharType="begin"/>
          </w:r>
          <w:r>
            <w:instrText xml:space="preserve"> PAGEREF _Toc32390 \h </w:instrText>
          </w:r>
          <w:r>
            <w:fldChar w:fldCharType="separate"/>
          </w:r>
          <w:r>
            <w:t>7</w:t>
          </w:r>
          <w:r>
            <w:fldChar w:fldCharType="end"/>
          </w:r>
          <w:r>
            <w:rPr>
              <w:rFonts w:hint="default" w:ascii="Times New Roman" w:hAnsi="Times New Roman" w:cs="Times New Roman"/>
              <w:bCs/>
              <w:lang w:val="zh-CN"/>
            </w:rPr>
            <w:fldChar w:fldCharType="end"/>
          </w:r>
        </w:p>
        <w:p w14:paraId="1E921346">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_Toc25185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3.3.1定量指标</w:t>
          </w:r>
          <w:r>
            <w:tab/>
          </w:r>
          <w:r>
            <w:fldChar w:fldCharType="begin"/>
          </w:r>
          <w:r>
            <w:instrText xml:space="preserve"> PAGEREF _Toc25185 \h </w:instrText>
          </w:r>
          <w:r>
            <w:fldChar w:fldCharType="separate"/>
          </w:r>
          <w:r>
            <w:t>8</w:t>
          </w:r>
          <w:r>
            <w:fldChar w:fldCharType="end"/>
          </w:r>
          <w:r>
            <w:rPr>
              <w:rFonts w:hint="default" w:ascii="Times New Roman" w:hAnsi="Times New Roman" w:cs="Times New Roman"/>
              <w:bCs/>
              <w:lang w:val="zh-CN"/>
            </w:rPr>
            <w:fldChar w:fldCharType="end"/>
          </w:r>
        </w:p>
        <w:p w14:paraId="3CB6EF57">
          <w:pPr>
            <w:pStyle w:val="18"/>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_Toc4986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3.3.2 定性指标</w:t>
          </w:r>
          <w:r>
            <w:tab/>
          </w:r>
          <w:r>
            <w:fldChar w:fldCharType="begin"/>
          </w:r>
          <w:r>
            <w:instrText xml:space="preserve"> PAGEREF _Toc4986 \h </w:instrText>
          </w:r>
          <w:r>
            <w:fldChar w:fldCharType="separate"/>
          </w:r>
          <w:r>
            <w:t>8</w:t>
          </w:r>
          <w:r>
            <w:fldChar w:fldCharType="end"/>
          </w:r>
          <w:r>
            <w:rPr>
              <w:rFonts w:hint="default" w:ascii="Times New Roman" w:hAnsi="Times New Roman" w:cs="Times New Roman"/>
              <w:bCs/>
              <w:lang w:val="zh-CN"/>
            </w:rPr>
            <w:fldChar w:fldCharType="end"/>
          </w:r>
        </w:p>
        <w:p w14:paraId="44C57F50">
          <w:pPr>
            <w:pStyle w:val="22"/>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_Toc16032 </w:instrText>
          </w:r>
          <w:r>
            <w:rPr>
              <w:rFonts w:hint="default" w:ascii="Times New Roman" w:hAnsi="Times New Roman" w:cs="Times New Roman"/>
              <w:bCs/>
              <w:lang w:val="zh-CN"/>
            </w:rPr>
            <w:fldChar w:fldCharType="separate"/>
          </w:r>
          <w:r>
            <w:rPr>
              <w:rFonts w:hint="default" w:ascii="Times New Roman" w:hAnsi="Times New Roman" w:cs="Times New Roman"/>
              <w:szCs w:val="30"/>
            </w:rPr>
            <w:t>4重点防治区划分成果</w:t>
          </w:r>
          <w:r>
            <w:tab/>
          </w:r>
          <w:r>
            <w:fldChar w:fldCharType="begin"/>
          </w:r>
          <w:r>
            <w:instrText xml:space="preserve"> PAGEREF _Toc16032 \h </w:instrText>
          </w:r>
          <w:r>
            <w:fldChar w:fldCharType="separate"/>
          </w:r>
          <w:r>
            <w:t>10</w:t>
          </w:r>
          <w:r>
            <w:fldChar w:fldCharType="end"/>
          </w:r>
          <w:r>
            <w:rPr>
              <w:rFonts w:hint="default" w:ascii="Times New Roman" w:hAnsi="Times New Roman" w:cs="Times New Roman"/>
              <w:bCs/>
              <w:lang w:val="zh-CN"/>
            </w:rPr>
            <w:fldChar w:fldCharType="end"/>
          </w:r>
        </w:p>
        <w:p w14:paraId="2870B545">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_Toc17549 </w:instrText>
          </w:r>
          <w:r>
            <w:rPr>
              <w:rFonts w:hint="default" w:ascii="Times New Roman" w:hAnsi="Times New Roman" w:cs="Times New Roman"/>
              <w:bCs/>
              <w:lang w:val="zh-CN"/>
            </w:rPr>
            <w:fldChar w:fldCharType="separate"/>
          </w:r>
          <w:r>
            <w:rPr>
              <w:rFonts w:hint="default" w:ascii="Times New Roman" w:hAnsi="Times New Roman" w:cs="Times New Roman"/>
              <w:szCs w:val="24"/>
              <w:highlight w:val="none"/>
              <w:lang w:eastAsia="zh-CN"/>
            </w:rPr>
            <w:t>4.1</w:t>
          </w:r>
          <w:r>
            <w:rPr>
              <w:rFonts w:hint="default" w:ascii="Times New Roman" w:hAnsi="Times New Roman" w:cs="Times New Roman"/>
              <w:lang w:eastAsia="zh-CN"/>
            </w:rPr>
            <w:t>总体划分结果</w:t>
          </w:r>
          <w:r>
            <w:tab/>
          </w:r>
          <w:r>
            <w:fldChar w:fldCharType="begin"/>
          </w:r>
          <w:r>
            <w:instrText xml:space="preserve"> PAGEREF _Toc17549 \h </w:instrText>
          </w:r>
          <w:r>
            <w:fldChar w:fldCharType="separate"/>
          </w:r>
          <w:r>
            <w:t>10</w:t>
          </w:r>
          <w:r>
            <w:fldChar w:fldCharType="end"/>
          </w:r>
          <w:r>
            <w:rPr>
              <w:rFonts w:hint="default" w:ascii="Times New Roman" w:hAnsi="Times New Roman" w:cs="Times New Roman"/>
              <w:bCs/>
              <w:lang w:val="zh-CN"/>
            </w:rPr>
            <w:fldChar w:fldCharType="end"/>
          </w:r>
        </w:p>
        <w:p w14:paraId="3AAD7B7E">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_Toc5278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4.2水土流失重点预防区介绍</w:t>
          </w:r>
          <w:r>
            <w:tab/>
          </w:r>
          <w:r>
            <w:fldChar w:fldCharType="begin"/>
          </w:r>
          <w:r>
            <w:instrText xml:space="preserve"> PAGEREF _Toc5278 \h </w:instrText>
          </w:r>
          <w:r>
            <w:fldChar w:fldCharType="separate"/>
          </w:r>
          <w:r>
            <w:t>10</w:t>
          </w:r>
          <w:r>
            <w:fldChar w:fldCharType="end"/>
          </w:r>
          <w:r>
            <w:rPr>
              <w:rFonts w:hint="default" w:ascii="Times New Roman" w:hAnsi="Times New Roman" w:cs="Times New Roman"/>
              <w:bCs/>
              <w:lang w:val="zh-CN"/>
            </w:rPr>
            <w:fldChar w:fldCharType="end"/>
          </w:r>
        </w:p>
        <w:p w14:paraId="78582779">
          <w:pPr>
            <w:pStyle w:val="23"/>
            <w:tabs>
              <w:tab w:val="right" w:leader="dot" w:pos="8747"/>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_Toc22290 </w:instrText>
          </w:r>
          <w:r>
            <w:rPr>
              <w:rFonts w:hint="default" w:ascii="Times New Roman" w:hAnsi="Times New Roman" w:cs="Times New Roman"/>
              <w:bCs/>
              <w:lang w:val="zh-CN"/>
            </w:rPr>
            <w:fldChar w:fldCharType="separate"/>
          </w:r>
          <w:r>
            <w:rPr>
              <w:rFonts w:hint="default" w:ascii="Times New Roman" w:hAnsi="Times New Roman" w:cs="Times New Roman"/>
              <w:lang w:eastAsia="zh-CN"/>
            </w:rPr>
            <w:t>4.3水土流失重点治理区介绍</w:t>
          </w:r>
          <w:r>
            <w:tab/>
          </w:r>
          <w:r>
            <w:fldChar w:fldCharType="begin"/>
          </w:r>
          <w:r>
            <w:instrText xml:space="preserve"> PAGEREF _Toc22290 \h </w:instrText>
          </w:r>
          <w:r>
            <w:fldChar w:fldCharType="separate"/>
          </w:r>
          <w:r>
            <w:t>11</w:t>
          </w:r>
          <w:r>
            <w:fldChar w:fldCharType="end"/>
          </w:r>
          <w:r>
            <w:rPr>
              <w:rFonts w:hint="default" w:ascii="Times New Roman" w:hAnsi="Times New Roman" w:cs="Times New Roman"/>
              <w:bCs/>
              <w:lang w:val="zh-CN"/>
            </w:rPr>
            <w:fldChar w:fldCharType="end"/>
          </w:r>
        </w:p>
        <w:p w14:paraId="75AAC2EA">
          <w:pPr>
            <w:ind w:firstLine="482"/>
            <w:rPr>
              <w:rFonts w:hint="default" w:ascii="Times New Roman" w:hAnsi="Times New Roman" w:cs="Times New Roman"/>
            </w:rPr>
          </w:pPr>
          <w:r>
            <w:rPr>
              <w:rFonts w:hint="default" w:ascii="Times New Roman" w:hAnsi="Times New Roman" w:cs="Times New Roman"/>
              <w:bCs/>
              <w:lang w:val="zh-CN"/>
            </w:rPr>
            <w:fldChar w:fldCharType="end"/>
          </w:r>
        </w:p>
      </w:sdtContent>
    </w:sdt>
    <w:p w14:paraId="4417691A">
      <w:pPr>
        <w:pStyle w:val="2"/>
        <w:ind w:left="960" w:firstLine="0"/>
        <w:jc w:val="center"/>
        <w:rPr>
          <w:rFonts w:hint="default" w:ascii="Times New Roman" w:hAnsi="Times New Roman" w:cs="Times New Roman"/>
          <w:b/>
          <w:sz w:val="30"/>
          <w:szCs w:val="30"/>
          <w:lang w:eastAsia="zh-CN"/>
        </w:rPr>
      </w:pPr>
    </w:p>
    <w:p w14:paraId="7424E648">
      <w:pPr>
        <w:pStyle w:val="2"/>
        <w:jc w:val="center"/>
        <w:rPr>
          <w:rFonts w:hint="default" w:ascii="Times New Roman" w:hAnsi="Times New Roman" w:cs="Times New Roman"/>
          <w:b/>
          <w:lang w:eastAsia="zh-CN"/>
        </w:rPr>
      </w:pPr>
    </w:p>
    <w:p w14:paraId="6A5F40AD">
      <w:pPr>
        <w:pStyle w:val="2"/>
        <w:rPr>
          <w:rFonts w:hint="default" w:ascii="Times New Roman" w:hAnsi="Times New Roman" w:cs="Times New Roman"/>
          <w:lang w:eastAsia="zh-CN"/>
        </w:rPr>
      </w:pPr>
    </w:p>
    <w:p w14:paraId="4242EB58">
      <w:pPr>
        <w:spacing w:line="240" w:lineRule="auto"/>
        <w:rPr>
          <w:rFonts w:hint="default" w:ascii="Times New Roman" w:hAnsi="Times New Roman" w:eastAsia="黑体" w:cs="Times New Roman"/>
          <w:b/>
          <w:bCs/>
          <w:kern w:val="44"/>
          <w:sz w:val="32"/>
          <w:szCs w:val="44"/>
          <w:lang w:eastAsia="zh-CN"/>
        </w:rPr>
        <w:sectPr>
          <w:footerReference r:id="rId10" w:type="first"/>
          <w:pgSz w:w="11907" w:h="16840"/>
          <w:pgMar w:top="1340" w:right="1580" w:bottom="280" w:left="1580" w:header="720" w:footer="720" w:gutter="0"/>
          <w:pgNumType w:fmt="upperRoman"/>
          <w:cols w:space="720" w:num="1"/>
          <w:titlePg/>
        </w:sectPr>
      </w:pPr>
    </w:p>
    <w:p w14:paraId="7DA97EE6">
      <w:pPr>
        <w:jc w:val="center"/>
        <w:rPr>
          <w:rFonts w:hint="default" w:ascii="Times New Roman" w:hAnsi="Times New Roman" w:eastAsia="黑体" w:cs="Times New Roman"/>
          <w:b/>
          <w:bCs/>
          <w:kern w:val="44"/>
          <w:sz w:val="32"/>
          <w:szCs w:val="44"/>
          <w:lang w:eastAsia="zh-CN"/>
        </w:rPr>
      </w:pPr>
    </w:p>
    <w:p w14:paraId="40ECEFA2">
      <w:pPr>
        <w:jc w:val="center"/>
        <w:rPr>
          <w:rFonts w:hint="default" w:ascii="Times New Roman" w:hAnsi="Times New Roman" w:eastAsia="黑体" w:cs="Times New Roman"/>
          <w:b/>
          <w:bCs/>
          <w:kern w:val="44"/>
          <w:sz w:val="32"/>
          <w:szCs w:val="44"/>
          <w:lang w:eastAsia="zh-CN"/>
        </w:rPr>
      </w:pPr>
    </w:p>
    <w:p w14:paraId="1E1BE688">
      <w:pPr>
        <w:jc w:val="center"/>
        <w:rPr>
          <w:rFonts w:hint="default" w:ascii="Times New Roman" w:hAnsi="Times New Roman" w:eastAsia="黑体" w:cs="Times New Roman"/>
          <w:b/>
          <w:bCs/>
          <w:kern w:val="44"/>
          <w:sz w:val="32"/>
          <w:szCs w:val="44"/>
          <w:lang w:eastAsia="zh-CN"/>
        </w:rPr>
      </w:pPr>
    </w:p>
    <w:p w14:paraId="229F6533">
      <w:pPr>
        <w:jc w:val="center"/>
        <w:rPr>
          <w:rFonts w:hint="default" w:ascii="Times New Roman" w:hAnsi="Times New Roman" w:eastAsia="黑体" w:cs="Times New Roman"/>
          <w:b/>
          <w:bCs/>
          <w:kern w:val="44"/>
          <w:sz w:val="32"/>
          <w:szCs w:val="44"/>
          <w:lang w:eastAsia="zh-CN"/>
        </w:rPr>
      </w:pPr>
    </w:p>
    <w:p w14:paraId="33495DC3">
      <w:pPr>
        <w:ind w:firstLine="723"/>
        <w:jc w:val="center"/>
        <w:rPr>
          <w:rFonts w:hint="default" w:ascii="Times New Roman" w:hAnsi="Times New Roman" w:cs="Times New Roman"/>
          <w:b/>
          <w:sz w:val="36"/>
          <w:szCs w:val="36"/>
          <w:highlight w:val="none"/>
          <w:lang w:eastAsia="zh-CN"/>
        </w:rPr>
      </w:pPr>
      <w:r>
        <w:rPr>
          <w:rFonts w:hint="default" w:ascii="Times New Roman" w:hAnsi="Times New Roman" w:cs="Times New Roman"/>
          <w:b/>
          <w:sz w:val="36"/>
          <w:szCs w:val="36"/>
          <w:lang w:eastAsia="zh-CN"/>
        </w:rPr>
        <w:t>雷州市水土保持规划</w:t>
      </w:r>
      <w:r>
        <w:rPr>
          <w:rFonts w:hint="default" w:ascii="Times New Roman" w:hAnsi="Times New Roman" w:cs="Times New Roman"/>
          <w:b/>
          <w:sz w:val="36"/>
          <w:szCs w:val="36"/>
          <w:highlight w:val="none"/>
          <w:lang w:eastAsia="zh-CN"/>
        </w:rPr>
        <w:t>（20</w:t>
      </w:r>
      <w:r>
        <w:rPr>
          <w:rFonts w:hint="default" w:ascii="Times New Roman" w:hAnsi="Times New Roman" w:cs="Times New Roman"/>
          <w:b/>
          <w:sz w:val="36"/>
          <w:szCs w:val="36"/>
          <w:highlight w:val="none"/>
          <w:lang w:val="en-US" w:eastAsia="zh-CN"/>
        </w:rPr>
        <w:t>24-</w:t>
      </w:r>
      <w:r>
        <w:rPr>
          <w:rFonts w:hint="default" w:ascii="Times New Roman" w:hAnsi="Times New Roman" w:cs="Times New Roman"/>
          <w:b/>
          <w:sz w:val="36"/>
          <w:szCs w:val="36"/>
          <w:highlight w:val="none"/>
          <w:lang w:eastAsia="zh-CN"/>
        </w:rPr>
        <w:t>203</w:t>
      </w:r>
      <w:r>
        <w:rPr>
          <w:rFonts w:hint="default" w:ascii="Times New Roman" w:hAnsi="Times New Roman" w:cs="Times New Roman"/>
          <w:b/>
          <w:sz w:val="36"/>
          <w:szCs w:val="36"/>
          <w:highlight w:val="none"/>
          <w:lang w:val="en-US" w:eastAsia="zh-CN"/>
        </w:rPr>
        <w:t>5</w:t>
      </w:r>
      <w:r>
        <w:rPr>
          <w:rFonts w:hint="default" w:ascii="Times New Roman" w:hAnsi="Times New Roman" w:cs="Times New Roman"/>
          <w:b/>
          <w:sz w:val="36"/>
          <w:szCs w:val="36"/>
          <w:highlight w:val="none"/>
          <w:lang w:eastAsia="zh-CN"/>
        </w:rPr>
        <w:t>年）</w:t>
      </w:r>
    </w:p>
    <w:p w14:paraId="2E4D7C3A">
      <w:pPr>
        <w:pStyle w:val="6"/>
        <w:numPr>
          <w:ilvl w:val="0"/>
          <w:numId w:val="0"/>
        </w:numPr>
        <w:spacing w:before="240" w:after="240"/>
        <w:ind w:left="425"/>
        <w:jc w:val="center"/>
        <w:rPr>
          <w:rFonts w:hint="default" w:ascii="Times New Roman" w:hAnsi="Times New Roman" w:cs="Times New Roman"/>
        </w:rPr>
      </w:pPr>
      <w:bookmarkStart w:id="0" w:name="_Toc23078"/>
      <w:r>
        <w:rPr>
          <w:rFonts w:hint="default" w:ascii="Times New Roman" w:hAnsi="Times New Roman" w:cs="Times New Roman"/>
        </w:rPr>
        <w:t>专题一、雷州市水土流失动态监测成果分析</w:t>
      </w:r>
      <w:bookmarkEnd w:id="0"/>
    </w:p>
    <w:p w14:paraId="551B1AA5">
      <w:pPr>
        <w:tabs>
          <w:tab w:val="left" w:pos="7274"/>
        </w:tabs>
        <w:ind w:firstLine="40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ab/>
      </w:r>
    </w:p>
    <w:p w14:paraId="299FC803">
      <w:pPr>
        <w:ind w:firstLine="400"/>
        <w:rPr>
          <w:rFonts w:hint="default" w:ascii="Times New Roman" w:hAnsi="Times New Roman" w:cs="Times New Roman"/>
          <w:sz w:val="20"/>
          <w:szCs w:val="20"/>
          <w:lang w:eastAsia="zh-CN"/>
        </w:rPr>
      </w:pPr>
    </w:p>
    <w:p w14:paraId="6C2334E4">
      <w:pPr>
        <w:ind w:firstLine="400"/>
        <w:rPr>
          <w:rFonts w:hint="default" w:ascii="Times New Roman" w:hAnsi="Times New Roman" w:cs="Times New Roman"/>
          <w:sz w:val="20"/>
          <w:szCs w:val="20"/>
          <w:lang w:eastAsia="zh-CN"/>
        </w:rPr>
      </w:pPr>
    </w:p>
    <w:p w14:paraId="7328D35A">
      <w:pPr>
        <w:ind w:firstLine="400"/>
        <w:rPr>
          <w:rFonts w:hint="default" w:ascii="Times New Roman" w:hAnsi="Times New Roman" w:cs="Times New Roman"/>
          <w:sz w:val="20"/>
          <w:szCs w:val="20"/>
          <w:lang w:eastAsia="zh-CN"/>
        </w:rPr>
      </w:pPr>
    </w:p>
    <w:p w14:paraId="608BA277">
      <w:pPr>
        <w:ind w:firstLine="400"/>
        <w:rPr>
          <w:rFonts w:hint="default" w:ascii="Times New Roman" w:hAnsi="Times New Roman" w:cs="Times New Roman"/>
          <w:sz w:val="20"/>
          <w:szCs w:val="20"/>
          <w:lang w:eastAsia="zh-CN"/>
        </w:rPr>
      </w:pPr>
    </w:p>
    <w:p w14:paraId="48C174CC">
      <w:pPr>
        <w:ind w:firstLine="400"/>
        <w:rPr>
          <w:rFonts w:hint="default" w:ascii="Times New Roman" w:hAnsi="Times New Roman" w:cs="Times New Roman"/>
          <w:sz w:val="20"/>
          <w:szCs w:val="20"/>
          <w:lang w:eastAsia="zh-CN"/>
        </w:rPr>
      </w:pPr>
    </w:p>
    <w:p w14:paraId="51BDF24F">
      <w:pPr>
        <w:ind w:firstLine="400"/>
        <w:rPr>
          <w:rFonts w:hint="default" w:ascii="Times New Roman" w:hAnsi="Times New Roman" w:cs="Times New Roman"/>
          <w:sz w:val="20"/>
          <w:szCs w:val="20"/>
          <w:lang w:eastAsia="zh-CN"/>
        </w:rPr>
      </w:pPr>
    </w:p>
    <w:p w14:paraId="33800F1D">
      <w:pPr>
        <w:ind w:firstLine="400"/>
        <w:rPr>
          <w:rFonts w:hint="default" w:ascii="Times New Roman" w:hAnsi="Times New Roman" w:cs="Times New Roman"/>
          <w:sz w:val="20"/>
          <w:szCs w:val="20"/>
          <w:lang w:eastAsia="zh-CN"/>
        </w:rPr>
      </w:pPr>
    </w:p>
    <w:p w14:paraId="08B6CF8B">
      <w:pPr>
        <w:ind w:firstLine="400"/>
        <w:rPr>
          <w:rFonts w:hint="default" w:ascii="Times New Roman" w:hAnsi="Times New Roman" w:cs="Times New Roman"/>
          <w:sz w:val="20"/>
          <w:szCs w:val="20"/>
          <w:lang w:eastAsia="zh-CN"/>
        </w:rPr>
      </w:pPr>
    </w:p>
    <w:p w14:paraId="2F1BA48D">
      <w:pPr>
        <w:ind w:firstLine="400"/>
        <w:rPr>
          <w:rFonts w:hint="default" w:ascii="Times New Roman" w:hAnsi="Times New Roman" w:cs="Times New Roman"/>
          <w:sz w:val="20"/>
          <w:szCs w:val="20"/>
          <w:lang w:eastAsia="zh-CN"/>
        </w:rPr>
      </w:pPr>
    </w:p>
    <w:p w14:paraId="2BE0638C">
      <w:pPr>
        <w:ind w:firstLine="400"/>
        <w:rPr>
          <w:rFonts w:hint="default" w:ascii="Times New Roman" w:hAnsi="Times New Roman" w:cs="Times New Roman"/>
          <w:sz w:val="20"/>
          <w:szCs w:val="20"/>
          <w:lang w:eastAsia="zh-CN"/>
        </w:rPr>
      </w:pPr>
    </w:p>
    <w:p w14:paraId="3FBF4A39">
      <w:pPr>
        <w:ind w:firstLine="400"/>
        <w:rPr>
          <w:rFonts w:hint="default" w:ascii="Times New Roman" w:hAnsi="Times New Roman" w:cs="Times New Roman"/>
          <w:sz w:val="20"/>
          <w:szCs w:val="20"/>
          <w:lang w:eastAsia="zh-CN"/>
        </w:rPr>
      </w:pPr>
    </w:p>
    <w:p w14:paraId="5961F039">
      <w:pPr>
        <w:ind w:firstLine="400"/>
        <w:rPr>
          <w:rFonts w:hint="default" w:ascii="Times New Roman" w:hAnsi="Times New Roman" w:cs="Times New Roman"/>
          <w:sz w:val="20"/>
          <w:szCs w:val="20"/>
          <w:lang w:eastAsia="zh-CN"/>
        </w:rPr>
      </w:pPr>
    </w:p>
    <w:p w14:paraId="32D6A753">
      <w:pPr>
        <w:ind w:firstLine="400"/>
        <w:rPr>
          <w:rFonts w:hint="default" w:ascii="Times New Roman" w:hAnsi="Times New Roman" w:cs="Times New Roman"/>
          <w:sz w:val="20"/>
          <w:szCs w:val="20"/>
          <w:lang w:eastAsia="zh-CN"/>
        </w:rPr>
      </w:pPr>
    </w:p>
    <w:p w14:paraId="45EAFC7B">
      <w:pPr>
        <w:ind w:firstLine="400"/>
        <w:rPr>
          <w:rFonts w:hint="default" w:ascii="Times New Roman" w:hAnsi="Times New Roman" w:cs="Times New Roman"/>
          <w:sz w:val="20"/>
          <w:szCs w:val="20"/>
          <w:lang w:eastAsia="zh-CN"/>
        </w:rPr>
      </w:pPr>
    </w:p>
    <w:p w14:paraId="06B5A06F">
      <w:pPr>
        <w:ind w:firstLine="400"/>
        <w:rPr>
          <w:rFonts w:hint="default" w:ascii="Times New Roman" w:hAnsi="Times New Roman" w:cs="Times New Roman"/>
          <w:sz w:val="20"/>
          <w:szCs w:val="20"/>
          <w:lang w:eastAsia="zh-CN"/>
        </w:rPr>
      </w:pPr>
    </w:p>
    <w:p w14:paraId="274B2DB6">
      <w:pPr>
        <w:ind w:firstLine="400"/>
        <w:rPr>
          <w:rFonts w:hint="default" w:ascii="Times New Roman" w:hAnsi="Times New Roman" w:cs="Times New Roman"/>
          <w:sz w:val="20"/>
          <w:szCs w:val="20"/>
          <w:lang w:eastAsia="zh-CN"/>
        </w:rPr>
      </w:pPr>
    </w:p>
    <w:p w14:paraId="7963D44E">
      <w:pPr>
        <w:ind w:firstLine="400"/>
        <w:rPr>
          <w:rFonts w:hint="default" w:ascii="Times New Roman" w:hAnsi="Times New Roman" w:cs="Times New Roman"/>
          <w:sz w:val="20"/>
          <w:szCs w:val="20"/>
          <w:lang w:eastAsia="zh-CN"/>
        </w:rPr>
      </w:pPr>
    </w:p>
    <w:p w14:paraId="6BB0C887">
      <w:pPr>
        <w:pStyle w:val="2"/>
        <w:ind w:firstLine="480"/>
        <w:rPr>
          <w:rFonts w:hint="default" w:ascii="Times New Roman" w:hAnsi="Times New Roman" w:cs="Times New Roman"/>
          <w:lang w:eastAsia="zh-CN"/>
        </w:rPr>
      </w:pPr>
    </w:p>
    <w:p w14:paraId="4E13D50A">
      <w:pPr>
        <w:pStyle w:val="2"/>
        <w:ind w:firstLine="480"/>
        <w:rPr>
          <w:rFonts w:hint="default" w:ascii="Times New Roman" w:hAnsi="Times New Roman" w:cs="Times New Roman"/>
          <w:lang w:eastAsia="zh-CN"/>
        </w:rPr>
      </w:pPr>
    </w:p>
    <w:p w14:paraId="645BCEDD">
      <w:pPr>
        <w:pStyle w:val="2"/>
        <w:ind w:firstLine="480"/>
        <w:rPr>
          <w:rFonts w:hint="default" w:ascii="Times New Roman" w:hAnsi="Times New Roman" w:cs="Times New Roman"/>
          <w:lang w:eastAsia="zh-CN"/>
        </w:rPr>
      </w:pPr>
    </w:p>
    <w:p w14:paraId="0CD068DA">
      <w:pPr>
        <w:rPr>
          <w:rFonts w:hint="default" w:ascii="Times New Roman" w:hAnsi="Times New Roman" w:cs="Times New Roman"/>
          <w:b/>
          <w:bCs/>
          <w:lang w:eastAsia="zh-CN"/>
        </w:rPr>
      </w:pPr>
    </w:p>
    <w:p w14:paraId="31FCE5E0">
      <w:pPr>
        <w:ind w:firstLine="1307" w:firstLineChars="465"/>
        <w:rPr>
          <w:rFonts w:hint="default" w:ascii="Times New Roman" w:hAnsi="Times New Roman" w:cs="Times New Roman" w:eastAsiaTheme="minorEastAsia"/>
          <w:b/>
          <w:sz w:val="28"/>
          <w:szCs w:val="28"/>
          <w:lang w:eastAsia="zh-CN"/>
        </w:rPr>
      </w:pPr>
      <w:r>
        <w:rPr>
          <w:rFonts w:hint="default" w:ascii="Times New Roman" w:hAnsi="Times New Roman" w:cs="Times New Roman" w:eastAsiaTheme="minorEastAsia"/>
          <w:b/>
          <w:sz w:val="28"/>
          <w:szCs w:val="28"/>
          <w:lang w:eastAsia="zh-CN"/>
        </w:rPr>
        <w:t>委托单位：雷州市水务局</w:t>
      </w:r>
    </w:p>
    <w:p w14:paraId="63A9A8AB">
      <w:pPr>
        <w:ind w:firstLine="1307" w:firstLineChars="465"/>
        <w:rPr>
          <w:rFonts w:hint="default" w:ascii="Times New Roman" w:hAnsi="Times New Roman" w:cs="Times New Roman" w:eastAsiaTheme="minorEastAsia"/>
          <w:b/>
          <w:bCs/>
          <w:w w:val="95"/>
          <w:sz w:val="28"/>
          <w:szCs w:val="28"/>
          <w:lang w:eastAsia="zh-CN"/>
        </w:rPr>
      </w:pPr>
      <w:r>
        <w:rPr>
          <w:rFonts w:hint="default" w:ascii="Times New Roman" w:hAnsi="Times New Roman" w:cs="Times New Roman" w:eastAsiaTheme="minorEastAsia"/>
          <w:b/>
          <w:sz w:val="28"/>
          <w:szCs w:val="28"/>
          <w:lang w:eastAsia="zh-CN"/>
        </w:rPr>
        <w:t>编制单位：广东河海工程咨询有限公司</w:t>
      </w:r>
    </w:p>
    <w:p w14:paraId="0DDCE328">
      <w:pPr>
        <w:rPr>
          <w:rFonts w:hint="default" w:ascii="Times New Roman" w:hAnsi="Times New Roman" w:cs="Times New Roman"/>
          <w:szCs w:val="28"/>
          <w:lang w:eastAsia="zh-CN"/>
        </w:rPr>
        <w:sectPr>
          <w:pgSz w:w="11907" w:h="16840"/>
          <w:pgMar w:top="1340" w:right="1580" w:bottom="280" w:left="1580" w:header="720" w:footer="720" w:gutter="0"/>
          <w:pgNumType w:start="1"/>
          <w:cols w:space="720" w:num="1"/>
          <w:titlePg/>
        </w:sectPr>
      </w:pPr>
    </w:p>
    <w:p w14:paraId="5BBA3660">
      <w:pPr>
        <w:pStyle w:val="6"/>
        <w:numPr>
          <w:ilvl w:val="0"/>
          <w:numId w:val="0"/>
        </w:numPr>
        <w:spacing w:before="190" w:beforeLines="50" w:after="190" w:afterLines="50"/>
        <w:rPr>
          <w:rFonts w:hint="default" w:ascii="Times New Roman" w:hAnsi="Times New Roman" w:cs="Times New Roman"/>
          <w:sz w:val="30"/>
          <w:szCs w:val="30"/>
        </w:rPr>
      </w:pPr>
      <w:bookmarkStart w:id="1" w:name="_Toc30184"/>
      <w:bookmarkStart w:id="2" w:name="_Toc9307_WPSOffice_Level2"/>
      <w:bookmarkStart w:id="3" w:name="_Toc19888_WPSOffice_Level2"/>
      <w:bookmarkStart w:id="4" w:name="_Toc9676"/>
      <w:bookmarkStart w:id="5" w:name="_Toc3460"/>
      <w:bookmarkStart w:id="6" w:name="_Toc13822"/>
      <w:bookmarkStart w:id="7" w:name="_Toc6594"/>
      <w:bookmarkStart w:id="8" w:name="_Toc1887"/>
      <w:r>
        <w:rPr>
          <w:rFonts w:hint="default" w:ascii="Times New Roman" w:hAnsi="Times New Roman" w:cs="Times New Roman"/>
          <w:sz w:val="30"/>
          <w:szCs w:val="30"/>
        </w:rPr>
        <w:t>1 项目基本情况</w:t>
      </w:r>
      <w:bookmarkEnd w:id="1"/>
      <w:bookmarkEnd w:id="2"/>
      <w:bookmarkEnd w:id="3"/>
      <w:bookmarkEnd w:id="4"/>
      <w:bookmarkEnd w:id="5"/>
      <w:bookmarkEnd w:id="6"/>
      <w:bookmarkEnd w:id="7"/>
      <w:bookmarkEnd w:id="8"/>
    </w:p>
    <w:p w14:paraId="19D9C582">
      <w:pPr>
        <w:pStyle w:val="7"/>
        <w:snapToGrid w:val="0"/>
        <w:spacing w:before="190" w:beforeLines="50" w:beforeAutospacing="0" w:after="0" w:afterAutospacing="0"/>
        <w:ind w:left="0"/>
        <w:rPr>
          <w:rFonts w:hint="default" w:ascii="Times New Roman" w:hAnsi="Times New Roman" w:cs="Times New Roman"/>
          <w:lang w:eastAsia="zh-CN"/>
        </w:rPr>
      </w:pPr>
      <w:bookmarkStart w:id="9" w:name="_Toc9307_WPSOffice_Level3"/>
      <w:bookmarkStart w:id="10" w:name="_Toc18087"/>
      <w:bookmarkStart w:id="11" w:name="_Toc8948"/>
      <w:bookmarkStart w:id="12" w:name="_Toc28658"/>
      <w:bookmarkStart w:id="13" w:name="_Toc11862"/>
      <w:r>
        <w:rPr>
          <w:rFonts w:hint="default" w:ascii="Times New Roman" w:hAnsi="Times New Roman" w:cs="Times New Roman"/>
          <w:lang w:eastAsia="zh-CN"/>
        </w:rPr>
        <w:t>项目范围</w:t>
      </w:r>
      <w:bookmarkEnd w:id="9"/>
      <w:bookmarkEnd w:id="10"/>
      <w:bookmarkEnd w:id="11"/>
      <w:bookmarkEnd w:id="12"/>
      <w:bookmarkEnd w:id="13"/>
    </w:p>
    <w:p w14:paraId="32A2559C">
      <w:pPr>
        <w:pStyle w:val="8"/>
        <w:adjustRightInd w:val="0"/>
        <w:snapToGrid w:val="0"/>
        <w:ind w:firstLine="480"/>
        <w:rPr>
          <w:rFonts w:hint="default" w:ascii="Times New Roman" w:hAnsi="Times New Roman" w:cs="Times New Roman"/>
          <w:sz w:val="24"/>
          <w:lang w:eastAsia="zh-CN"/>
        </w:rPr>
      </w:pPr>
      <w:r>
        <w:rPr>
          <w:rFonts w:hint="default" w:ascii="Times New Roman" w:hAnsi="Times New Roman" w:cs="Times New Roman"/>
          <w:sz w:val="24"/>
          <w:szCs w:val="21"/>
          <w:lang w:eastAsia="zh-CN"/>
        </w:rPr>
        <w:t>雷州市，建市前称海康县，为广东省湛江市代管的县级市，位于祖国大陆最南端的雷州半岛中部。东濒南海，西靠北部湾，北与湛江市郊、遂溪县接壤，南与徐闻县毗邻。雷州市地理位置图见图1-1。</w:t>
      </w:r>
    </w:p>
    <w:p w14:paraId="6C50FDFD">
      <w:pPr>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044440" cy="6454775"/>
            <wp:effectExtent l="0" t="0" r="3810" b="3175"/>
            <wp:docPr id="19" name="图片 224" descr="雷州市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4" descr="雷州市地理位置图"/>
                    <pic:cNvPicPr>
                      <a:picLocks noChangeAspect="1"/>
                    </pic:cNvPicPr>
                  </pic:nvPicPr>
                  <pic:blipFill>
                    <a:blip r:embed="rId25"/>
                    <a:stretch>
                      <a:fillRect/>
                    </a:stretch>
                  </pic:blipFill>
                  <pic:spPr>
                    <a:xfrm>
                      <a:off x="0" y="0"/>
                      <a:ext cx="5044440" cy="6454775"/>
                    </a:xfrm>
                    <a:prstGeom prst="rect">
                      <a:avLst/>
                    </a:prstGeom>
                    <a:noFill/>
                    <a:ln>
                      <a:noFill/>
                    </a:ln>
                  </pic:spPr>
                </pic:pic>
              </a:graphicData>
            </a:graphic>
          </wp:inline>
        </w:drawing>
      </w:r>
    </w:p>
    <w:p w14:paraId="37D9BCDF">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图1-1 雷州市地理位置图</w:t>
      </w:r>
    </w:p>
    <w:p w14:paraId="42A703BD">
      <w:pPr>
        <w:snapToGrid w:val="0"/>
        <w:ind w:firstLine="480" w:firstLineChars="200"/>
        <w:jc w:val="both"/>
        <w:rPr>
          <w:rFonts w:hint="default" w:ascii="Times New Roman" w:hAnsi="Times New Roman" w:cs="Times New Roman"/>
          <w:lang w:eastAsia="zh-CN"/>
        </w:rPr>
      </w:pPr>
      <w:r>
        <w:rPr>
          <w:rFonts w:hint="default" w:ascii="Times New Roman" w:hAnsi="Times New Roman" w:cs="Times New Roman"/>
          <w:lang w:eastAsia="zh-CN"/>
        </w:rPr>
        <w:t>雷州市下辖21个镇（街道），包括3个街道和18个镇，分别为雷城街道、新城街道和西湖街道，以及沈塘镇、东里镇、雷高镇、调风镇、英利镇、南兴镇、龙门镇、松竹镇、覃斗镇、乌石镇、北和镇、企水镇、唐家镇、杨家镇、纪家镇、白沙镇、客路镇和附城镇，</w:t>
      </w:r>
      <w:r>
        <w:rPr>
          <w:rFonts w:hint="default" w:ascii="Times New Roman" w:hAnsi="Times New Roman" w:cs="Times New Roman"/>
          <w:highlight w:val="none"/>
          <w:lang w:eastAsia="zh-CN"/>
        </w:rPr>
        <w:t>土地总面积3025km</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lang w:eastAsia="zh-CN"/>
        </w:rPr>
        <w:t>。</w:t>
      </w:r>
      <w:r>
        <w:rPr>
          <w:rFonts w:hint="default" w:ascii="Times New Roman" w:hAnsi="Times New Roman" w:cs="Times New Roman"/>
        </w:rPr>
        <w:t>雷州市行政区划图</w:t>
      </w:r>
      <w:r>
        <w:rPr>
          <w:rFonts w:hint="default" w:ascii="Times New Roman" w:hAnsi="Times New Roman" w:cs="Times New Roman"/>
          <w:lang w:eastAsia="zh-CN"/>
        </w:rPr>
        <w:t>见图1-2。</w:t>
      </w:r>
    </w:p>
    <w:p w14:paraId="0934BC96">
      <w:pPr>
        <w:jc w:val="both"/>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346065" cy="6840220"/>
            <wp:effectExtent l="0" t="0" r="6985" b="17780"/>
            <wp:docPr id="20" name="图片 219" descr="雷州市街镇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9" descr="雷州市街镇区划图"/>
                    <pic:cNvPicPr>
                      <a:picLocks noChangeAspect="1"/>
                    </pic:cNvPicPr>
                  </pic:nvPicPr>
                  <pic:blipFill>
                    <a:blip r:embed="rId26"/>
                    <a:stretch>
                      <a:fillRect/>
                    </a:stretch>
                  </pic:blipFill>
                  <pic:spPr>
                    <a:xfrm>
                      <a:off x="0" y="0"/>
                      <a:ext cx="5346065" cy="6840220"/>
                    </a:xfrm>
                    <a:prstGeom prst="rect">
                      <a:avLst/>
                    </a:prstGeom>
                    <a:noFill/>
                    <a:ln>
                      <a:noFill/>
                    </a:ln>
                  </pic:spPr>
                </pic:pic>
              </a:graphicData>
            </a:graphic>
          </wp:inline>
        </w:drawing>
      </w:r>
    </w:p>
    <w:p w14:paraId="3F56C80F">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图1-2 雷州市行政区划图</w:t>
      </w:r>
    </w:p>
    <w:p w14:paraId="5A3B0ECF">
      <w:pPr>
        <w:pStyle w:val="7"/>
        <w:snapToGrid w:val="0"/>
        <w:spacing w:before="190" w:beforeLines="50" w:beforeAutospacing="0" w:after="0" w:afterAutospacing="0"/>
        <w:ind w:left="0"/>
        <w:rPr>
          <w:rFonts w:hint="default" w:ascii="Times New Roman" w:hAnsi="Times New Roman" w:cs="Times New Roman"/>
          <w:lang w:eastAsia="zh-CN"/>
        </w:rPr>
      </w:pPr>
      <w:bookmarkStart w:id="14" w:name="_Toc4690"/>
      <w:bookmarkStart w:id="15" w:name="_Toc31798"/>
      <w:r>
        <w:rPr>
          <w:rFonts w:hint="default" w:ascii="Times New Roman" w:hAnsi="Times New Roman" w:cs="Times New Roman"/>
          <w:lang w:eastAsia="zh-CN"/>
        </w:rPr>
        <w:t>自然地理</w:t>
      </w:r>
      <w:bookmarkEnd w:id="14"/>
      <w:bookmarkEnd w:id="15"/>
    </w:p>
    <w:p w14:paraId="758059C6">
      <w:pPr>
        <w:pStyle w:val="9"/>
        <w:numPr>
          <w:ilvl w:val="0"/>
          <w:numId w:val="0"/>
        </w:numPr>
        <w:snapToGrid w:val="0"/>
        <w:spacing w:before="0" w:beforeLines="0"/>
        <w:rPr>
          <w:rFonts w:hint="default" w:ascii="Times New Roman" w:hAnsi="Times New Roman" w:cs="Times New Roman"/>
          <w:lang w:eastAsia="zh-CN"/>
        </w:rPr>
      </w:pPr>
      <w:bookmarkStart w:id="16" w:name="_Toc1509"/>
      <w:bookmarkStart w:id="17" w:name="_Toc7740"/>
      <w:r>
        <w:rPr>
          <w:rFonts w:hint="default" w:ascii="Times New Roman" w:hAnsi="Times New Roman" w:cs="Times New Roman"/>
          <w:lang w:eastAsia="zh-CN"/>
        </w:rPr>
        <w:t>1.2.1气象</w:t>
      </w:r>
      <w:bookmarkEnd w:id="16"/>
      <w:bookmarkEnd w:id="17"/>
    </w:p>
    <w:p w14:paraId="327A1906">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雷州市位于北回归线以南的低纬度地区，东西两面临海，属热带季风气候，终年受海洋气候调节，漫夏无冬春秋短，雨量充沛雨季长，春秋季节多干旱，夏季台风较频繁。</w:t>
      </w:r>
    </w:p>
    <w:p w14:paraId="7699580A">
      <w:pPr>
        <w:pStyle w:val="2"/>
        <w:keepNext w:val="0"/>
        <w:keepLines w:val="0"/>
        <w:pageBreakBefore w:val="0"/>
        <w:widowControl/>
        <w:kinsoku/>
        <w:wordWrap/>
        <w:overflowPunct/>
        <w:topLinePunct w:val="0"/>
        <w:autoSpaceDE/>
        <w:autoSpaceDN/>
        <w:bidi w:val="0"/>
        <w:adjustRightInd/>
        <w:snapToGrid w:val="0"/>
        <w:ind w:firstLine="561"/>
        <w:textAlignment w:val="auto"/>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日照年平均2003.6小时，太阳年总辐射量108～117卡/平方厘米，年平均气温22℃，最高气温38.5℃（出现于1977年6月8日），最低气温0℃（出现于1975年12月2日和29日），最热月份是7月，平均气温28.4℃，最冷月份是1月，平均气温15.5℃。年温差明显，为12.9℃左右。年积温约8382.3℃。无霜期达364天。雨量充沛。干湿明显，年平均降雨日135天，平均年降雨量为1711.6毫米。降雨年际变化大，相对出现干湿季。雨季为6～9月，以南风为主；旱季为11月至次年3月，以北风为主。市内区域降雨不均匀。东部、中部、北部为多雨区。而西部、南部为少雨区。内陆为多雨区。沿海为少雨区。年平均相对湿度为84%，风速3.6米/秒。</w:t>
      </w:r>
    </w:p>
    <w:p w14:paraId="527B6211">
      <w:pPr>
        <w:pStyle w:val="9"/>
        <w:numPr>
          <w:ilvl w:val="0"/>
          <w:numId w:val="0"/>
        </w:numPr>
        <w:snapToGrid w:val="0"/>
        <w:spacing w:before="0" w:beforeLines="0"/>
        <w:rPr>
          <w:rFonts w:hint="default" w:ascii="Times New Roman" w:hAnsi="Times New Roman" w:cs="Times New Roman"/>
          <w:lang w:eastAsia="zh-CN"/>
        </w:rPr>
      </w:pPr>
      <w:bookmarkStart w:id="18" w:name="_Toc13321"/>
      <w:bookmarkStart w:id="19" w:name="_Toc22896"/>
      <w:r>
        <w:rPr>
          <w:rFonts w:hint="default" w:ascii="Times New Roman" w:hAnsi="Times New Roman" w:cs="Times New Roman"/>
          <w:lang w:eastAsia="zh-CN"/>
        </w:rPr>
        <w:t>1.2.2土壤</w:t>
      </w:r>
      <w:bookmarkEnd w:id="18"/>
      <w:bookmarkEnd w:id="19"/>
    </w:p>
    <w:p w14:paraId="513F38E1">
      <w:pPr>
        <w:snapToGrid w:val="0"/>
        <w:ind w:firstLine="480"/>
        <w:jc w:val="both"/>
        <w:rPr>
          <w:rFonts w:hint="default" w:ascii="Times New Roman" w:hAnsi="Times New Roman" w:cs="Times New Roman"/>
          <w:lang w:eastAsia="zh-CN"/>
        </w:rPr>
      </w:pPr>
      <w:r>
        <w:rPr>
          <w:rFonts w:hint="default" w:ascii="Times New Roman" w:hAnsi="Times New Roman" w:cs="Times New Roman"/>
          <w:highlight w:val="none"/>
          <w:lang w:eastAsia="zh-CN"/>
        </w:rPr>
        <w:t>根据雷州市人民政府官网发布的雷州市情，</w:t>
      </w:r>
      <w:r>
        <w:rPr>
          <w:rFonts w:hint="default" w:ascii="Times New Roman" w:hAnsi="Times New Roman" w:cs="Times New Roman"/>
          <w:lang w:eastAsia="zh-CN"/>
        </w:rPr>
        <w:t>雷州市自然土壤总面积360万亩，占总土壤的68%，可分为五大类型：</w:t>
      </w:r>
    </w:p>
    <w:p w14:paraId="08954121">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砖红壤土。面积321万亩，占自然土壤的89.3%，分为赤土和黄赤土两个土属。赤土属面积130.3万亩，占自然土壤的36.2%，由玄武岩发育而成。主要分布于本市的东南部及其延伸地带的南兴镇东南部、雷高镇南部、东里镇西部、调风镇西南部、龙门镇东南部、英利镇东南部、北和镇南部、房参镇东部、覃斗镇北部、唐家、海田两镇东部、杨家镇西部等地。土壤赤红至褐红色，土层深厚、质地重粘、有机质含量较高，肥力较高、适宜种植热带经济作物和造林；黄色赤土属，面积191.43万亩。占自然土壤的53.1%。成土母质为浅海沉积物。主要分布于本市的中北部和西北部的客路、白沙、附城、沈塘、唐家、纪家、南兴、松竹等镇。地形开阔平坦，土层深厚，植被覆盖差，水土流失严重，表土层有机质含量底，氮磷少，极缺钾。</w:t>
      </w:r>
    </w:p>
    <w:p w14:paraId="3801CEE7">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2）滨海盐渍沼泽土。面积31.2万亩。占自然土壤8.66%，成土母质为近代滨海沉沉积物。分为滨海沙滩（面积19.1万亩）。滨海泥滩（面积11.7万亩）。滨海草滩（面积0.46万亩）。滨海泥滩和滨海草滩主要分布于东海岸，少部分分布在西海的海湾地带。由于受海潮的影响，含盐分较高，质地粘重。现已有很多开发为虾池、鱼塘，精养对虾、螃蟹、鱼、蚝等。</w:t>
      </w:r>
    </w:p>
    <w:p w14:paraId="2C02A15E">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3）滨海沙土。面积5.5万亩，占自然土壤的1.52%，成土母质为近代滨海冲积物。成带状或片状分布在东西海岸沙滩地带。土层深厚，土体松散。易渗透、易干旱，湿度变化大，有机质缺乏。表层长着稀疏而耐旱、耐咸植物，如香附子、铺地黍、仙人掌等。</w:t>
      </w:r>
    </w:p>
    <w:p w14:paraId="2C9699E9">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4）滨海盐土。面积2.1万亩，占自然土壤的0.59%，主要分布于附城镇、沈塘镇的东部海滩，西部的唐家镇和海田的海湾也有分布。土壤质地沙壤至粘壤，含盐分较高。地表的耐盐草本植物茂盛，可以放牧，离大海稍远的、盐分较低的地方，已逐年开垦农用。</w:t>
      </w:r>
    </w:p>
    <w:p w14:paraId="6A767066">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（5）沼泽土。面积340亩，占自然土壤的0.009%，主要分布在纪家镇的坡塘一带的低洼地。土体黑灰色，糊状结构，表土层集生着茂密的水生杂草。</w:t>
      </w:r>
    </w:p>
    <w:p w14:paraId="59793A19">
      <w:pPr>
        <w:pStyle w:val="9"/>
        <w:numPr>
          <w:ilvl w:val="0"/>
          <w:numId w:val="0"/>
        </w:numPr>
        <w:snapToGrid w:val="0"/>
        <w:spacing w:before="0" w:beforeLines="0"/>
        <w:rPr>
          <w:rFonts w:hint="default" w:ascii="Times New Roman" w:hAnsi="Times New Roman" w:cs="Times New Roman"/>
          <w:lang w:eastAsia="zh-CN"/>
        </w:rPr>
      </w:pPr>
      <w:bookmarkStart w:id="20" w:name="_Toc1082"/>
      <w:bookmarkStart w:id="21" w:name="_Toc14193"/>
      <w:r>
        <w:rPr>
          <w:rFonts w:hint="default" w:ascii="Times New Roman" w:hAnsi="Times New Roman" w:cs="Times New Roman"/>
          <w:lang w:eastAsia="zh-CN"/>
        </w:rPr>
        <w:t>1.2.3水系</w:t>
      </w:r>
      <w:bookmarkEnd w:id="20"/>
      <w:bookmarkEnd w:id="21"/>
    </w:p>
    <w:p w14:paraId="2FE66190">
      <w:pPr>
        <w:pStyle w:val="8"/>
        <w:snapToGrid w:val="0"/>
        <w:ind w:firstLine="480"/>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雷州地表水较贫乏，地下水资源较丰富。多年平均地表径流总量19.64忆立方米，丰水年31.9亿立方米，平水年18.02亿立方米，枯水年10. 62亿立方米。另外，雷州青年运河一般年可供水1.2亿立方米。地表水特征是雨量集中，具有明显季节性。秋季雨量多，夏季次之，春冬雨量少，实际旱季长达5个月；雨量分布空间不均，差异明显，东北部多，西南部少。蒸发量大于降水量的年份多，对农业生产很不利。河流短小，降水利用率低。蓄水工程设计正常库容仅3.73亿立方米，降水蓄积量少，而且降雨时空分布不均，常达不到蓄水指标。本市集雨面积100平方公里以上单独出海的河流有8条，大量降水渲泻入海，降水利用率低。地下水源蕴藏较丰富，总蕴藏量12.96亿立方米。据供水规划的统计，平均年利用地下水量为8710万立方米，占地下水总量6.75%。</w:t>
      </w:r>
    </w:p>
    <w:p w14:paraId="3F51D798">
      <w:pPr>
        <w:pStyle w:val="8"/>
        <w:snapToGrid w:val="0"/>
        <w:ind w:firstLine="480"/>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雷州市水系情况见1-3。</w:t>
      </w:r>
    </w:p>
    <w:p w14:paraId="05299ED6">
      <w:pPr>
        <w:pStyle w:val="8"/>
        <w:ind w:firstLine="0"/>
        <w:jc w:val="both"/>
        <w:rPr>
          <w:rFonts w:hint="default" w:ascii="Times New Roman" w:hAnsi="Times New Roman" w:cs="Times New Roman"/>
          <w:b/>
          <w:sz w:val="24"/>
          <w:lang w:eastAsia="zh-CN"/>
        </w:rPr>
      </w:pPr>
      <w:r>
        <w:rPr>
          <w:rFonts w:hint="default" w:ascii="Times New Roman" w:hAnsi="Times New Roman" w:cs="Times New Roman"/>
          <w:b/>
          <w:sz w:val="24"/>
          <w:lang w:eastAsia="zh-CN"/>
        </w:rPr>
        <w:drawing>
          <wp:inline distT="0" distB="0" distL="114300" distR="114300">
            <wp:extent cx="5271135" cy="6743700"/>
            <wp:effectExtent l="0" t="0" r="5715" b="0"/>
            <wp:docPr id="21" name="图片 225" descr="雷州市水系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5" descr="雷州市水系分布图"/>
                    <pic:cNvPicPr>
                      <a:picLocks noChangeAspect="1"/>
                    </pic:cNvPicPr>
                  </pic:nvPicPr>
                  <pic:blipFill>
                    <a:blip r:embed="rId27"/>
                    <a:stretch>
                      <a:fillRect/>
                    </a:stretch>
                  </pic:blipFill>
                  <pic:spPr>
                    <a:xfrm>
                      <a:off x="0" y="0"/>
                      <a:ext cx="5271135" cy="6743700"/>
                    </a:xfrm>
                    <a:prstGeom prst="rect">
                      <a:avLst/>
                    </a:prstGeom>
                    <a:noFill/>
                    <a:ln>
                      <a:noFill/>
                    </a:ln>
                  </pic:spPr>
                </pic:pic>
              </a:graphicData>
            </a:graphic>
          </wp:inline>
        </w:drawing>
      </w:r>
    </w:p>
    <w:p w14:paraId="7CC56353">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图1-3 雷州市水系分布图</w:t>
      </w:r>
    </w:p>
    <w:p w14:paraId="6B015645">
      <w:pPr>
        <w:pStyle w:val="7"/>
        <w:snapToGrid w:val="0"/>
        <w:spacing w:before="190" w:beforeLines="50" w:beforeAutospacing="0" w:after="0" w:afterAutospacing="0"/>
        <w:ind w:left="0"/>
        <w:rPr>
          <w:rFonts w:hint="default" w:ascii="Times New Roman" w:hAnsi="Times New Roman" w:cs="Times New Roman"/>
          <w:lang w:eastAsia="zh-CN"/>
        </w:rPr>
      </w:pPr>
      <w:bookmarkStart w:id="22" w:name="_Toc25661"/>
      <w:bookmarkStart w:id="23" w:name="_Toc520723952"/>
      <w:bookmarkStart w:id="24" w:name="_Toc21572"/>
      <w:r>
        <w:rPr>
          <w:rFonts w:hint="default" w:ascii="Times New Roman" w:hAnsi="Times New Roman" w:cs="Times New Roman"/>
          <w:lang w:eastAsia="zh-CN"/>
        </w:rPr>
        <w:t>地形地貌</w:t>
      </w:r>
      <w:bookmarkEnd w:id="22"/>
      <w:bookmarkEnd w:id="23"/>
      <w:bookmarkEnd w:id="24"/>
    </w:p>
    <w:p w14:paraId="62CAAFC0">
      <w:pPr>
        <w:pStyle w:val="8"/>
        <w:snapToGrid w:val="0"/>
        <w:ind w:firstLine="480"/>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雷州市地势平缓，境内陆地大部分属平缓台地，少部分为低丘。整个地势南高北低，沟谷一般是南北走向。东部和西部沿海地区渐向海倾斜。溪河多为西部向西流入海，东部向东流入海。东西海岸滩涂广阔，多海湾、岛屿与沙洲。</w:t>
      </w:r>
    </w:p>
    <w:p w14:paraId="2F45813A">
      <w:pPr>
        <w:pStyle w:val="8"/>
        <w:snapToGrid w:val="0"/>
        <w:ind w:firstLine="480"/>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雷州市内多低丘陵，总面积约150平方公里，占该市土地总面积的4.2%。低丘主要分布在企水镇东部、北和镇东北部、龙门镇东北和西南部、调风镇北部、英利镇东北部及房参乡的东北部。海拔高度一般为65～174米，相对高度一般在40～55米之间，坡度一般为5～10度。该市境内海拔超过200米的山丘有石茆岭、鹰峰岭和仕礼岭。其中石茆岭海拔259米，是市境内制高点。在南渡河中下游，有一个范围广阔、一马平川的平原地带，因为是河海冲积和围垦形成的，又在雷州府城的东部和西南部，所以当地人叫做东西洋。东西洋平原面积22万余亩，素有雷州半岛“天然粮仓”之称，并有“东洋熟、雷州足”之誉。</w:t>
      </w:r>
    </w:p>
    <w:p w14:paraId="66BACD45">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雷州市地形地貌图见图1-4。</w:t>
      </w:r>
    </w:p>
    <w:p w14:paraId="7442F6F1">
      <w:pPr>
        <w:pStyle w:val="7"/>
        <w:snapToGrid w:val="0"/>
        <w:spacing w:before="0" w:beforeAutospacing="0" w:after="0" w:afterAutospacing="0"/>
        <w:ind w:left="0"/>
        <w:rPr>
          <w:rFonts w:hint="default" w:ascii="Times New Roman" w:hAnsi="Times New Roman" w:cs="Times New Roman"/>
          <w:lang w:eastAsia="zh-CN"/>
        </w:rPr>
      </w:pPr>
      <w:bookmarkStart w:id="25" w:name="_Toc13153_WPSOffice_Level2"/>
      <w:bookmarkStart w:id="26" w:name="_Toc14593"/>
      <w:bookmarkStart w:id="27" w:name="_Toc28956"/>
      <w:bookmarkStart w:id="28" w:name="_Toc5235"/>
      <w:bookmarkStart w:id="29" w:name="_Toc8500"/>
      <w:bookmarkStart w:id="30" w:name="_Toc12192"/>
      <w:bookmarkStart w:id="31" w:name="_Toc7948_WPSOffice_Level2"/>
      <w:bookmarkStart w:id="32" w:name="_Toc26679"/>
      <w:r>
        <w:rPr>
          <w:rFonts w:hint="default" w:ascii="Times New Roman" w:hAnsi="Times New Roman" w:cs="Times New Roman"/>
          <w:lang w:eastAsia="zh-CN"/>
        </w:rPr>
        <w:t>土地利用</w:t>
      </w:r>
      <w:bookmarkEnd w:id="25"/>
      <w:bookmarkEnd w:id="26"/>
      <w:bookmarkEnd w:id="27"/>
      <w:bookmarkEnd w:id="28"/>
      <w:bookmarkEnd w:id="29"/>
      <w:bookmarkEnd w:id="30"/>
      <w:bookmarkEnd w:id="31"/>
      <w:bookmarkEnd w:id="32"/>
    </w:p>
    <w:p w14:paraId="43A7B698">
      <w:pPr>
        <w:snapToGrid w:val="0"/>
        <w:spacing w:line="360" w:lineRule="auto"/>
        <w:ind w:firstLine="480" w:firstLineChars="200"/>
        <w:jc w:val="both"/>
        <w:rPr>
          <w:rFonts w:hint="default" w:ascii="Times New Roman" w:hAnsi="Times New Roman" w:eastAsia="宋体" w:cs="Times New Roman"/>
          <w:kern w:val="2"/>
          <w:highlight w:val="yellow"/>
          <w:lang w:val="en-US" w:eastAsia="zh-CN"/>
        </w:rPr>
      </w:pPr>
      <w:r>
        <w:rPr>
          <w:rFonts w:hint="default" w:ascii="Times New Roman" w:hAnsi="Times New Roman" w:cs="Times New Roman"/>
          <w:kern w:val="2"/>
        </w:rPr>
        <w:t>根据广东省20</w:t>
      </w:r>
      <w:r>
        <w:rPr>
          <w:rFonts w:hint="default" w:ascii="Times New Roman" w:hAnsi="Times New Roman" w:cs="Times New Roman"/>
          <w:kern w:val="2"/>
          <w:lang w:val="en-US" w:eastAsia="zh-CN"/>
        </w:rPr>
        <w:t>23</w:t>
      </w:r>
      <w:r>
        <w:rPr>
          <w:rFonts w:hint="default" w:ascii="Times New Roman" w:hAnsi="Times New Roman" w:cs="Times New Roman"/>
          <w:kern w:val="2"/>
        </w:rPr>
        <w:t>年基础性地理国情监测调查结果，雷州市总土地面积</w:t>
      </w:r>
      <w:r>
        <w:rPr>
          <w:rFonts w:hint="default" w:ascii="Times New Roman" w:hAnsi="Times New Roman" w:cs="Times New Roman"/>
          <w:kern w:val="2"/>
          <w:lang w:val="en-US" w:eastAsia="zh-CN"/>
        </w:rPr>
        <w:t>3688.08</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，其中耕地面积</w:t>
      </w:r>
      <w:r>
        <w:rPr>
          <w:rFonts w:hint="default" w:ascii="Times New Roman" w:hAnsi="Times New Roman" w:cs="Times New Roman"/>
          <w:kern w:val="2"/>
          <w:lang w:val="en-US" w:eastAsia="zh-CN"/>
        </w:rPr>
        <w:t>1322.42</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35.86</w:t>
      </w:r>
      <w:r>
        <w:rPr>
          <w:rFonts w:hint="default" w:ascii="Times New Roman" w:hAnsi="Times New Roman" w:cs="Times New Roman"/>
          <w:kern w:val="2"/>
        </w:rPr>
        <w:t>%；园地面积</w:t>
      </w:r>
      <w:r>
        <w:rPr>
          <w:rFonts w:hint="default" w:ascii="Times New Roman" w:hAnsi="Times New Roman" w:cs="Times New Roman"/>
          <w:kern w:val="2"/>
          <w:lang w:val="en-US" w:eastAsia="zh-CN"/>
        </w:rPr>
        <w:t>278.85</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7.56</w:t>
      </w:r>
      <w:r>
        <w:rPr>
          <w:rFonts w:hint="default" w:ascii="Times New Roman" w:hAnsi="Times New Roman" w:cs="Times New Roman"/>
          <w:kern w:val="2"/>
        </w:rPr>
        <w:t>%；林地面积</w:t>
      </w:r>
      <w:r>
        <w:rPr>
          <w:rFonts w:hint="default" w:ascii="Times New Roman" w:hAnsi="Times New Roman" w:cs="Times New Roman"/>
          <w:kern w:val="2"/>
          <w:lang w:val="en-US" w:eastAsia="zh-CN"/>
        </w:rPr>
        <w:t>1094.16</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29.67</w:t>
      </w:r>
      <w:r>
        <w:rPr>
          <w:rFonts w:hint="default" w:ascii="Times New Roman" w:hAnsi="Times New Roman" w:cs="Times New Roman"/>
          <w:kern w:val="2"/>
        </w:rPr>
        <w:t>%；草地面积</w:t>
      </w:r>
      <w:r>
        <w:rPr>
          <w:rFonts w:hint="default" w:ascii="Times New Roman" w:hAnsi="Times New Roman" w:cs="Times New Roman"/>
          <w:kern w:val="2"/>
          <w:lang w:val="en-US" w:eastAsia="zh-CN"/>
        </w:rPr>
        <w:t>54.49</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1.48</w:t>
      </w:r>
      <w:r>
        <w:rPr>
          <w:rFonts w:hint="default" w:ascii="Times New Roman" w:hAnsi="Times New Roman" w:cs="Times New Roman"/>
          <w:kern w:val="2"/>
        </w:rPr>
        <w:t>%；建设用地</w:t>
      </w:r>
      <w:r>
        <w:rPr>
          <w:rFonts w:hint="default" w:ascii="Times New Roman" w:hAnsi="Times New Roman" w:cs="Times New Roman"/>
          <w:kern w:val="2"/>
          <w:lang w:val="en-US" w:eastAsia="zh-CN"/>
        </w:rPr>
        <w:t>317.75</w:t>
      </w:r>
      <w:r>
        <w:rPr>
          <w:rFonts w:hint="default" w:ascii="Times New Roman" w:hAnsi="Times New Roman" w:cs="Times New Roman"/>
          <w:kern w:val="2"/>
        </w:rPr>
        <w:t>km</w:t>
      </w:r>
      <w:r>
        <w:rPr>
          <w:rFonts w:hint="default" w:ascii="Times New Roman" w:hAnsi="Times New Roman" w:cs="Times New Roman"/>
          <w:kern w:val="2"/>
          <w:vertAlign w:val="superscript"/>
        </w:rPr>
        <w:t>2</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8.62</w:t>
      </w:r>
      <w:r>
        <w:rPr>
          <w:rFonts w:hint="default" w:ascii="Times New Roman" w:hAnsi="Times New Roman" w:cs="Times New Roman"/>
          <w:kern w:val="2"/>
        </w:rPr>
        <w:t>%；</w:t>
      </w:r>
      <w:r>
        <w:rPr>
          <w:rFonts w:hint="default" w:ascii="Times New Roman" w:hAnsi="Times New Roman" w:eastAsia="宋体" w:cs="Times New Roman"/>
          <w:i w:val="0"/>
          <w:iCs w:val="0"/>
          <w:color w:val="000000"/>
          <w:kern w:val="0"/>
          <w:sz w:val="24"/>
          <w:szCs w:val="24"/>
          <w:u w:val="none"/>
          <w:lang w:val="en-US" w:eastAsia="zh-CN" w:bidi="ar"/>
        </w:rPr>
        <w:t>未利用地237.96</w:t>
      </w:r>
      <w:r>
        <w:rPr>
          <w:rFonts w:hint="default" w:ascii="Times New Roman" w:hAnsi="Times New Roman" w:cs="Times New Roman"/>
          <w:kern w:val="2"/>
          <w:sz w:val="24"/>
          <w:szCs w:val="24"/>
        </w:rPr>
        <w:t>km</w:t>
      </w:r>
      <w:r>
        <w:rPr>
          <w:rFonts w:hint="default" w:ascii="Times New Roman" w:hAnsi="Times New Roman" w:cs="Times New Roman"/>
          <w:kern w:val="2"/>
          <w:sz w:val="24"/>
          <w:szCs w:val="24"/>
          <w:vertAlign w:val="superscript"/>
        </w:rPr>
        <w:t>2</w:t>
      </w:r>
      <w:r>
        <w:rPr>
          <w:rFonts w:hint="default"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cs="Times New Roman"/>
          <w:kern w:val="2"/>
        </w:rPr>
        <w:t>占总土地面积的</w:t>
      </w:r>
      <w:r>
        <w:rPr>
          <w:rFonts w:hint="default" w:ascii="Times New Roman" w:hAnsi="Times New Roman" w:cs="Times New Roman"/>
          <w:kern w:val="2"/>
          <w:lang w:val="en-US" w:eastAsia="zh-CN"/>
        </w:rPr>
        <w:t>6.45</w:t>
      </w:r>
      <w:r>
        <w:rPr>
          <w:rFonts w:hint="default" w:ascii="Times New Roman" w:hAnsi="Times New Roman" w:cs="Times New Roman"/>
          <w:kern w:val="2"/>
        </w:rPr>
        <w:t>%。</w:t>
      </w:r>
      <w:r>
        <w:rPr>
          <w:rFonts w:hint="eastAsia" w:cs="Times New Roman"/>
          <w:kern w:val="2"/>
          <w:lang w:val="en-US" w:eastAsia="zh-CN"/>
        </w:rPr>
        <w:t>雷州市土地利用面积统计表建表1-1。</w:t>
      </w:r>
    </w:p>
    <w:p w14:paraId="0F7F57AA">
      <w:pPr>
        <w:pStyle w:val="48"/>
        <w:wordWrap w:val="0"/>
        <w:spacing w:before="0" w:beforeLines="0" w:line="240" w:lineRule="auto"/>
        <w:jc w:val="right"/>
        <w:rPr>
          <w:rFonts w:hint="eastAsia" w:asciiTheme="minorEastAsia" w:hAnsiTheme="minorEastAsia" w:eastAsiaTheme="minorEastAsia" w:cstheme="minorEastAsia"/>
          <w:b/>
          <w:bCs/>
          <w:sz w:val="24"/>
          <w:szCs w:val="24"/>
          <w:vertAlign w:val="baseline"/>
        </w:rPr>
      </w:pPr>
      <w:r>
        <w:rPr>
          <w:rFonts w:hint="eastAsia" w:asciiTheme="minorEastAsia" w:hAnsiTheme="minorEastAsia" w:eastAsiaTheme="minorEastAsia" w:cstheme="minorEastAsia"/>
          <w:b/>
          <w:bCs/>
          <w:sz w:val="24"/>
          <w:szCs w:val="24"/>
        </w:rPr>
        <w:t>表1-1 雷州市土地利用面积统计表             单位：km</w:t>
      </w:r>
      <w:r>
        <w:rPr>
          <w:rFonts w:hint="eastAsia" w:asciiTheme="minorEastAsia" w:hAnsiTheme="minorEastAsia" w:eastAsiaTheme="minorEastAsia" w:cstheme="minorEastAsia"/>
          <w:b/>
          <w:bCs/>
          <w:sz w:val="24"/>
          <w:szCs w:val="24"/>
          <w:vertAlign w:val="superscript"/>
        </w:rPr>
        <w:t>2</w:t>
      </w:r>
    </w:p>
    <w:tbl>
      <w:tblPr>
        <w:tblStyle w:val="2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4"/>
        <w:gridCol w:w="3216"/>
      </w:tblGrid>
      <w:tr w14:paraId="3EF9D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039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土地利用类型</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46B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面积</w:t>
            </w:r>
          </w:p>
        </w:tc>
      </w:tr>
      <w:tr w14:paraId="667A3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BA7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建设用地汇总</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AAC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317.75</w:t>
            </w:r>
          </w:p>
        </w:tc>
      </w:tr>
      <w:tr w14:paraId="099D6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E81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草地</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4F1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54.49</w:t>
            </w:r>
          </w:p>
        </w:tc>
      </w:tr>
      <w:tr w14:paraId="4CB5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89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耕地</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5BA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1322.42</w:t>
            </w:r>
          </w:p>
        </w:tc>
      </w:tr>
      <w:tr w14:paraId="1513E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A90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果园</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C1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278.85</w:t>
            </w:r>
          </w:p>
        </w:tc>
      </w:tr>
      <w:tr w14:paraId="14ADD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89B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林地</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42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1094.16</w:t>
            </w:r>
          </w:p>
        </w:tc>
      </w:tr>
      <w:tr w14:paraId="41ADE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66B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其他农用地</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B9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272.07</w:t>
            </w:r>
          </w:p>
        </w:tc>
      </w:tr>
      <w:tr w14:paraId="7F36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4F3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养殖坑塘</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B2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110.39</w:t>
            </w:r>
          </w:p>
        </w:tc>
      </w:tr>
      <w:tr w14:paraId="45411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7E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未利用地汇总</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935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237.96</w:t>
            </w:r>
          </w:p>
        </w:tc>
      </w:tr>
      <w:tr w14:paraId="0F271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3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A45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合计</w:t>
            </w:r>
          </w:p>
        </w:tc>
        <w:tc>
          <w:tcPr>
            <w:tcW w:w="1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E1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3688.08</w:t>
            </w:r>
          </w:p>
        </w:tc>
      </w:tr>
    </w:tbl>
    <w:p w14:paraId="21C76FE3">
      <w:pPr>
        <w:pStyle w:val="48"/>
        <w:wordWrap/>
        <w:spacing w:before="0" w:beforeLines="0" w:line="240" w:lineRule="auto"/>
        <w:jc w:val="right"/>
        <w:rPr>
          <w:rFonts w:hint="default" w:ascii="Times New Roman" w:hAnsi="Times New Roman" w:cs="Times New Roman"/>
          <w:vertAlign w:val="baseline"/>
        </w:rPr>
      </w:pPr>
    </w:p>
    <w:p w14:paraId="702C75CA">
      <w:pPr>
        <w:pStyle w:val="8"/>
        <w:ind w:firstLine="0"/>
        <w:rPr>
          <w:rFonts w:hint="default" w:ascii="Times New Roman" w:hAnsi="Times New Roman" w:cs="Times New Roman"/>
          <w:sz w:val="24"/>
          <w:lang w:eastAsia="zh-CN"/>
        </w:rPr>
      </w:pPr>
      <w:r>
        <w:rPr>
          <w:rFonts w:hint="default" w:ascii="Times New Roman" w:hAnsi="Times New Roman" w:cs="Times New Roman"/>
          <w:sz w:val="24"/>
          <w:lang w:eastAsia="zh-CN"/>
        </w:rPr>
        <w:drawing>
          <wp:inline distT="0" distB="0" distL="114300" distR="114300">
            <wp:extent cx="5177155" cy="6623685"/>
            <wp:effectExtent l="0" t="0" r="4445" b="5715"/>
            <wp:docPr id="54" name="图片 54" descr="雷州市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雷州市地形地貌图"/>
                    <pic:cNvPicPr>
                      <a:picLocks noChangeAspect="1"/>
                    </pic:cNvPicPr>
                  </pic:nvPicPr>
                  <pic:blipFill>
                    <a:blip r:embed="rId28"/>
                    <a:stretch>
                      <a:fillRect/>
                    </a:stretch>
                  </pic:blipFill>
                  <pic:spPr>
                    <a:xfrm>
                      <a:off x="0" y="0"/>
                      <a:ext cx="5177573" cy="6624000"/>
                    </a:xfrm>
                    <a:prstGeom prst="rect">
                      <a:avLst/>
                    </a:prstGeom>
                  </pic:spPr>
                </pic:pic>
              </a:graphicData>
            </a:graphic>
          </wp:inline>
        </w:drawing>
      </w:r>
    </w:p>
    <w:p w14:paraId="6546CF0E">
      <w:pPr>
        <w:pStyle w:val="51"/>
        <w:rPr>
          <w:rFonts w:hint="default" w:ascii="Times New Roman" w:hAnsi="Times New Roman" w:cs="Times New Roman"/>
          <w:bCs w:val="0"/>
        </w:rPr>
      </w:pPr>
      <w:r>
        <w:rPr>
          <w:rFonts w:hint="default" w:ascii="Times New Roman" w:hAnsi="Times New Roman" w:cs="Times New Roman" w:eastAsiaTheme="minorEastAsia"/>
          <w:b/>
          <w:sz w:val="24"/>
          <w:szCs w:val="24"/>
        </w:rPr>
        <w:t>`图1-4 雷州市地形地貌图</w:t>
      </w:r>
      <w:r>
        <w:rPr>
          <w:rFonts w:hint="default" w:ascii="Times New Roman" w:hAnsi="Times New Roman" w:cs="Times New Roman"/>
        </w:rPr>
        <w:br w:type="page"/>
      </w:r>
    </w:p>
    <w:p w14:paraId="6B7544AA">
      <w:pPr>
        <w:pStyle w:val="51"/>
        <w:rPr>
          <w:rFonts w:hint="default" w:ascii="Times New Roman" w:hAnsi="Times New Roman" w:cs="Times New Roman"/>
          <w:szCs w:val="22"/>
        </w:rPr>
      </w:pPr>
      <w:r>
        <w:rPr>
          <w:rFonts w:hint="default" w:ascii="Times New Roman" w:hAnsi="Times New Roman" w:cs="Times New Roman"/>
          <w:szCs w:val="22"/>
        </w:rPr>
        <w:drawing>
          <wp:inline distT="0" distB="0" distL="114300" distR="114300">
            <wp:extent cx="5271135" cy="6743700"/>
            <wp:effectExtent l="0" t="0" r="5715" b="0"/>
            <wp:docPr id="23" name="图片 227" descr="雷州市土地利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7" descr="雷州市土地利用图"/>
                    <pic:cNvPicPr>
                      <a:picLocks noChangeAspect="1"/>
                    </pic:cNvPicPr>
                  </pic:nvPicPr>
                  <pic:blipFill>
                    <a:blip r:embed="rId29"/>
                    <a:stretch>
                      <a:fillRect/>
                    </a:stretch>
                  </pic:blipFill>
                  <pic:spPr>
                    <a:xfrm>
                      <a:off x="0" y="0"/>
                      <a:ext cx="5271135" cy="6743700"/>
                    </a:xfrm>
                    <a:prstGeom prst="rect">
                      <a:avLst/>
                    </a:prstGeom>
                    <a:noFill/>
                    <a:ln>
                      <a:noFill/>
                    </a:ln>
                  </pic:spPr>
                </pic:pic>
              </a:graphicData>
            </a:graphic>
          </wp:inline>
        </w:drawing>
      </w:r>
    </w:p>
    <w:p w14:paraId="6379764D">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图1-5雷州市土地利用图</w:t>
      </w:r>
    </w:p>
    <w:p w14:paraId="3B091C20">
      <w:pPr>
        <w:pStyle w:val="7"/>
        <w:snapToGrid w:val="0"/>
        <w:spacing w:before="190" w:beforeLines="50" w:beforeAutospacing="0" w:after="0" w:afterAutospacing="0"/>
        <w:ind w:left="0"/>
        <w:rPr>
          <w:rFonts w:hint="default" w:ascii="Times New Roman" w:hAnsi="Times New Roman" w:cs="Times New Roman"/>
          <w:lang w:eastAsia="zh-CN"/>
        </w:rPr>
      </w:pPr>
      <w:bookmarkStart w:id="33" w:name="_Toc10168"/>
      <w:bookmarkStart w:id="34" w:name="_Toc76"/>
      <w:r>
        <w:rPr>
          <w:rFonts w:hint="default" w:ascii="Times New Roman" w:hAnsi="Times New Roman" w:cs="Times New Roman"/>
          <w:lang w:eastAsia="zh-CN"/>
        </w:rPr>
        <w:t>社会经济</w:t>
      </w:r>
      <w:bookmarkEnd w:id="33"/>
      <w:bookmarkEnd w:id="34"/>
    </w:p>
    <w:p w14:paraId="703E04A4">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2023年末，</w:t>
      </w:r>
      <w:r>
        <w:rPr>
          <w:rFonts w:hint="default" w:ascii="Times New Roman" w:hAnsi="Times New Roman" w:cs="Times New Roman"/>
          <w:sz w:val="24"/>
          <w:lang w:val="en-US" w:eastAsia="zh-CN"/>
        </w:rPr>
        <w:t>雷州</w:t>
      </w:r>
      <w:r>
        <w:rPr>
          <w:rFonts w:hint="default" w:ascii="Times New Roman" w:hAnsi="Times New Roman" w:cs="Times New Roman"/>
          <w:sz w:val="24"/>
          <w:lang w:eastAsia="zh-CN"/>
        </w:rPr>
        <w:t>全市常住人口132.59万人，比上年末增加0.11万人，其中城镇常住人口44.98万人，占常住人口比重（常住人口城镇化率）33.92%，比上年末提高 0.87个百分点。</w:t>
      </w:r>
    </w:p>
    <w:p w14:paraId="330B1C99">
      <w:pPr>
        <w:pStyle w:val="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hd w:val="clear" w:color="auto" w:fill="FFFFFF"/>
        </w:rPr>
      </w:pPr>
      <w:bookmarkStart w:id="35" w:name="_Toc110"/>
      <w:r>
        <w:rPr>
          <w:rFonts w:hint="default" w:ascii="Times New Roman" w:hAnsi="Times New Roman" w:cs="Times New Roman"/>
          <w:sz w:val="24"/>
          <w:shd w:val="clear" w:color="auto" w:fill="FFFFFF"/>
          <w:lang w:val="en-US" w:eastAsia="zh-CN"/>
        </w:rPr>
        <w:t>2023年</w:t>
      </w:r>
      <w:r>
        <w:rPr>
          <w:rFonts w:hint="default" w:ascii="Times New Roman" w:hAnsi="Times New Roman" w:cs="Times New Roman"/>
          <w:sz w:val="24"/>
          <w:shd w:val="clear" w:color="auto" w:fill="FFFFFF"/>
        </w:rPr>
        <w:t>全市完成地区生产总值 386.42 亿元、增长 3.6%，增速居湛江市第三；规模以上工业增加值 15.75 亿元、增长 5.4%，增速居湛江市第二；固定资产投资 97.45 亿元、增长 5.1%，增速居湛江市第三；社会消费品零售总额 194.58 亿元、增长 7.2%，增速居湛江市第六；地方一般公共预算收入 11.69 亿元、增长 32.6%，增速居湛江市第一。高中阶段毛入学率 98.02%，城镇新增就业人数 5263 人，城镇职工基本养老保险参保人数 5.52 万人。</w:t>
      </w:r>
    </w:p>
    <w:p w14:paraId="12EA3353">
      <w:pPr>
        <w:pStyle w:val="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lang w:val="en-US" w:eastAsia="zh-CN"/>
        </w:rPr>
        <w:t>2023年</w:t>
      </w:r>
      <w:r>
        <w:rPr>
          <w:rFonts w:hint="default" w:ascii="Times New Roman" w:hAnsi="Times New Roman" w:cs="Times New Roman"/>
          <w:sz w:val="24"/>
          <w:shd w:val="clear" w:color="auto" w:fill="FFFFFF"/>
        </w:rPr>
        <w:t>全市完成规上工业总产值93.55亿元、增长8.9%；制造业投资14.27亿元、增长85.3%。全市农林牧渔业总产值251.57亿元、增长 4.0%。农作物总产量673.45万吨、增长3.4%，生猪出栏量104万头、增长 16.6%，新增高标准农田2.55万亩。全市完成第三产业增加值176.89亿元、增长2.8%。金融业稳步发展，各项存款余额428.27亿元、增长7.1%</w:t>
      </w:r>
      <w:r>
        <w:rPr>
          <w:rFonts w:hint="default" w:ascii="Times New Roman" w:hAnsi="Times New Roman" w:cs="Times New Roman"/>
          <w:sz w:val="24"/>
          <w:shd w:val="clear" w:color="auto" w:fill="FFFFFF"/>
          <w:lang w:eastAsia="zh-CN"/>
        </w:rPr>
        <w:t>；</w:t>
      </w:r>
      <w:r>
        <w:rPr>
          <w:rFonts w:hint="default" w:ascii="Times New Roman" w:hAnsi="Times New Roman" w:cs="Times New Roman"/>
          <w:sz w:val="24"/>
          <w:shd w:val="clear" w:color="auto" w:fill="FFFFFF"/>
        </w:rPr>
        <w:t>各项贷款余额260.25亿元、增长8.7%。</w:t>
      </w:r>
    </w:p>
    <w:p w14:paraId="6CE68254">
      <w:pPr>
        <w:pStyle w:val="7"/>
        <w:snapToGrid w:val="0"/>
        <w:spacing w:before="190" w:beforeLines="50" w:beforeAutospacing="0" w:after="0" w:afterAutospacing="0"/>
        <w:ind w:left="0"/>
        <w:rPr>
          <w:rFonts w:hint="default" w:ascii="Times New Roman" w:hAnsi="Times New Roman" w:cs="Times New Roman"/>
          <w:lang w:eastAsia="zh-CN"/>
        </w:rPr>
      </w:pPr>
      <w:bookmarkStart w:id="36" w:name="_Toc17071"/>
      <w:r>
        <w:rPr>
          <w:rFonts w:hint="default" w:ascii="Times New Roman" w:hAnsi="Times New Roman" w:cs="Times New Roman"/>
          <w:lang w:eastAsia="zh-CN"/>
        </w:rPr>
        <w:t>历次水土流失调查情况</w:t>
      </w:r>
      <w:bookmarkEnd w:id="35"/>
      <w:bookmarkEnd w:id="36"/>
    </w:p>
    <w:p w14:paraId="6B74643F">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近年来，随着雷州市的经济发展和城市化进程的加快，人为因素造成的水土流失现象越来越普遍。根据2011年第一次水利普查，雷州市水土流失面积为210.08km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，占土地总面积的6.94%。其中，轻度侵蚀面积为91.29km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，占侵蚀总面积的43.45%；中度侵蚀面积为79.49km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，占37.84%；强烈侵蚀面积为32.12km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，占15.29%；极强烈侵蚀面积为5.77km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，占2.75%；剧烈侵蚀面积为1.41km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，占0.67%。</w:t>
      </w:r>
    </w:p>
    <w:p w14:paraId="089E801D">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根据2013年广东省水利厅发布的全省第四次水土流失遥感普查成果，雷州市水土流失面积为13.58km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，占土地总面积的0.45%。其中，自然侵蚀面积为2.02km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，人为侵蚀面积11.56km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w:t>
      </w:r>
    </w:p>
    <w:p w14:paraId="70CFACC9">
      <w:pPr>
        <w:keepNext w:val="0"/>
        <w:keepLines w:val="0"/>
        <w:pageBreakBefore w:val="0"/>
        <w:widowControl/>
        <w:kinsoku/>
        <w:wordWrap/>
        <w:overflowPunct/>
        <w:topLinePunct w:val="0"/>
        <w:autoSpaceDE/>
        <w:autoSpaceDN/>
        <w:bidi w:val="0"/>
        <w:adjustRightInd/>
        <w:snapToGrid w:val="0"/>
        <w:ind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根据2018年广东省水利厅发布的全省第五次水土流失遥感普查成果，雷州市水土流失面积为26.94km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，占土地总面积的0.89%。其中，轻度侵蚀面积为26.25km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，占侵蚀总面积的97.44%；中度侵蚀面积为0.51km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，占1.89%；强烈侵蚀面积为0.15km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，占0.56%；极强烈侵蚀面积为0.02km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，占0.07%；剧烈侵蚀面积为0.01km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，占0.04%。</w:t>
      </w:r>
    </w:p>
    <w:p w14:paraId="4AA975B9">
      <w:pPr>
        <w:keepNext w:val="0"/>
        <w:keepLines w:val="0"/>
        <w:pageBreakBefore w:val="0"/>
        <w:widowControl/>
        <w:kinsoku/>
        <w:wordWrap/>
        <w:overflowPunct/>
        <w:topLinePunct w:val="0"/>
        <w:autoSpaceDE/>
        <w:autoSpaceDN/>
        <w:bidi w:val="0"/>
        <w:adjustRightInd/>
        <w:snapToGrid w:val="0"/>
        <w:ind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根据20</w:t>
      </w:r>
      <w:r>
        <w:rPr>
          <w:rFonts w:hint="default" w:ascii="Times New Roman" w:hAnsi="Times New Roman" w:cs="Times New Roman"/>
          <w:lang w:val="en-US" w:eastAsia="zh-CN"/>
        </w:rPr>
        <w:t>22</w:t>
      </w:r>
      <w:r>
        <w:rPr>
          <w:rFonts w:hint="default" w:ascii="Times New Roman" w:hAnsi="Times New Roman" w:cs="Times New Roman"/>
          <w:lang w:eastAsia="zh-CN"/>
        </w:rPr>
        <w:t>年广东省水利厅发布雷州市水土流失面积为</w:t>
      </w:r>
      <w:r>
        <w:rPr>
          <w:rFonts w:hint="default" w:ascii="Times New Roman" w:hAnsi="Times New Roman" w:cs="Times New Roman"/>
          <w:lang w:val="en-US" w:eastAsia="zh-CN"/>
        </w:rPr>
        <w:t>36.12</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，占土地总面积的</w:t>
      </w:r>
      <w:r>
        <w:rPr>
          <w:rFonts w:hint="default" w:ascii="Times New Roman" w:hAnsi="Times New Roman" w:cs="Times New Roman"/>
          <w:lang w:val="en-US" w:eastAsia="zh-CN"/>
        </w:rPr>
        <w:t>1.06</w:t>
      </w:r>
      <w:r>
        <w:rPr>
          <w:rFonts w:hint="default" w:ascii="Times New Roman" w:hAnsi="Times New Roman" w:cs="Times New Roman"/>
          <w:lang w:eastAsia="zh-CN"/>
        </w:rPr>
        <w:t>%。其中，轻度侵蚀面积为</w:t>
      </w:r>
      <w:r>
        <w:rPr>
          <w:rFonts w:hint="default" w:ascii="Times New Roman" w:hAnsi="Times New Roman" w:cs="Times New Roman"/>
          <w:lang w:val="en-US" w:eastAsia="zh-CN"/>
        </w:rPr>
        <w:t>26.08</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，占侵蚀总面积的</w:t>
      </w:r>
      <w:r>
        <w:rPr>
          <w:rFonts w:hint="default" w:ascii="Times New Roman" w:hAnsi="Times New Roman" w:cs="Times New Roman"/>
          <w:lang w:val="en-US" w:eastAsia="zh-CN"/>
        </w:rPr>
        <w:t>81.19</w:t>
      </w:r>
      <w:r>
        <w:rPr>
          <w:rFonts w:hint="default" w:ascii="Times New Roman" w:hAnsi="Times New Roman" w:cs="Times New Roman"/>
          <w:lang w:eastAsia="zh-CN"/>
        </w:rPr>
        <w:t>%；中度侵蚀面积为</w:t>
      </w:r>
      <w:r>
        <w:rPr>
          <w:rFonts w:hint="default" w:ascii="Times New Roman" w:hAnsi="Times New Roman" w:cs="Times New Roman"/>
          <w:lang w:val="en-US" w:eastAsia="zh-CN"/>
        </w:rPr>
        <w:t>4.20</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w:t>
      </w:r>
      <w:r>
        <w:rPr>
          <w:rFonts w:hint="default" w:ascii="Times New Roman" w:hAnsi="Times New Roman" w:cs="Times New Roman"/>
          <w:lang w:val="en-US" w:eastAsia="zh-CN"/>
        </w:rPr>
        <w:t>13.08</w:t>
      </w:r>
      <w:r>
        <w:rPr>
          <w:rFonts w:hint="default" w:ascii="Times New Roman" w:hAnsi="Times New Roman" w:cs="Times New Roman"/>
          <w:lang w:eastAsia="zh-CN"/>
        </w:rPr>
        <w:t>%；强烈侵蚀面积为0.</w:t>
      </w:r>
      <w:r>
        <w:rPr>
          <w:rFonts w:hint="default" w:ascii="Times New Roman" w:hAnsi="Times New Roman" w:cs="Times New Roman"/>
          <w:lang w:val="en-US" w:eastAsia="zh-CN"/>
        </w:rPr>
        <w:t>89</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w:t>
      </w:r>
      <w:r>
        <w:rPr>
          <w:rFonts w:hint="default" w:ascii="Times New Roman" w:hAnsi="Times New Roman" w:cs="Times New Roman"/>
          <w:lang w:val="en-US" w:eastAsia="zh-CN"/>
        </w:rPr>
        <w:t>2.77</w:t>
      </w:r>
      <w:r>
        <w:rPr>
          <w:rFonts w:hint="default" w:ascii="Times New Roman" w:hAnsi="Times New Roman" w:cs="Times New Roman"/>
          <w:lang w:eastAsia="zh-CN"/>
        </w:rPr>
        <w:t>%；极强烈侵蚀面积为0.0</w:t>
      </w:r>
      <w:r>
        <w:rPr>
          <w:rFonts w:hint="default" w:ascii="Times New Roman" w:hAnsi="Times New Roman" w:cs="Times New Roman"/>
          <w:lang w:val="en-US" w:eastAsia="zh-CN"/>
        </w:rPr>
        <w:t>68</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w:t>
      </w:r>
      <w:r>
        <w:rPr>
          <w:rFonts w:hint="default" w:ascii="Times New Roman" w:hAnsi="Times New Roman" w:cs="Times New Roman"/>
          <w:lang w:val="en-US" w:eastAsia="zh-CN"/>
        </w:rPr>
        <w:t>2.12</w:t>
      </w:r>
      <w:r>
        <w:rPr>
          <w:rFonts w:hint="default" w:ascii="Times New Roman" w:hAnsi="Times New Roman" w:cs="Times New Roman"/>
          <w:lang w:eastAsia="zh-CN"/>
        </w:rPr>
        <w:t>%，剧烈侵蚀面积为0.</w:t>
      </w:r>
      <w:r>
        <w:rPr>
          <w:rFonts w:hint="default" w:ascii="Times New Roman" w:hAnsi="Times New Roman" w:cs="Times New Roman"/>
          <w:lang w:val="en-US" w:eastAsia="zh-CN"/>
        </w:rPr>
        <w:t>27</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w:t>
      </w:r>
      <w:r>
        <w:rPr>
          <w:rFonts w:hint="default" w:ascii="Times New Roman" w:hAnsi="Times New Roman" w:cs="Times New Roman"/>
          <w:lang w:val="en-US" w:eastAsia="zh-CN"/>
        </w:rPr>
        <w:t>84</w:t>
      </w:r>
      <w:r>
        <w:rPr>
          <w:rFonts w:hint="default" w:ascii="Times New Roman" w:hAnsi="Times New Roman" w:cs="Times New Roman"/>
          <w:lang w:eastAsia="zh-CN"/>
        </w:rPr>
        <w:t>%。</w:t>
      </w:r>
    </w:p>
    <w:p w14:paraId="2D0AF22E">
      <w:pPr>
        <w:snapToGrid w:val="0"/>
        <w:ind w:firstLine="480"/>
        <w:rPr>
          <w:rFonts w:hint="default" w:ascii="Times New Roman" w:hAnsi="Times New Roman" w:cs="Times New Roman"/>
          <w:lang w:val="en-US" w:eastAsia="zh-CN"/>
        </w:rPr>
      </w:pPr>
      <w:r>
        <w:rPr>
          <w:rFonts w:hint="default" w:ascii="Times New Roman" w:hAnsi="Times New Roman" w:cs="Times New Roman"/>
          <w:lang w:eastAsia="zh-CN"/>
        </w:rPr>
        <w:t>根据20</w:t>
      </w:r>
      <w:r>
        <w:rPr>
          <w:rFonts w:hint="default" w:ascii="Times New Roman" w:hAnsi="Times New Roman" w:cs="Times New Roman"/>
          <w:lang w:val="en-US" w:eastAsia="zh-CN"/>
        </w:rPr>
        <w:t>23</w:t>
      </w:r>
      <w:r>
        <w:rPr>
          <w:rFonts w:hint="default" w:ascii="Times New Roman" w:hAnsi="Times New Roman" w:cs="Times New Roman"/>
          <w:lang w:eastAsia="zh-CN"/>
        </w:rPr>
        <w:t>年广东省水利厅发布雷州市水土流失面积为</w:t>
      </w:r>
      <w:r>
        <w:rPr>
          <w:rFonts w:hint="default" w:ascii="Times New Roman" w:hAnsi="Times New Roman" w:cs="Times New Roman"/>
          <w:lang w:val="en-US" w:eastAsia="zh-CN"/>
        </w:rPr>
        <w:t>96.11</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，占土地总面积的</w:t>
      </w:r>
      <w:r>
        <w:rPr>
          <w:rFonts w:hint="default" w:ascii="Times New Roman" w:hAnsi="Times New Roman" w:cs="Times New Roman"/>
          <w:lang w:val="en-US" w:eastAsia="zh-CN"/>
        </w:rPr>
        <w:t>3.18</w:t>
      </w:r>
      <w:r>
        <w:rPr>
          <w:rFonts w:hint="default" w:ascii="Times New Roman" w:hAnsi="Times New Roman" w:cs="Times New Roman"/>
          <w:lang w:eastAsia="zh-CN"/>
        </w:rPr>
        <w:t>%。其中，轻度侵蚀面积为</w:t>
      </w:r>
      <w:r>
        <w:rPr>
          <w:rFonts w:hint="default" w:ascii="Times New Roman" w:hAnsi="Times New Roman" w:cs="Times New Roman"/>
          <w:lang w:val="en-US" w:eastAsia="zh-CN"/>
        </w:rPr>
        <w:t>91.29</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，占侵蚀总面积的9</w:t>
      </w:r>
      <w:r>
        <w:rPr>
          <w:rFonts w:hint="default" w:ascii="Times New Roman" w:hAnsi="Times New Roman" w:cs="Times New Roman"/>
          <w:lang w:val="en-US" w:eastAsia="zh-CN"/>
        </w:rPr>
        <w:t>4.98</w:t>
      </w:r>
      <w:r>
        <w:rPr>
          <w:rFonts w:hint="default" w:ascii="Times New Roman" w:hAnsi="Times New Roman" w:cs="Times New Roman"/>
          <w:lang w:eastAsia="zh-CN"/>
        </w:rPr>
        <w:t>%；中度侵蚀面积为</w:t>
      </w:r>
      <w:r>
        <w:rPr>
          <w:rFonts w:hint="default" w:ascii="Times New Roman" w:hAnsi="Times New Roman" w:cs="Times New Roman"/>
          <w:lang w:val="en-US" w:eastAsia="zh-CN"/>
        </w:rPr>
        <w:t>4.6</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w:t>
      </w:r>
      <w:r>
        <w:rPr>
          <w:rFonts w:hint="default" w:ascii="Times New Roman" w:hAnsi="Times New Roman" w:cs="Times New Roman"/>
          <w:lang w:val="en-US" w:eastAsia="zh-CN"/>
        </w:rPr>
        <w:t>4.79</w:t>
      </w:r>
      <w:r>
        <w:rPr>
          <w:rFonts w:hint="default" w:ascii="Times New Roman" w:hAnsi="Times New Roman" w:cs="Times New Roman"/>
          <w:lang w:eastAsia="zh-CN"/>
        </w:rPr>
        <w:t>%；强烈侵蚀面积为0.1</w:t>
      </w:r>
      <w:r>
        <w:rPr>
          <w:rFonts w:hint="default" w:ascii="Times New Roman" w:hAnsi="Times New Roman" w:cs="Times New Roman"/>
          <w:lang w:val="en-US" w:eastAsia="zh-CN"/>
        </w:rPr>
        <w:t>9</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w:t>
      </w:r>
      <w:r>
        <w:rPr>
          <w:rFonts w:hint="default" w:ascii="Times New Roman" w:hAnsi="Times New Roman" w:cs="Times New Roman"/>
          <w:lang w:val="en-US" w:eastAsia="zh-CN"/>
        </w:rPr>
        <w:t>2</w:t>
      </w:r>
      <w:r>
        <w:rPr>
          <w:rFonts w:hint="default" w:ascii="Times New Roman" w:hAnsi="Times New Roman" w:cs="Times New Roman"/>
          <w:lang w:eastAsia="zh-CN"/>
        </w:rPr>
        <w:t>%；极强烈侵蚀面积为0.0</w:t>
      </w:r>
      <w:r>
        <w:rPr>
          <w:rFonts w:hint="default" w:ascii="Times New Roman" w:hAnsi="Times New Roman" w:cs="Times New Roman"/>
          <w:lang w:val="en-US" w:eastAsia="zh-CN"/>
        </w:rPr>
        <w:t>3</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，占0.0</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eastAsia" w:cs="Times New Roman"/>
          <w:lang w:eastAsia="zh-CN"/>
        </w:rPr>
        <w:t>，</w:t>
      </w:r>
      <w:r>
        <w:rPr>
          <w:rFonts w:hint="eastAsia" w:cs="Times New Roman"/>
          <w:lang w:val="en-US" w:eastAsia="zh-CN"/>
        </w:rPr>
        <w:t>剧烈侵蚀面积为0。</w:t>
      </w:r>
    </w:p>
    <w:p w14:paraId="0DF06AD4">
      <w:pPr>
        <w:rPr>
          <w:rFonts w:hint="default" w:ascii="Times New Roman" w:hAnsi="Times New Roman" w:cs="Times New Roman"/>
          <w:lang w:eastAsia="zh-CN"/>
        </w:rPr>
      </w:pPr>
      <w:r>
        <w:rPr>
          <w:rFonts w:hint="default" w:ascii="Times New Roman" w:hAnsi="Times New Roman" w:cs="Times New Roman"/>
          <w:lang w:eastAsia="zh-CN"/>
        </w:rPr>
        <w:br w:type="page"/>
      </w:r>
    </w:p>
    <w:p w14:paraId="5ACCED65">
      <w:pPr>
        <w:pStyle w:val="6"/>
        <w:numPr>
          <w:ilvl w:val="0"/>
          <w:numId w:val="0"/>
        </w:numPr>
        <w:snapToGrid w:val="0"/>
        <w:spacing w:before="190" w:beforeLines="50" w:after="190" w:afterLines="50"/>
        <w:rPr>
          <w:rFonts w:hint="default" w:ascii="Times New Roman" w:hAnsi="Times New Roman" w:cs="Times New Roman"/>
          <w:sz w:val="30"/>
          <w:szCs w:val="30"/>
          <w:lang w:val="en-US" w:eastAsia="zh-CN"/>
        </w:rPr>
      </w:pPr>
      <w:bookmarkStart w:id="37" w:name="_Toc4206"/>
      <w:bookmarkStart w:id="38" w:name="_Toc2125"/>
      <w:bookmarkStart w:id="39" w:name="_Toc16821"/>
      <w:bookmarkStart w:id="40" w:name="_Toc531720959"/>
      <w:bookmarkStart w:id="41" w:name="_Toc29638"/>
      <w:bookmarkStart w:id="42" w:name="_Toc25082_WPSOffice_Level2"/>
      <w:bookmarkStart w:id="43" w:name="_Toc31603_WPSOffice_Level2"/>
      <w:bookmarkStart w:id="44" w:name="_Toc3609"/>
      <w:bookmarkStart w:id="45" w:name="_Toc16662"/>
      <w:bookmarkStart w:id="46" w:name="_Toc26435_WPSOffice_Level3"/>
      <w:r>
        <w:rPr>
          <w:rFonts w:hint="default" w:ascii="Times New Roman" w:hAnsi="Times New Roman" w:cs="Times New Roman"/>
          <w:sz w:val="30"/>
          <w:szCs w:val="30"/>
          <w:lang w:val="en-US" w:eastAsia="zh-CN"/>
        </w:rPr>
        <w:t>2</w:t>
      </w:r>
      <w:r>
        <w:rPr>
          <w:rFonts w:hint="default" w:ascii="Times New Roman" w:hAnsi="Times New Roman" w:cs="Times New Roman"/>
          <w:sz w:val="30"/>
          <w:szCs w:val="30"/>
          <w:lang w:eastAsia="zh-CN"/>
        </w:rPr>
        <w:t xml:space="preserve"> </w:t>
      </w:r>
      <w:bookmarkEnd w:id="37"/>
      <w:r>
        <w:rPr>
          <w:rFonts w:hint="default" w:ascii="Times New Roman" w:hAnsi="Times New Roman" w:cs="Times New Roman"/>
          <w:sz w:val="30"/>
          <w:szCs w:val="30"/>
          <w:lang w:val="en-US" w:eastAsia="zh-CN"/>
        </w:rPr>
        <w:t>水土流失动态监测结果</w:t>
      </w:r>
      <w:bookmarkEnd w:id="38"/>
    </w:p>
    <w:p w14:paraId="2C1E3212">
      <w:pPr>
        <w:pStyle w:val="8"/>
        <w:snapToGrid w:val="0"/>
        <w:rPr>
          <w:rFonts w:hint="default" w:ascii="Times New Roman" w:hAnsi="Times New Roman" w:cs="Times New Roman"/>
          <w:sz w:val="24"/>
          <w:szCs w:val="22"/>
          <w:lang w:val="en-US" w:eastAsia="zh-CN" w:bidi="ar-SA"/>
        </w:rPr>
      </w:pPr>
      <w:r>
        <w:rPr>
          <w:rFonts w:hint="default" w:ascii="Times New Roman" w:hAnsi="Times New Roman" w:cs="Times New Roman"/>
          <w:sz w:val="24"/>
          <w:szCs w:val="22"/>
          <w:lang w:val="en-US" w:eastAsia="zh-CN" w:bidi="ar-SA"/>
        </w:rPr>
        <w:t>本次水土</w:t>
      </w:r>
      <w:r>
        <w:rPr>
          <w:rFonts w:hint="eastAsia" w:cs="Times New Roman"/>
          <w:sz w:val="24"/>
          <w:szCs w:val="22"/>
          <w:lang w:val="en-US" w:eastAsia="zh-CN" w:bidi="ar-SA"/>
        </w:rPr>
        <w:t>流失</w:t>
      </w:r>
      <w:r>
        <w:rPr>
          <w:rFonts w:hint="default" w:ascii="Times New Roman" w:hAnsi="Times New Roman" w:cs="Times New Roman"/>
          <w:sz w:val="24"/>
          <w:szCs w:val="22"/>
          <w:lang w:val="en-US" w:eastAsia="zh-CN" w:bidi="ar-SA"/>
        </w:rPr>
        <w:t>数据</w:t>
      </w:r>
      <w:r>
        <w:rPr>
          <w:rFonts w:hint="eastAsia" w:cs="Times New Roman"/>
          <w:sz w:val="24"/>
          <w:szCs w:val="22"/>
          <w:lang w:val="en-US" w:eastAsia="zh-CN" w:bidi="ar-SA"/>
        </w:rPr>
        <w:t>依据</w:t>
      </w:r>
      <w:r>
        <w:rPr>
          <w:rFonts w:hint="default" w:ascii="Times New Roman" w:hAnsi="Times New Roman" w:cs="Times New Roman"/>
          <w:sz w:val="24"/>
          <w:szCs w:val="22"/>
          <w:lang w:val="en-US" w:eastAsia="zh-CN" w:bidi="ar-SA"/>
        </w:rPr>
        <w:t>2024年4月11日广东省水利厅发文</w:t>
      </w:r>
      <w:r>
        <w:rPr>
          <w:rFonts w:hint="default" w:ascii="Times New Roman" w:hAnsi="Times New Roman" w:eastAsia="宋体" w:cs="Times New Roman"/>
          <w:sz w:val="24"/>
          <w:szCs w:val="22"/>
          <w:lang w:val="en-US" w:eastAsia="zh-CN" w:bidi="ar-SA"/>
        </w:rPr>
        <w:t>《广东省水利厅关于下发 2023 年度全省水土流失动态监测成果数据的通知》</w:t>
      </w:r>
      <w:r>
        <w:rPr>
          <w:rFonts w:hint="default" w:ascii="Times New Roman" w:hAnsi="Times New Roman" w:cs="Times New Roman"/>
          <w:sz w:val="24"/>
          <w:szCs w:val="22"/>
          <w:lang w:val="en-US" w:eastAsia="zh-CN" w:bidi="ar-SA"/>
        </w:rPr>
        <w:t>和《2023年度广东省水土流失动态监测成果报告》，取得2023年雷州市水土流失动态监测数据和土壤侵蚀图。雷州市土壤侵蚀图见图2-1。</w:t>
      </w:r>
    </w:p>
    <w:bookmarkEnd w:id="39"/>
    <w:bookmarkEnd w:id="40"/>
    <w:bookmarkEnd w:id="41"/>
    <w:bookmarkEnd w:id="42"/>
    <w:bookmarkEnd w:id="43"/>
    <w:bookmarkEnd w:id="44"/>
    <w:bookmarkEnd w:id="45"/>
    <w:p w14:paraId="53603748">
      <w:pPr>
        <w:snapToGrid w:val="0"/>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4761230" cy="6732270"/>
            <wp:effectExtent l="0" t="0" r="1270" b="11430"/>
            <wp:docPr id="1" name="图片 1" descr="440882_雷州市_123Trqs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0882_雷州市_123TrqsTheme"/>
                    <pic:cNvPicPr>
                      <a:picLocks noChangeAspect="1"/>
                    </pic:cNvPicPr>
                  </pic:nvPicPr>
                  <pic:blipFill>
                    <a:blip r:embed="rId30"/>
                    <a:stretch>
                      <a:fillRect/>
                    </a:stretch>
                  </pic:blipFill>
                  <pic:spPr>
                    <a:xfrm>
                      <a:off x="0" y="0"/>
                      <a:ext cx="4761230" cy="6732270"/>
                    </a:xfrm>
                    <a:prstGeom prst="rect">
                      <a:avLst/>
                    </a:prstGeom>
                  </pic:spPr>
                </pic:pic>
              </a:graphicData>
            </a:graphic>
          </wp:inline>
        </w:drawing>
      </w:r>
    </w:p>
    <w:p w14:paraId="63F3CDB1">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 xml:space="preserve">2-1  </w:t>
      </w:r>
      <w:r>
        <w:rPr>
          <w:rFonts w:hint="default" w:ascii="Times New Roman" w:hAnsi="Times New Roman" w:cs="Times New Roman" w:eastAsiaTheme="minorEastAsia"/>
          <w:b/>
          <w:sz w:val="24"/>
          <w:szCs w:val="24"/>
        </w:rPr>
        <w:t>雷州市土壤侵蚀分布图</w:t>
      </w:r>
    </w:p>
    <w:p w14:paraId="720BA972">
      <w:pPr>
        <w:pStyle w:val="2"/>
        <w:ind w:firstLine="0"/>
        <w:rPr>
          <w:rFonts w:hint="default" w:ascii="Times New Roman" w:hAnsi="Times New Roman" w:cs="Times New Roman"/>
          <w:lang w:eastAsia="zh-CN"/>
        </w:rPr>
        <w:sectPr>
          <w:footerReference r:id="rId11" w:type="default"/>
          <w:pgSz w:w="11906" w:h="16838"/>
          <w:pgMar w:top="1440" w:right="1800" w:bottom="1440" w:left="1800" w:header="851" w:footer="992" w:gutter="0"/>
          <w:cols w:space="720" w:num="1"/>
          <w:docGrid w:type="lines" w:linePitch="381" w:charSpace="0"/>
        </w:sectPr>
      </w:pPr>
    </w:p>
    <w:p w14:paraId="2D018A4C">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47" w:name="_Toc7236"/>
      <w:bookmarkStart w:id="48" w:name="_Toc19218"/>
      <w:r>
        <w:rPr>
          <w:rFonts w:hint="default" w:ascii="Times New Roman" w:hAnsi="Times New Roman" w:cs="Times New Roman"/>
          <w:lang w:val="en-US" w:eastAsia="zh-CN"/>
        </w:rPr>
        <w:t>2</w:t>
      </w:r>
      <w:r>
        <w:rPr>
          <w:rFonts w:hint="default" w:ascii="Times New Roman" w:hAnsi="Times New Roman" w:cs="Times New Roman"/>
          <w:lang w:eastAsia="zh-CN"/>
        </w:rPr>
        <w:t>.2.1土壤侵蚀面积与强度分析</w:t>
      </w:r>
      <w:bookmarkEnd w:id="47"/>
      <w:bookmarkEnd w:id="48"/>
    </w:p>
    <w:p w14:paraId="729E4D62">
      <w:pPr>
        <w:pStyle w:val="8"/>
        <w:snapToGrid w:val="0"/>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经统计，雷州市及各镇（街）土壤侵蚀情况见表</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p>
    <w:p w14:paraId="5ADDE52B">
      <w:pPr>
        <w:pStyle w:val="51"/>
        <w:snapToGrid w:val="0"/>
        <w:spacing w:line="240" w:lineRule="auto"/>
        <w:jc w:val="center"/>
        <w:rPr>
          <w:rFonts w:hint="default" w:ascii="Times New Roman" w:hAnsi="Times New Roman" w:cs="Times New Roman" w:eastAsiaTheme="minorEastAsia"/>
          <w:b/>
          <w:bCs w:val="0"/>
          <w:sz w:val="24"/>
          <w:szCs w:val="24"/>
        </w:rPr>
      </w:pPr>
      <w:r>
        <w:rPr>
          <w:rFonts w:hint="default" w:ascii="Times New Roman" w:hAnsi="Times New Roman" w:cs="Times New Roman" w:eastAsiaTheme="minorEastAsia"/>
          <w:b/>
          <w:bCs w:val="0"/>
          <w:sz w:val="24"/>
          <w:szCs w:val="24"/>
        </w:rPr>
        <w:t>表</w:t>
      </w:r>
      <w:r>
        <w:rPr>
          <w:rFonts w:hint="default" w:ascii="Times New Roman" w:hAnsi="Times New Roman" w:cs="Times New Roman" w:eastAsiaTheme="minorEastAsia"/>
          <w:b/>
          <w:bCs w:val="0"/>
          <w:sz w:val="24"/>
          <w:szCs w:val="24"/>
          <w:lang w:val="en-US" w:eastAsia="zh-CN"/>
        </w:rPr>
        <w:t>2-1</w:t>
      </w:r>
      <w:r>
        <w:rPr>
          <w:rFonts w:hint="default" w:ascii="Times New Roman" w:hAnsi="Times New Roman" w:cs="Times New Roman" w:eastAsiaTheme="minorEastAsia"/>
          <w:b/>
          <w:bCs w:val="0"/>
          <w:sz w:val="24"/>
          <w:szCs w:val="24"/>
        </w:rPr>
        <w:t xml:space="preserve"> 雷州各镇（街）土壤侵蚀面积与强度统计表</w:t>
      </w:r>
    </w:p>
    <w:tbl>
      <w:tblPr>
        <w:tblStyle w:val="26"/>
        <w:tblpPr w:leftFromText="180" w:rightFromText="180" w:vertAnchor="text" w:horzAnchor="page" w:tblpXSpec="center" w:tblpY="253"/>
        <w:tblOverlap w:val="never"/>
        <w:tblW w:w="4998" w:type="pct"/>
        <w:jc w:val="center"/>
        <w:tblLayout w:type="autofit"/>
        <w:tblCellMar>
          <w:top w:w="0" w:type="dxa"/>
          <w:left w:w="0" w:type="dxa"/>
          <w:bottom w:w="0" w:type="dxa"/>
          <w:right w:w="0" w:type="dxa"/>
        </w:tblCellMar>
      </w:tblPr>
      <w:tblGrid>
        <w:gridCol w:w="1086"/>
        <w:gridCol w:w="1083"/>
        <w:gridCol w:w="1086"/>
        <w:gridCol w:w="890"/>
        <w:gridCol w:w="1086"/>
        <w:gridCol w:w="890"/>
        <w:gridCol w:w="1086"/>
        <w:gridCol w:w="887"/>
        <w:gridCol w:w="1086"/>
        <w:gridCol w:w="890"/>
        <w:gridCol w:w="1086"/>
        <w:gridCol w:w="890"/>
        <w:gridCol w:w="1086"/>
        <w:gridCol w:w="888"/>
      </w:tblGrid>
      <w:tr w14:paraId="304DC84B">
        <w:tblPrEx>
          <w:tblCellMar>
            <w:top w:w="0" w:type="dxa"/>
            <w:left w:w="0" w:type="dxa"/>
            <w:bottom w:w="0" w:type="dxa"/>
            <w:right w:w="0" w:type="dxa"/>
          </w:tblCellMar>
        </w:tblPrEx>
        <w:trPr>
          <w:trHeight w:val="397" w:hRule="atLeast"/>
          <w:tblHeader/>
          <w:jc w:val="center"/>
        </w:trPr>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9ED31">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行政区</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459864">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土地总面积（km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7489B">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微度侵蚀</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C2E8DF">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土壤侵蚀</w:t>
            </w:r>
          </w:p>
        </w:tc>
        <w:tc>
          <w:tcPr>
            <w:tcW w:w="703"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452D4">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rPr>
              <w:t>轻度侵蚀</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C1047">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rPr>
              <w:t>中度侵蚀</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E5FCB">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rPr>
              <w:t>强烈侵蚀</w:t>
            </w:r>
          </w:p>
        </w:tc>
        <w:tc>
          <w:tcPr>
            <w:tcW w:w="703"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8BA7F">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rPr>
              <w:t>极强烈侵蚀</w:t>
            </w:r>
          </w:p>
        </w:tc>
      </w:tr>
      <w:tr w14:paraId="185B2B59">
        <w:tblPrEx>
          <w:tblCellMar>
            <w:top w:w="0" w:type="dxa"/>
            <w:left w:w="0" w:type="dxa"/>
            <w:bottom w:w="0" w:type="dxa"/>
            <w:right w:w="0" w:type="dxa"/>
          </w:tblCellMar>
        </w:tblPrEx>
        <w:trPr>
          <w:trHeight w:val="397" w:hRule="atLeast"/>
          <w:tblHeader/>
          <w:jc w:val="center"/>
        </w:trPr>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64549">
            <w:pPr>
              <w:snapToGrid w:val="0"/>
              <w:spacing w:line="240" w:lineRule="auto"/>
              <w:ind w:firstLine="402"/>
              <w:jc w:val="center"/>
              <w:rPr>
                <w:rFonts w:hint="default" w:ascii="Times New Roman" w:hAnsi="Times New Roman" w:cs="Times New Roman"/>
                <w:b/>
                <w:color w:val="000000"/>
                <w:sz w:val="20"/>
                <w:szCs w:val="20"/>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4CC59D">
            <w:pPr>
              <w:snapToGrid w:val="0"/>
              <w:spacing w:line="240" w:lineRule="auto"/>
              <w:ind w:firstLine="402"/>
              <w:jc w:val="center"/>
              <w:rPr>
                <w:rFonts w:hint="default" w:ascii="Times New Roman" w:hAnsi="Times New Roman" w:cs="Times New Roman"/>
                <w:b/>
                <w:color w:val="000000"/>
                <w:sz w:val="20"/>
                <w:szCs w:val="20"/>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EC7A00">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49CF8090">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AC9F1">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占土地总面积比例（%）</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97CE2">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53F2E210">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58DA0">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占土地总面积比例（%）</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B5BF7">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2D5D078B">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4CEEA">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占土壤侵蚀面积比例（%）</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BC1D3">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4C14FD34">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38D0B">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占土壤侵蚀面积比例（%）</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48B28">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0FEF4525">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3C5EF2">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占土壤侵蚀面积比例（%）</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8E83D4">
            <w:pPr>
              <w:snapToGrid w:val="0"/>
              <w:spacing w:line="240" w:lineRule="auto"/>
              <w:jc w:val="center"/>
              <w:textAlignment w:val="center"/>
              <w:rPr>
                <w:rFonts w:hint="default" w:ascii="Times New Roman" w:hAnsi="Times New Roman" w:cs="Times New Roman"/>
                <w:b/>
                <w:color w:val="000000"/>
                <w:sz w:val="20"/>
                <w:szCs w:val="20"/>
                <w:lang w:eastAsia="zh-CN" w:bidi="ar"/>
              </w:rPr>
            </w:pPr>
            <w:r>
              <w:rPr>
                <w:rFonts w:hint="default" w:ascii="Times New Roman" w:hAnsi="Times New Roman" w:cs="Times New Roman"/>
                <w:b/>
                <w:color w:val="000000"/>
                <w:sz w:val="20"/>
                <w:szCs w:val="20"/>
                <w:lang w:eastAsia="zh-CN" w:bidi="ar"/>
              </w:rPr>
              <w:t>面积</w:t>
            </w:r>
          </w:p>
          <w:p w14:paraId="67038189">
            <w:pPr>
              <w:snapToGrid w:val="0"/>
              <w:spacing w:line="240" w:lineRule="auto"/>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eastAsia="zh-CN" w:bidi="ar"/>
              </w:rPr>
              <w:t>（km</w:t>
            </w:r>
            <w:r>
              <w:rPr>
                <w:rFonts w:hint="default" w:ascii="Times New Roman" w:hAnsi="Times New Roman" w:cs="Times New Roman"/>
                <w:b/>
                <w:color w:val="000000"/>
                <w:sz w:val="20"/>
                <w:szCs w:val="20"/>
                <w:vertAlign w:val="superscript"/>
                <w:lang w:eastAsia="zh-CN" w:bidi="ar"/>
              </w:rPr>
              <w:t>2</w:t>
            </w:r>
            <w:r>
              <w:rPr>
                <w:rFonts w:hint="default" w:ascii="Times New Roman" w:hAnsi="Times New Roman" w:cs="Times New Roman"/>
                <w:b/>
                <w:color w:val="000000"/>
                <w:sz w:val="20"/>
                <w:szCs w:val="20"/>
                <w:lang w:eastAsia="zh-CN" w:bidi="ar"/>
              </w:rPr>
              <w:t>）</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64D2BE">
            <w:pPr>
              <w:snapToGrid w:val="0"/>
              <w:spacing w:line="240" w:lineRule="auto"/>
              <w:jc w:val="center"/>
              <w:textAlignment w:val="center"/>
              <w:rPr>
                <w:rFonts w:hint="default" w:ascii="Times New Roman" w:hAnsi="Times New Roman" w:cs="Times New Roman"/>
                <w:b/>
                <w:color w:val="000000"/>
                <w:sz w:val="20"/>
                <w:szCs w:val="20"/>
                <w:lang w:eastAsia="zh-CN"/>
              </w:rPr>
            </w:pPr>
            <w:r>
              <w:rPr>
                <w:rFonts w:hint="default" w:ascii="Times New Roman" w:hAnsi="Times New Roman" w:cs="Times New Roman"/>
                <w:b/>
                <w:color w:val="000000"/>
                <w:sz w:val="20"/>
                <w:szCs w:val="20"/>
                <w:lang w:eastAsia="zh-CN" w:bidi="ar"/>
              </w:rPr>
              <w:t>占土壤侵蚀面积比例（%）</w:t>
            </w:r>
          </w:p>
        </w:tc>
      </w:tr>
      <w:tr w14:paraId="1CB53287">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0284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雷州市</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A0B5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3025</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BB8F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2928.89</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3495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96.82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C43B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96.11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35A9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3.18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E02E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91.29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DC86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94.98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F60B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4.60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AF5D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4.79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15A0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D26C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CEB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0.03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807E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0.03 </w:t>
            </w:r>
          </w:p>
        </w:tc>
      </w:tr>
      <w:tr w14:paraId="43C432F0">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F3B6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新城街道</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F6F3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4.41</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12220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4.28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E2B1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97.04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4910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DBB6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6.68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09D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0.29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16D4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96.74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B621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D8F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3.26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19A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29341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B797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A00E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C4542D0">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1C13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西湖街道</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39CB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6.71</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13D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6.25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AD5B4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93.17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45A6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D501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7.49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3177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0.48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2FC0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95.84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BBA6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AE4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4.08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0706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F45D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A4456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5369F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66FFADBE">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FEE5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雷城街道</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EE9B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6.55</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D66B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6.26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624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95.64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237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8A70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C2616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87EB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100.00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61B3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4C6E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F76E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2C50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72E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B7C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B03DAEE">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570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白沙镇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A3FA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104.82</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17D9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100.43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1575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95.82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AD9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4.68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9074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4.47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AEC7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4.31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FE5B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92.06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2D92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DC9A7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7.91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F74A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6F97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2188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63C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r>
      <w:tr w14:paraId="79DB8992">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F59F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北和镇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84C0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166.25</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F0194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163.11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BBDB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98.11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BA31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4.27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19661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2.57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D188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3.92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A443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91.85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5FA5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0.33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F958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7.65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E4572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4805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541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8B24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0.03 </w:t>
            </w:r>
          </w:p>
        </w:tc>
      </w:tr>
      <w:tr w14:paraId="2E7DB665">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AB8B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调风镇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E7DF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271.13</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FED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254.87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AA42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AC07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17.25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9558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6.36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528C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16.34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5063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94.68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9253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0.87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3CC5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5.06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459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0.04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CE7D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F875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99CD9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r>
      <w:tr w14:paraId="4B168E31">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475C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东里镇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DCFAD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86.8</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89B7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85.22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10E61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98.18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997D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0.68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165F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0.78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E42C1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0.66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B8A5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97.56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5869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162D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2.38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A3933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FC75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F07C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DED9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r>
      <w:tr w14:paraId="3D2DC529">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E338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附城镇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7AF6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97.13</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2050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94.83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6BB1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97.63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CFE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E582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3.01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FABF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2.86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7F79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97.93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5666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51F2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1.94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CEB0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58034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B6A2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7073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r>
      <w:tr w14:paraId="1840FAEA">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B4E8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纪家镇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C24F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287.38</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05B3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282.42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EB24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98.28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EACD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0EF2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1.03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1E073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2.78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2B87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94.01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98D9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80EF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5.31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7D19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37A7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2DC89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795F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0.16 </w:t>
            </w:r>
          </w:p>
        </w:tc>
      </w:tr>
      <w:tr w14:paraId="7DFB6770">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8A8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客路镇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BD6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304.21</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EED5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296.78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D5BD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97.56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500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5.83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D15E4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1.92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E69B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5.65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E088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96.93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265F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F484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3.06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D758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521A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18B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266AA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690C218F">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3B47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雷高镇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5640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152.81</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5C24B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150.94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9353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98.77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66A0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2.35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23C0E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1.54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0CB5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2.29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FEBC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97.25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C0DA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3779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2.72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6077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ED1FC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995D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321F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5A78FAFA">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B11D6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龙门镇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D0C5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323.74</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AA71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310.69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E4EE4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95.97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2871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13.88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447A5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4.29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21A1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13.10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D34EF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94.39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7561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0.76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BA7AB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5.49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2A6E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060F4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6968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39DC8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41E0BCD3">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270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南兴镇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61F8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131.51</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1A4D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127.75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F681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97.14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455B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3.85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A2A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9ECE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3.67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6D38D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95.27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061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324E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4.67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A326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FCEBD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64701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AE8D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2FE78D0C">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D539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企水镇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AEB9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85.59</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4695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82.75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8C4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96.69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8E2F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D97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3.35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090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2.58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769D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90.07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212F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8135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7.83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5511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0.04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C3870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1.46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A00D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61ED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0.64 </w:t>
            </w:r>
          </w:p>
        </w:tc>
      </w:tr>
      <w:tr w14:paraId="5DD5A99C">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D6B1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沈塘镇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DF97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54.59</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F764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52.16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BF24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95.54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DAB8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2.41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332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4.42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0224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2.39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577F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99.20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E65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8FC3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0.80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27D3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365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93DBC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8957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320B695">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07E3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松竹镇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1710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58.52</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0706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57.82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5AD9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98.81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D7CC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0B8C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0.99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AF159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0.58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2538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99.62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3927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4EE1C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1CC2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13AD1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51AAA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AAC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0182F3D7">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7135F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覃斗镇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2D2E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76.89</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F9C7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75.57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A4C3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98.28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FF5B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4ED8E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1.70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5B49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1.23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4EF5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93.95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1DCD5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2BC3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5.49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4C77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C4D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8954A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E148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0.13 </w:t>
            </w:r>
          </w:p>
        </w:tc>
      </w:tr>
      <w:tr w14:paraId="3AA408D4">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F680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唐家镇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5B0E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228.64</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36D8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219.68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5AA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96.08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50F2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2B04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4.16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571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9.04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1D22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95.10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41B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533B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4.72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0092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C7A4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43D1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361E0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r>
      <w:tr w14:paraId="76249909">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C49B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乌石镇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1C7B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91.33</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10FC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90.34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F8EF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98.91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FBB6E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A2B0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1.52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994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1.33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1182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95.97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9139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0.05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50DF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3.81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30B7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8148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10004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82B2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41C8330D">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A2C6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杨家镇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1352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189.04</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55AC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182.49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7C57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96.54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599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6.86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9571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3.63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3A12F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6.57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517D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95.85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1617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0.27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8282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4.00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9C8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4EEDB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0.15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F3AA8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05D4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A5D5F56">
        <w:tblPrEx>
          <w:tblCellMar>
            <w:top w:w="0" w:type="dxa"/>
            <w:left w:w="0" w:type="dxa"/>
            <w:bottom w:w="0" w:type="dxa"/>
            <w:right w:w="0" w:type="dxa"/>
          </w:tblCellMar>
        </w:tblPrEx>
        <w:trPr>
          <w:trHeight w:val="397" w:hRule="atLeast"/>
          <w:tblHeader/>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1CD4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英利镇</w:t>
            </w:r>
          </w:p>
        </w:tc>
        <w:tc>
          <w:tcPr>
            <w:tcW w:w="38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1A35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296.95</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554CB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284.23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B091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95.72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1539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11.71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F85A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3.94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682EE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11.21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A875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95.70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D8DE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0.49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66D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4.18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1055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2229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0.12 </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53C6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0B10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bl>
    <w:p w14:paraId="5DC710D7">
      <w:pPr>
        <w:ind w:firstLine="480"/>
        <w:rPr>
          <w:rFonts w:hint="default" w:ascii="Times New Roman" w:hAnsi="Times New Roman" w:cs="Times New Roman"/>
          <w:lang w:eastAsia="zh-CN"/>
        </w:rPr>
        <w:sectPr>
          <w:pgSz w:w="16838" w:h="11906" w:orient="landscape"/>
          <w:pgMar w:top="1588" w:right="1418" w:bottom="1588" w:left="1418" w:header="851" w:footer="992" w:gutter="0"/>
          <w:cols w:space="720" w:num="1"/>
          <w:docGrid w:type="lines" w:linePitch="381" w:charSpace="0"/>
        </w:sectPr>
      </w:pPr>
      <w:r>
        <w:rPr>
          <w:rFonts w:hint="default" w:ascii="Times New Roman" w:hAnsi="Times New Roman" w:cs="Times New Roman"/>
          <w:lang w:eastAsia="zh-CN"/>
        </w:rPr>
        <w:br w:type="page"/>
      </w:r>
    </w:p>
    <w:p w14:paraId="15188A14">
      <w:pPr>
        <w:pStyle w:val="8"/>
        <w:numPr>
          <w:ilvl w:val="0"/>
          <w:numId w:val="3"/>
        </w:numPr>
        <w:snapToGrid w:val="0"/>
        <w:ind w:firstLine="482"/>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全市土壤侵蚀面积与强度</w:t>
      </w:r>
    </w:p>
    <w:p w14:paraId="5142465B">
      <w:pPr>
        <w:pStyle w:val="2"/>
        <w:spacing w:line="240" w:lineRule="auto"/>
        <w:ind w:firstLine="0"/>
        <w:jc w:val="center"/>
        <w:rPr>
          <w:rFonts w:hint="default" w:ascii="Times New Roman" w:hAnsi="Times New Roman" w:eastAsia="黑体" w:cs="Times New Roman"/>
          <w:sz w:val="15"/>
          <w:szCs w:val="15"/>
          <w:vertAlign w:val="superscript"/>
        </w:rPr>
      </w:pPr>
      <w:r>
        <w:rPr>
          <w:rFonts w:hint="default" w:ascii="Times New Roman" w:hAnsi="Times New Roman" w:cs="Times New Roman"/>
        </w:rPr>
        <w:drawing>
          <wp:inline distT="0" distB="0" distL="114300" distR="114300">
            <wp:extent cx="4191000" cy="2838450"/>
            <wp:effectExtent l="4445" t="4445" r="14605" b="14605"/>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89484F">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2-2</w:t>
      </w:r>
      <w:r>
        <w:rPr>
          <w:rFonts w:hint="default" w:ascii="Times New Roman" w:hAnsi="Times New Roman" w:cs="Times New Roman" w:eastAsiaTheme="minorEastAsia"/>
          <w:b/>
          <w:sz w:val="24"/>
          <w:szCs w:val="24"/>
        </w:rPr>
        <w:t>雷州市土壤侵蚀强度统计图</w:t>
      </w:r>
    </w:p>
    <w:p w14:paraId="52B64F61">
      <w:pPr>
        <w:snapToGrid w:val="0"/>
        <w:spacing w:before="190" w:beforeLines="50"/>
        <w:ind w:firstLine="480"/>
        <w:jc w:val="both"/>
        <w:rPr>
          <w:rFonts w:hint="default" w:ascii="Times New Roman" w:hAnsi="Times New Roman" w:cs="Times New Roman"/>
          <w:lang w:eastAsia="zh-CN"/>
        </w:rPr>
      </w:pPr>
      <w:r>
        <w:rPr>
          <w:rFonts w:hint="default" w:ascii="Times New Roman" w:hAnsi="Times New Roman" w:cs="Times New Roman"/>
          <w:lang w:eastAsia="zh-CN"/>
        </w:rPr>
        <w:t>根据表</w:t>
      </w:r>
      <w:r>
        <w:rPr>
          <w:rFonts w:hint="default" w:ascii="Times New Roman" w:hAnsi="Times New Roman" w:cs="Times New Roman"/>
          <w:lang w:val="en-US" w:eastAsia="zh-CN"/>
        </w:rPr>
        <w:t>2-1</w:t>
      </w:r>
      <w:r>
        <w:rPr>
          <w:rFonts w:hint="default" w:ascii="Times New Roman" w:hAnsi="Times New Roman" w:cs="Times New Roman"/>
          <w:lang w:eastAsia="zh-CN"/>
        </w:rPr>
        <w:t>，图</w:t>
      </w:r>
      <w:r>
        <w:rPr>
          <w:rFonts w:hint="default" w:ascii="Times New Roman" w:hAnsi="Times New Roman" w:cs="Times New Roman"/>
          <w:lang w:val="en-US" w:eastAsia="zh-CN"/>
        </w:rPr>
        <w:t>2-2</w:t>
      </w:r>
      <w:r>
        <w:rPr>
          <w:rFonts w:hint="default" w:ascii="Times New Roman" w:hAnsi="Times New Roman" w:cs="Times New Roman"/>
          <w:lang w:eastAsia="zh-CN"/>
        </w:rPr>
        <w:t>：雷州市水土流失总面积为</w:t>
      </w:r>
      <w:r>
        <w:rPr>
          <w:rFonts w:hint="default" w:ascii="Times New Roman" w:hAnsi="Times New Roman" w:cs="Times New Roman"/>
          <w:lang w:val="en-US" w:eastAsia="zh-CN"/>
        </w:rPr>
        <w:t>96.11</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，占雷州市土地总面积的</w:t>
      </w:r>
      <w:r>
        <w:rPr>
          <w:rFonts w:hint="eastAsia" w:cs="Times New Roman"/>
          <w:lang w:val="en-US" w:eastAsia="zh-CN"/>
        </w:rPr>
        <w:t>3.18</w:t>
      </w:r>
      <w:r>
        <w:rPr>
          <w:rFonts w:hint="default" w:ascii="Times New Roman" w:hAnsi="Times New Roman" w:cs="Times New Roman"/>
          <w:lang w:eastAsia="zh-CN"/>
        </w:rPr>
        <w:t>%。其中</w:t>
      </w:r>
      <w:r>
        <w:rPr>
          <w:rFonts w:hint="default" w:ascii="Times New Roman" w:hAnsi="Times New Roman" w:eastAsia="宋体" w:cs="Times New Roman"/>
          <w:sz w:val="24"/>
          <w:szCs w:val="24"/>
          <w:lang w:val="en-US" w:eastAsia="zh-CN" w:bidi="ar-SA"/>
        </w:rPr>
        <w:t>土壤侵蚀强度以轻度为主，轻度侵蚀面积91.29km</w:t>
      </w:r>
      <w:r>
        <w:rPr>
          <w:rFonts w:hint="default" w:ascii="Times New Roman" w:hAnsi="Times New Roman" w:eastAsia="宋体" w:cs="Times New Roman"/>
          <w:sz w:val="24"/>
          <w:szCs w:val="24"/>
          <w:vertAlign w:val="superscript"/>
          <w:lang w:val="en-US" w:eastAsia="zh-CN" w:bidi="ar-SA"/>
        </w:rPr>
        <w:t>2</w:t>
      </w:r>
      <w:r>
        <w:rPr>
          <w:rFonts w:hint="default" w:ascii="Times New Roman" w:hAnsi="Times New Roman" w:eastAsia="宋体" w:cs="Times New Roman"/>
          <w:sz w:val="24"/>
          <w:szCs w:val="24"/>
          <w:lang w:val="en-US" w:eastAsia="zh-CN" w:bidi="ar-SA"/>
        </w:rPr>
        <w:t>，占总侵蚀面积的94.98%，其次中度侵蚀面积4.6km</w:t>
      </w:r>
      <w:r>
        <w:rPr>
          <w:rFonts w:hint="default" w:ascii="Times New Roman" w:hAnsi="Times New Roman" w:eastAsia="宋体" w:cs="Times New Roman"/>
          <w:sz w:val="24"/>
          <w:szCs w:val="24"/>
          <w:vertAlign w:val="superscript"/>
          <w:lang w:val="en-US" w:eastAsia="zh-CN" w:bidi="ar-SA"/>
        </w:rPr>
        <w:t>2</w:t>
      </w:r>
      <w:r>
        <w:rPr>
          <w:rFonts w:hint="default" w:ascii="Times New Roman" w:hAnsi="Times New Roman" w:eastAsia="宋体" w:cs="Times New Roman"/>
          <w:sz w:val="24"/>
          <w:szCs w:val="24"/>
          <w:lang w:val="en-US" w:eastAsia="zh-CN" w:bidi="ar-SA"/>
        </w:rPr>
        <w:t>，占比4.78%。强烈侵蚀面积0.19km</w:t>
      </w:r>
      <w:r>
        <w:rPr>
          <w:rFonts w:hint="default" w:ascii="Times New Roman" w:hAnsi="Times New Roman" w:eastAsia="宋体" w:cs="Times New Roman"/>
          <w:sz w:val="24"/>
          <w:szCs w:val="24"/>
          <w:vertAlign w:val="superscript"/>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eastAsia="宋体" w:cs="Times New Roman"/>
          <w:sz w:val="24"/>
          <w:szCs w:val="24"/>
          <w:lang w:val="en-US" w:eastAsia="zh-CN" w:bidi="ar-SA"/>
        </w:rPr>
        <w:t>占比0.20%，极强烈侵蚀面积0.03km</w:t>
      </w:r>
      <w:r>
        <w:rPr>
          <w:rFonts w:hint="default" w:ascii="Times New Roman" w:hAnsi="Times New Roman" w:eastAsia="宋体" w:cs="Times New Roman"/>
          <w:sz w:val="24"/>
          <w:szCs w:val="24"/>
          <w:vertAlign w:val="superscript"/>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eastAsia="宋体" w:cs="Times New Roman"/>
          <w:sz w:val="24"/>
          <w:szCs w:val="24"/>
          <w:lang w:val="en-US" w:eastAsia="zh-CN" w:bidi="ar-SA"/>
        </w:rPr>
        <w:t>占比 0.04%，剧烈侵蚀面积0.00km</w:t>
      </w:r>
      <w:r>
        <w:rPr>
          <w:rFonts w:hint="default" w:ascii="Times New Roman" w:hAnsi="Times New Roman" w:eastAsia="宋体" w:cs="Times New Roman"/>
          <w:sz w:val="24"/>
          <w:szCs w:val="24"/>
          <w:vertAlign w:val="superscript"/>
          <w:lang w:val="en-US" w:eastAsia="zh-CN" w:bidi="ar-SA"/>
        </w:rPr>
        <w:t>2</w:t>
      </w:r>
      <w:r>
        <w:rPr>
          <w:rFonts w:hint="default" w:ascii="Times New Roman" w:hAnsi="Times New Roman" w:cs="Times New Roman"/>
          <w:lang w:eastAsia="zh-CN"/>
        </w:rPr>
        <w:t>。</w:t>
      </w:r>
    </w:p>
    <w:p w14:paraId="46EC7E25">
      <w:pPr>
        <w:snapToGrid w:val="0"/>
        <w:ind w:firstLine="480"/>
        <w:jc w:val="both"/>
        <w:rPr>
          <w:rFonts w:hint="default" w:ascii="Times New Roman" w:hAnsi="Times New Roman" w:cs="Times New Roman"/>
          <w:lang w:val="en-US" w:eastAsia="zh-CN"/>
        </w:rPr>
      </w:pPr>
      <w:r>
        <w:rPr>
          <w:rFonts w:hint="default" w:ascii="Times New Roman" w:hAnsi="Times New Roman" w:cs="Times New Roman"/>
          <w:lang w:eastAsia="zh-CN"/>
        </w:rPr>
        <w:t>总体上看，雷州市土壤侵蚀强度以轻度为主，中度侵蚀其次，强烈</w:t>
      </w:r>
      <w:r>
        <w:rPr>
          <w:rFonts w:hint="default" w:ascii="Times New Roman" w:hAnsi="Times New Roman" w:cs="Times New Roman"/>
          <w:lang w:val="en-US" w:eastAsia="zh-CN"/>
        </w:rPr>
        <w:t>和</w:t>
      </w:r>
      <w:r>
        <w:rPr>
          <w:rFonts w:hint="default" w:ascii="Times New Roman" w:hAnsi="Times New Roman" w:cs="Times New Roman"/>
          <w:lang w:eastAsia="zh-CN"/>
        </w:rPr>
        <w:t>极强烈侵蚀面积占比极小，</w:t>
      </w:r>
      <w:r>
        <w:rPr>
          <w:rFonts w:hint="default" w:ascii="Times New Roman" w:hAnsi="Times New Roman" w:cs="Times New Roman"/>
          <w:lang w:val="en-US" w:eastAsia="zh-CN"/>
        </w:rPr>
        <w:t>没有剧烈侵蚀。</w:t>
      </w:r>
    </w:p>
    <w:p w14:paraId="7ADD962E">
      <w:pPr>
        <w:ind w:firstLine="480"/>
        <w:rPr>
          <w:rFonts w:hint="default" w:ascii="Times New Roman" w:hAnsi="Times New Roman" w:cs="Times New Roman"/>
          <w:lang w:eastAsia="zh-CN"/>
        </w:rPr>
      </w:pPr>
      <w:r>
        <w:rPr>
          <w:rFonts w:hint="default" w:ascii="Times New Roman" w:hAnsi="Times New Roman" w:cs="Times New Roman"/>
          <w:lang w:eastAsia="zh-CN"/>
        </w:rPr>
        <w:br w:type="page"/>
      </w:r>
    </w:p>
    <w:p w14:paraId="1C70C22E">
      <w:pPr>
        <w:pStyle w:val="8"/>
        <w:numPr>
          <w:ilvl w:val="0"/>
          <w:numId w:val="4"/>
        </w:numPr>
        <w:snapToGrid w:val="0"/>
        <w:ind w:left="-2" w:leftChars="0" w:firstLine="482" w:firstLineChars="0"/>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各镇（街）土壤侵蚀</w:t>
      </w:r>
      <w:r>
        <w:rPr>
          <w:rFonts w:hint="default" w:ascii="Times New Roman" w:hAnsi="Times New Roman" w:cs="Times New Roman"/>
          <w:b/>
          <w:bCs/>
          <w:sz w:val="24"/>
          <w:szCs w:val="24"/>
          <w:lang w:val="en-US" w:eastAsia="zh-CN"/>
        </w:rPr>
        <w:t>强度</w:t>
      </w:r>
      <w:r>
        <w:rPr>
          <w:rFonts w:hint="default" w:ascii="Times New Roman" w:hAnsi="Times New Roman" w:cs="Times New Roman"/>
          <w:b/>
          <w:bCs/>
          <w:sz w:val="24"/>
          <w:szCs w:val="24"/>
          <w:lang w:eastAsia="zh-CN"/>
        </w:rPr>
        <w:t>面积</w:t>
      </w:r>
    </w:p>
    <w:p w14:paraId="55F65029">
      <w:pPr>
        <w:pStyle w:val="8"/>
        <w:ind w:firstLine="0"/>
        <w:rPr>
          <w:rFonts w:hint="default" w:ascii="Times New Roman" w:hAnsi="Times New Roman" w:cs="Times New Roman"/>
          <w:b/>
          <w:bCs/>
          <w:lang w:eastAsia="zh-CN"/>
        </w:rPr>
      </w:pPr>
      <w:r>
        <w:rPr>
          <w:rFonts w:hint="default" w:ascii="Times New Roman" w:hAnsi="Times New Roman" w:cs="Times New Roman"/>
        </w:rPr>
        <w:drawing>
          <wp:inline distT="0" distB="0" distL="114300" distR="114300">
            <wp:extent cx="5273040" cy="2516505"/>
            <wp:effectExtent l="4445" t="4445" r="18415" b="12700"/>
            <wp:docPr id="18"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5D9C44">
      <w:pPr>
        <w:pStyle w:val="51"/>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2-3</w:t>
      </w:r>
      <w:r>
        <w:rPr>
          <w:rFonts w:hint="default" w:ascii="Times New Roman" w:hAnsi="Times New Roman" w:cs="Times New Roman" w:eastAsiaTheme="minorEastAsia"/>
          <w:b/>
          <w:sz w:val="24"/>
          <w:szCs w:val="24"/>
        </w:rPr>
        <w:t xml:space="preserve"> 雷州市各街镇土壤侵蚀</w:t>
      </w:r>
      <w:r>
        <w:rPr>
          <w:rFonts w:hint="default" w:ascii="Times New Roman" w:hAnsi="Times New Roman" w:cs="Times New Roman" w:eastAsiaTheme="minorEastAsia"/>
          <w:b/>
          <w:sz w:val="24"/>
          <w:szCs w:val="24"/>
          <w:lang w:val="en-US" w:eastAsia="zh-CN"/>
        </w:rPr>
        <w:t>强度面积</w:t>
      </w:r>
      <w:r>
        <w:rPr>
          <w:rFonts w:hint="default" w:ascii="Times New Roman" w:hAnsi="Times New Roman" w:cs="Times New Roman" w:eastAsiaTheme="minorEastAsia"/>
          <w:b/>
          <w:sz w:val="24"/>
          <w:szCs w:val="24"/>
        </w:rPr>
        <w:t>统计图</w:t>
      </w:r>
    </w:p>
    <w:p w14:paraId="769A8E50">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根据表</w:t>
      </w:r>
      <w:r>
        <w:rPr>
          <w:rFonts w:hint="default" w:ascii="Times New Roman" w:hAnsi="Times New Roman" w:cs="Times New Roman"/>
          <w:lang w:val="en-US" w:eastAsia="zh-CN"/>
        </w:rPr>
        <w:t>2-1</w:t>
      </w:r>
      <w:r>
        <w:rPr>
          <w:rFonts w:hint="default" w:ascii="Times New Roman" w:hAnsi="Times New Roman" w:cs="Times New Roman"/>
          <w:lang w:eastAsia="zh-CN"/>
        </w:rPr>
        <w:t>、图</w:t>
      </w:r>
      <w:r>
        <w:rPr>
          <w:rFonts w:hint="default" w:ascii="Times New Roman" w:hAnsi="Times New Roman" w:cs="Times New Roman"/>
          <w:lang w:val="en-US" w:eastAsia="zh-CN"/>
        </w:rPr>
        <w:t>2-3</w:t>
      </w:r>
      <w:r>
        <w:rPr>
          <w:rFonts w:hint="default" w:ascii="Times New Roman" w:hAnsi="Times New Roman" w:cs="Times New Roman"/>
          <w:lang w:eastAsia="zh-CN"/>
        </w:rPr>
        <w:t>，雷州市各镇（街）土壤侵蚀面积最小的为雷城街道，土壤侵蚀面积0.0</w:t>
      </w:r>
      <w:r>
        <w:rPr>
          <w:rFonts w:hint="default" w:ascii="Times New Roman" w:hAnsi="Times New Roman" w:cs="Times New Roman"/>
          <w:lang w:val="en-US" w:eastAsia="zh-CN"/>
        </w:rPr>
        <w:t>1</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，最大的为调风镇，土壤侵蚀面积</w:t>
      </w:r>
      <w:r>
        <w:rPr>
          <w:rFonts w:hint="default" w:ascii="Times New Roman" w:hAnsi="Times New Roman" w:cs="Times New Roman"/>
          <w:lang w:val="en-US" w:eastAsia="zh-CN"/>
        </w:rPr>
        <w:t>17.25</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；土壤侵蚀面积占比最低的为</w:t>
      </w:r>
      <w:r>
        <w:rPr>
          <w:rFonts w:hint="default" w:ascii="Times New Roman" w:hAnsi="Times New Roman" w:cs="Times New Roman"/>
          <w:lang w:val="en-US" w:eastAsia="zh-CN"/>
        </w:rPr>
        <w:t>雷城街道</w:t>
      </w:r>
      <w:r>
        <w:rPr>
          <w:rFonts w:hint="default" w:ascii="Times New Roman" w:hAnsi="Times New Roman" w:cs="Times New Roman"/>
          <w:lang w:eastAsia="zh-CN"/>
        </w:rPr>
        <w:t>，土壤侵蚀面积占比0.</w:t>
      </w:r>
      <w:r>
        <w:rPr>
          <w:rFonts w:hint="default" w:ascii="Times New Roman" w:hAnsi="Times New Roman" w:cs="Times New Roman"/>
          <w:lang w:val="en-US" w:eastAsia="zh-CN"/>
        </w:rPr>
        <w:t>10</w:t>
      </w:r>
      <w:r>
        <w:rPr>
          <w:rFonts w:hint="default" w:ascii="Times New Roman" w:hAnsi="Times New Roman" w:cs="Times New Roman"/>
          <w:lang w:eastAsia="zh-CN"/>
        </w:rPr>
        <w:t>%，最高的为</w:t>
      </w:r>
      <w:r>
        <w:rPr>
          <w:rFonts w:hint="default" w:ascii="Times New Roman" w:hAnsi="Times New Roman" w:cs="Times New Roman"/>
          <w:lang w:val="en-US" w:eastAsia="zh-CN"/>
        </w:rPr>
        <w:t>西湖街道和调风镇</w:t>
      </w:r>
      <w:r>
        <w:rPr>
          <w:rFonts w:hint="default" w:ascii="Times New Roman" w:hAnsi="Times New Roman" w:cs="Times New Roman"/>
          <w:lang w:eastAsia="zh-CN"/>
        </w:rPr>
        <w:t>，土壤侵蚀面积占比</w:t>
      </w:r>
      <w:r>
        <w:rPr>
          <w:rFonts w:hint="default" w:ascii="Times New Roman" w:hAnsi="Times New Roman" w:cs="Times New Roman"/>
          <w:lang w:val="en-US" w:eastAsia="zh-CN"/>
        </w:rPr>
        <w:t>7.49</w:t>
      </w:r>
      <w:r>
        <w:rPr>
          <w:rFonts w:hint="default" w:ascii="Times New Roman" w:hAnsi="Times New Roman" w:cs="Times New Roman"/>
          <w:lang w:eastAsia="zh-CN"/>
        </w:rPr>
        <w:t>%</w:t>
      </w:r>
      <w:r>
        <w:rPr>
          <w:rFonts w:hint="default" w:ascii="Times New Roman" w:hAnsi="Times New Roman" w:cs="Times New Roman"/>
          <w:lang w:val="en-US" w:eastAsia="zh-CN"/>
        </w:rPr>
        <w:t>和6.36%</w:t>
      </w:r>
      <w:r>
        <w:rPr>
          <w:rFonts w:hint="default" w:ascii="Times New Roman" w:hAnsi="Times New Roman" w:cs="Times New Roman"/>
          <w:lang w:eastAsia="zh-CN"/>
        </w:rPr>
        <w:t>。</w:t>
      </w:r>
    </w:p>
    <w:p w14:paraId="57E21FD5">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49" w:name="_Toc5751"/>
      <w:bookmarkStart w:id="50" w:name="_Toc23062"/>
      <w:r>
        <w:rPr>
          <w:rFonts w:hint="default" w:ascii="Times New Roman" w:hAnsi="Times New Roman" w:cs="Times New Roman"/>
          <w:lang w:val="en-US" w:eastAsia="zh-CN"/>
        </w:rPr>
        <w:t>2</w:t>
      </w:r>
      <w:r>
        <w:rPr>
          <w:rFonts w:hint="default" w:ascii="Times New Roman" w:hAnsi="Times New Roman" w:cs="Times New Roman"/>
          <w:lang w:eastAsia="zh-CN"/>
        </w:rPr>
        <w:t>.2.2土壤侵蚀空间分布分析</w:t>
      </w:r>
      <w:bookmarkEnd w:id="49"/>
      <w:bookmarkEnd w:id="50"/>
    </w:p>
    <w:p w14:paraId="50B97FA2">
      <w:pPr>
        <w:pStyle w:val="8"/>
        <w:snapToGrid w:val="0"/>
        <w:ind w:firstLine="482"/>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（1）全市土壤侵蚀面积与强度</w:t>
      </w:r>
    </w:p>
    <w:p w14:paraId="487A6B9B">
      <w:pPr>
        <w:pStyle w:val="51"/>
        <w:snapToGrid w:val="0"/>
        <w:spacing w:line="240" w:lineRule="auto"/>
        <w:jc w:val="right"/>
        <w:rPr>
          <w:rFonts w:hint="default" w:ascii="Times New Roman" w:hAnsi="Times New Roman" w:cs="Times New Roman" w:eastAsiaTheme="minorEastAsia"/>
          <w:b/>
          <w:bCs w:val="0"/>
          <w:sz w:val="24"/>
          <w:szCs w:val="24"/>
          <w:vertAlign w:val="baseline"/>
        </w:rPr>
      </w:pPr>
      <w:r>
        <w:rPr>
          <w:rFonts w:hint="default" w:ascii="Times New Roman" w:hAnsi="Times New Roman" w:cs="Times New Roman" w:eastAsiaTheme="minorEastAsia"/>
          <w:b/>
          <w:bCs w:val="0"/>
          <w:sz w:val="24"/>
          <w:szCs w:val="24"/>
        </w:rPr>
        <w:t>表</w:t>
      </w:r>
      <w:r>
        <w:rPr>
          <w:rFonts w:hint="default" w:ascii="Times New Roman" w:hAnsi="Times New Roman" w:cs="Times New Roman" w:eastAsiaTheme="minorEastAsia"/>
          <w:b/>
          <w:bCs w:val="0"/>
          <w:sz w:val="24"/>
          <w:szCs w:val="24"/>
          <w:lang w:val="en-US" w:eastAsia="zh-CN"/>
        </w:rPr>
        <w:t>2</w:t>
      </w:r>
      <w:r>
        <w:rPr>
          <w:rFonts w:hint="default" w:ascii="Times New Roman" w:hAnsi="Times New Roman" w:cs="Times New Roman" w:eastAsiaTheme="minorEastAsia"/>
          <w:b/>
          <w:bCs w:val="0"/>
          <w:sz w:val="24"/>
          <w:szCs w:val="24"/>
        </w:rPr>
        <w:t>-</w:t>
      </w:r>
      <w:r>
        <w:rPr>
          <w:rFonts w:hint="default" w:ascii="Times New Roman" w:hAnsi="Times New Roman" w:cs="Times New Roman" w:eastAsiaTheme="minorEastAsia"/>
          <w:b/>
          <w:bCs w:val="0"/>
          <w:sz w:val="24"/>
          <w:szCs w:val="24"/>
          <w:lang w:val="en-US" w:eastAsia="zh-CN"/>
        </w:rPr>
        <w:t>2</w:t>
      </w:r>
      <w:r>
        <w:rPr>
          <w:rFonts w:hint="default" w:ascii="Times New Roman" w:hAnsi="Times New Roman" w:cs="Times New Roman" w:eastAsiaTheme="minorEastAsia"/>
          <w:b/>
          <w:bCs w:val="0"/>
          <w:sz w:val="24"/>
          <w:szCs w:val="24"/>
        </w:rPr>
        <w:t xml:space="preserve">  雷州市不同土地利用水土流失统计表        单位：km</w:t>
      </w:r>
      <w:r>
        <w:rPr>
          <w:rFonts w:hint="default" w:ascii="Times New Roman" w:hAnsi="Times New Roman" w:cs="Times New Roman" w:eastAsiaTheme="minorEastAsia"/>
          <w:b/>
          <w:bCs w:val="0"/>
          <w:sz w:val="24"/>
          <w:szCs w:val="24"/>
          <w:vertAlign w:val="superscript"/>
        </w:rPr>
        <w:t>2</w:t>
      </w:r>
    </w:p>
    <w:tbl>
      <w:tblPr>
        <w:tblStyle w:val="2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78"/>
        <w:gridCol w:w="938"/>
        <w:gridCol w:w="868"/>
        <w:gridCol w:w="868"/>
        <w:gridCol w:w="1156"/>
        <w:gridCol w:w="874"/>
        <w:gridCol w:w="938"/>
      </w:tblGrid>
      <w:tr w14:paraId="661BC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20DD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土地利用类型一级类</w:t>
            </w:r>
          </w:p>
        </w:tc>
        <w:tc>
          <w:tcPr>
            <w:tcW w:w="275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82F0F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水土流失面积</w:t>
            </w:r>
          </w:p>
        </w:tc>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6D73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r>
      <w:tr w14:paraId="5E53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7588E">
            <w:pPr>
              <w:jc w:val="center"/>
              <w:rPr>
                <w:rFonts w:hint="default" w:ascii="Times New Roman" w:hAnsi="Times New Roman" w:eastAsia="宋体" w:cs="Times New Roman"/>
                <w:b/>
                <w:bCs/>
                <w:i w:val="0"/>
                <w:iCs w:val="0"/>
                <w:color w:val="000000"/>
                <w:sz w:val="21"/>
                <w:szCs w:val="21"/>
                <w:u w:val="none"/>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98ED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轻度</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916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中度</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5E5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强烈</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5D9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极强烈</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C7A3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剧烈</w:t>
            </w:r>
          </w:p>
        </w:tc>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75380">
            <w:pPr>
              <w:jc w:val="center"/>
              <w:rPr>
                <w:rFonts w:hint="default" w:ascii="Times New Roman" w:hAnsi="Times New Roman" w:eastAsia="宋体" w:cs="Times New Roman"/>
                <w:b/>
                <w:bCs/>
                <w:i w:val="0"/>
                <w:iCs w:val="0"/>
                <w:color w:val="000000"/>
                <w:sz w:val="21"/>
                <w:szCs w:val="21"/>
                <w:u w:val="none"/>
              </w:rPr>
            </w:pPr>
          </w:p>
        </w:tc>
      </w:tr>
      <w:tr w14:paraId="4C8D0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474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小计</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386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91.29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607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4.60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7A8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0.19</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ADD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0.03</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3F6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E9B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96.11</w:t>
            </w:r>
          </w:p>
        </w:tc>
      </w:tr>
      <w:tr w14:paraId="35E97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C1B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耕地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DB38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57.83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6907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2.24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08A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9B04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9DFB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E10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60.14</w:t>
            </w:r>
          </w:p>
        </w:tc>
      </w:tr>
      <w:tr w14:paraId="33DE9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E4D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园地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B8F8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2.54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F73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E37D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19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5E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444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3.71</w:t>
            </w:r>
          </w:p>
        </w:tc>
      </w:tr>
      <w:tr w14:paraId="14751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39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林地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8F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13.53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E0B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357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F63F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BC7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B31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13.56</w:t>
            </w:r>
          </w:p>
        </w:tc>
      </w:tr>
      <w:tr w14:paraId="16329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7C0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草地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54C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2.42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2C1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0.26</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7680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A4B7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0.02</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4AA1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CFA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2.76</w:t>
            </w:r>
          </w:p>
        </w:tc>
      </w:tr>
      <w:tr w14:paraId="037D4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BE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建设用地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B4A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14.95</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86D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0.91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EA1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6C40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5CE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D8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15.86</w:t>
            </w:r>
          </w:p>
        </w:tc>
      </w:tr>
      <w:tr w14:paraId="182FB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40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交通运输用地</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0CA8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13A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5B2C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0.01</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67AC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0.01</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69AE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18A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0.08</w:t>
            </w:r>
          </w:p>
        </w:tc>
      </w:tr>
      <w:tr w14:paraId="3717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018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水域及水利设施用地</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5B3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83C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AAB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FFF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76B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F35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r>
      <w:tr w14:paraId="560E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1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5BF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其他土地</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9FD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173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AB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12C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9A7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92C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r>
    </w:tbl>
    <w:p w14:paraId="5D8C3EC3">
      <w:pPr>
        <w:pStyle w:val="51"/>
        <w:snapToGrid w:val="0"/>
        <w:spacing w:line="240" w:lineRule="auto"/>
        <w:jc w:val="right"/>
        <w:rPr>
          <w:rFonts w:hint="default" w:ascii="Times New Roman" w:hAnsi="Times New Roman" w:cs="Times New Roman"/>
          <w:vertAlign w:val="baseline"/>
        </w:rPr>
      </w:pPr>
    </w:p>
    <w:p w14:paraId="38DC6E97">
      <w:pPr>
        <w:pStyle w:val="51"/>
        <w:snapToGrid w:val="0"/>
        <w:spacing w:line="240" w:lineRule="auto"/>
        <w:jc w:val="right"/>
        <w:rPr>
          <w:rFonts w:hint="default" w:ascii="Times New Roman" w:hAnsi="Times New Roman" w:cs="Times New Roman"/>
          <w:vertAlign w:val="baseline"/>
        </w:rPr>
      </w:pPr>
    </w:p>
    <w:p w14:paraId="1D705F4D">
      <w:pPr>
        <w:pStyle w:val="51"/>
        <w:snapToGrid w:val="0"/>
        <w:spacing w:line="240" w:lineRule="auto"/>
        <w:jc w:val="right"/>
        <w:rPr>
          <w:rFonts w:hint="default" w:ascii="Times New Roman" w:hAnsi="Times New Roman" w:cs="Times New Roman"/>
          <w:vertAlign w:val="baseline"/>
        </w:rPr>
      </w:pPr>
    </w:p>
    <w:p w14:paraId="2977D19E">
      <w:pPr>
        <w:pStyle w:val="51"/>
        <w:snapToGrid w:val="0"/>
        <w:spacing w:line="240" w:lineRule="auto"/>
        <w:jc w:val="right"/>
        <w:rPr>
          <w:rFonts w:hint="default" w:ascii="Times New Roman" w:hAnsi="Times New Roman" w:cs="Times New Roman"/>
        </w:rPr>
      </w:pPr>
    </w:p>
    <w:p w14:paraId="31570A2F">
      <w:pPr>
        <w:pStyle w:val="5"/>
        <w:jc w:val="center"/>
        <w:rPr>
          <w:rFonts w:hint="default" w:ascii="Times New Roman" w:hAnsi="Times New Roman" w:cs="Times New Roman"/>
          <w:sz w:val="24"/>
          <w:szCs w:val="24"/>
          <w:lang w:eastAsia="zh-CN"/>
        </w:rPr>
      </w:pPr>
      <w:r>
        <w:rPr>
          <w:rFonts w:hint="default" w:ascii="Times New Roman" w:hAnsi="Times New Roman" w:cs="Times New Roman"/>
        </w:rPr>
        <w:drawing>
          <wp:inline distT="0" distB="0" distL="114300" distR="114300">
            <wp:extent cx="5269865" cy="2984500"/>
            <wp:effectExtent l="4445" t="4445" r="21590" b="20955"/>
            <wp:docPr id="49" name="图表 10"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0B9C47">
      <w:pPr>
        <w:pStyle w:val="51"/>
        <w:rPr>
          <w:rFonts w:hint="default" w:ascii="Times New Roman" w:hAnsi="Times New Roman" w:cs="Times New Roman"/>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w:t>
      </w:r>
      <w:r>
        <w:rPr>
          <w:rFonts w:hint="default" w:ascii="Times New Roman" w:hAnsi="Times New Roman" w:cs="Times New Roman" w:eastAsiaTheme="minorEastAsia"/>
          <w:b/>
          <w:sz w:val="24"/>
          <w:szCs w:val="24"/>
        </w:rPr>
        <w:t>-</w:t>
      </w:r>
      <w:r>
        <w:rPr>
          <w:rFonts w:hint="default" w:ascii="Times New Roman" w:hAnsi="Times New Roman" w:cs="Times New Roman" w:eastAsiaTheme="minorEastAsia"/>
          <w:b/>
          <w:sz w:val="24"/>
          <w:szCs w:val="24"/>
          <w:lang w:val="en-US" w:eastAsia="zh-CN"/>
        </w:rPr>
        <w:t>4</w:t>
      </w:r>
      <w:r>
        <w:rPr>
          <w:rFonts w:hint="default" w:ascii="Times New Roman" w:hAnsi="Times New Roman" w:cs="Times New Roman" w:eastAsiaTheme="minorEastAsia"/>
          <w:b/>
          <w:sz w:val="24"/>
          <w:szCs w:val="24"/>
        </w:rPr>
        <w:t xml:space="preserve"> 雷州市不同土地利用水土流失面积统计图</w:t>
      </w:r>
    </w:p>
    <w:p w14:paraId="45B308B9">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根据表</w:t>
      </w:r>
      <w:r>
        <w:rPr>
          <w:rFonts w:hint="default" w:ascii="Times New Roman" w:hAnsi="Times New Roman" w:cs="Times New Roman"/>
          <w:sz w:val="24"/>
          <w:lang w:val="en-US" w:eastAsia="zh-CN"/>
        </w:rPr>
        <w:t>2-2</w:t>
      </w:r>
      <w:r>
        <w:rPr>
          <w:rFonts w:hint="default" w:ascii="Times New Roman" w:hAnsi="Times New Roman" w:cs="Times New Roman"/>
          <w:sz w:val="24"/>
          <w:lang w:eastAsia="zh-CN"/>
        </w:rPr>
        <w:t>，图</w:t>
      </w:r>
      <w:r>
        <w:rPr>
          <w:rFonts w:hint="default" w:ascii="Times New Roman" w:hAnsi="Times New Roman" w:cs="Times New Roman"/>
          <w:sz w:val="24"/>
          <w:lang w:val="en-US" w:eastAsia="zh-CN"/>
        </w:rPr>
        <w:t>2-4</w:t>
      </w:r>
      <w:r>
        <w:rPr>
          <w:rFonts w:hint="default" w:ascii="Times New Roman" w:hAnsi="Times New Roman" w:cs="Times New Roman"/>
          <w:sz w:val="24"/>
          <w:lang w:eastAsia="zh-CN"/>
        </w:rPr>
        <w:t>：雷州市水土流失总面积为</w:t>
      </w:r>
      <w:r>
        <w:rPr>
          <w:rFonts w:hint="default" w:ascii="Times New Roman" w:hAnsi="Times New Roman" w:cs="Times New Roman"/>
          <w:sz w:val="24"/>
          <w:lang w:val="en-US" w:eastAsia="zh-CN"/>
        </w:rPr>
        <w:t>96.11</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。其中，</w:t>
      </w:r>
      <w:r>
        <w:rPr>
          <w:rFonts w:hint="default" w:ascii="Times New Roman" w:hAnsi="Times New Roman" w:cs="Times New Roman"/>
          <w:sz w:val="24"/>
          <w:lang w:val="en-US" w:eastAsia="zh-CN"/>
        </w:rPr>
        <w:t>耕地和建设</w:t>
      </w:r>
      <w:r>
        <w:rPr>
          <w:rFonts w:hint="default" w:ascii="Times New Roman" w:hAnsi="Times New Roman" w:cs="Times New Roman"/>
          <w:sz w:val="24"/>
          <w:lang w:eastAsia="zh-CN"/>
        </w:rPr>
        <w:t>用地上的土壤侵蚀面积最多，分别为</w:t>
      </w:r>
      <w:r>
        <w:rPr>
          <w:rFonts w:hint="default" w:ascii="Times New Roman" w:hAnsi="Times New Roman" w:cs="Times New Roman"/>
          <w:sz w:val="24"/>
          <w:lang w:val="en-US" w:eastAsia="zh-CN"/>
        </w:rPr>
        <w:t>60.14</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和</w:t>
      </w:r>
      <w:r>
        <w:rPr>
          <w:rFonts w:hint="default" w:ascii="Times New Roman" w:hAnsi="Times New Roman" w:cs="Times New Roman"/>
          <w:sz w:val="24"/>
          <w:lang w:val="en-US" w:eastAsia="zh-CN"/>
        </w:rPr>
        <w:t>15.86</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，占</w:t>
      </w:r>
      <w:r>
        <w:rPr>
          <w:rFonts w:hint="eastAsia" w:cs="Times New Roman"/>
          <w:sz w:val="24"/>
          <w:lang w:val="en-US" w:eastAsia="zh-CN"/>
        </w:rPr>
        <w:t>土壤侵蚀面积的</w:t>
      </w:r>
      <w:r>
        <w:rPr>
          <w:rFonts w:hint="default" w:ascii="Times New Roman" w:hAnsi="Times New Roman" w:cs="Times New Roman"/>
          <w:sz w:val="24"/>
          <w:lang w:val="en-US" w:eastAsia="zh-CN"/>
        </w:rPr>
        <w:t>60.57</w:t>
      </w:r>
      <w:r>
        <w:rPr>
          <w:rFonts w:hint="default" w:ascii="Times New Roman" w:hAnsi="Times New Roman" w:cs="Times New Roman"/>
          <w:sz w:val="24"/>
          <w:lang w:eastAsia="zh-CN"/>
        </w:rPr>
        <w:t>%和</w:t>
      </w:r>
      <w:r>
        <w:rPr>
          <w:rFonts w:hint="default" w:ascii="Times New Roman" w:hAnsi="Times New Roman" w:cs="Times New Roman"/>
          <w:sz w:val="24"/>
          <w:lang w:val="en-US" w:eastAsia="zh-CN"/>
        </w:rPr>
        <w:t>16.50</w:t>
      </w:r>
      <w:r>
        <w:rPr>
          <w:rFonts w:hint="default" w:ascii="Times New Roman" w:hAnsi="Times New Roman" w:cs="Times New Roman"/>
          <w:sz w:val="24"/>
          <w:lang w:eastAsia="zh-CN"/>
        </w:rPr>
        <w:t>%；其次为</w:t>
      </w:r>
      <w:r>
        <w:rPr>
          <w:rFonts w:hint="default" w:ascii="Times New Roman" w:hAnsi="Times New Roman" w:cs="Times New Roman"/>
          <w:sz w:val="24"/>
          <w:lang w:val="en-US" w:eastAsia="zh-CN"/>
        </w:rPr>
        <w:t>林地</w:t>
      </w:r>
      <w:r>
        <w:rPr>
          <w:rFonts w:hint="default" w:ascii="Times New Roman" w:hAnsi="Times New Roman" w:cs="Times New Roman"/>
          <w:sz w:val="24"/>
          <w:lang w:eastAsia="zh-CN"/>
        </w:rPr>
        <w:t>和园地，土壤侵蚀分别为</w:t>
      </w:r>
      <w:r>
        <w:rPr>
          <w:rFonts w:hint="default" w:ascii="Times New Roman" w:hAnsi="Times New Roman" w:cs="Times New Roman"/>
          <w:sz w:val="24"/>
          <w:lang w:val="en-US" w:eastAsia="zh-CN"/>
        </w:rPr>
        <w:t>13.56</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和</w:t>
      </w:r>
      <w:r>
        <w:rPr>
          <w:rFonts w:hint="default" w:ascii="Times New Roman" w:hAnsi="Times New Roman" w:cs="Times New Roman"/>
          <w:sz w:val="24"/>
          <w:lang w:val="en-US" w:eastAsia="zh-CN"/>
        </w:rPr>
        <w:t>3.71</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，占</w:t>
      </w:r>
      <w:r>
        <w:rPr>
          <w:rFonts w:hint="eastAsia" w:cs="Times New Roman"/>
          <w:sz w:val="24"/>
          <w:lang w:val="en-US" w:eastAsia="zh-CN"/>
        </w:rPr>
        <w:t>土壤侵蚀面积</w:t>
      </w:r>
      <w:r>
        <w:rPr>
          <w:rFonts w:hint="default" w:ascii="Times New Roman" w:hAnsi="Times New Roman" w:cs="Times New Roman"/>
          <w:sz w:val="24"/>
          <w:lang w:val="en-US" w:eastAsia="zh-CN"/>
        </w:rPr>
        <w:t>14.11</w:t>
      </w:r>
      <w:r>
        <w:rPr>
          <w:rFonts w:hint="default" w:ascii="Times New Roman" w:hAnsi="Times New Roman" w:cs="Times New Roman"/>
          <w:sz w:val="24"/>
          <w:lang w:eastAsia="zh-CN"/>
        </w:rPr>
        <w:t>%和</w:t>
      </w:r>
      <w:r>
        <w:rPr>
          <w:rFonts w:hint="default" w:ascii="Times New Roman" w:hAnsi="Times New Roman" w:cs="Times New Roman"/>
          <w:sz w:val="24"/>
          <w:lang w:val="en-US" w:eastAsia="zh-CN"/>
        </w:rPr>
        <w:t>3.86</w:t>
      </w:r>
      <w:r>
        <w:rPr>
          <w:rFonts w:hint="default" w:ascii="Times New Roman" w:hAnsi="Times New Roman" w:cs="Times New Roman"/>
          <w:sz w:val="24"/>
          <w:lang w:eastAsia="zh-CN"/>
        </w:rPr>
        <w:t>%；草地上</w:t>
      </w:r>
      <w:r>
        <w:rPr>
          <w:rFonts w:hint="default" w:ascii="Times New Roman" w:hAnsi="Times New Roman" w:cs="Times New Roman"/>
          <w:sz w:val="24"/>
          <w:lang w:val="en-US" w:eastAsia="zh-CN"/>
        </w:rPr>
        <w:t>和交通运输用地</w:t>
      </w:r>
      <w:r>
        <w:rPr>
          <w:rFonts w:hint="default" w:ascii="Times New Roman" w:hAnsi="Times New Roman" w:cs="Times New Roman"/>
          <w:sz w:val="24"/>
          <w:lang w:eastAsia="zh-CN"/>
        </w:rPr>
        <w:t>的土壤侵蚀面积最小，为</w:t>
      </w:r>
      <w:r>
        <w:rPr>
          <w:rFonts w:hint="default" w:ascii="Times New Roman" w:hAnsi="Times New Roman" w:cs="Times New Roman"/>
          <w:sz w:val="24"/>
          <w:lang w:val="en-US" w:eastAsia="zh-CN"/>
        </w:rPr>
        <w:t>2.76</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val="en-US" w:eastAsia="zh-CN"/>
        </w:rPr>
        <w:t>和0.08</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占</w:t>
      </w:r>
      <w:r>
        <w:rPr>
          <w:rFonts w:hint="eastAsia" w:cs="Times New Roman"/>
          <w:sz w:val="24"/>
          <w:lang w:val="en-US" w:eastAsia="zh-CN"/>
        </w:rPr>
        <w:t>土壤侵蚀面积</w:t>
      </w:r>
      <w:r>
        <w:rPr>
          <w:rFonts w:hint="default" w:ascii="Times New Roman" w:hAnsi="Times New Roman" w:cs="Times New Roman"/>
          <w:sz w:val="24"/>
          <w:lang w:val="en-US" w:eastAsia="zh-CN"/>
        </w:rPr>
        <w:t>2.87</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和0.08%</w:t>
      </w:r>
      <w:r>
        <w:rPr>
          <w:rFonts w:hint="default" w:ascii="Times New Roman" w:hAnsi="Times New Roman" w:cs="Times New Roman"/>
          <w:sz w:val="24"/>
          <w:lang w:eastAsia="zh-CN"/>
        </w:rPr>
        <w:t>。</w:t>
      </w:r>
    </w:p>
    <w:p w14:paraId="45716DD6">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从各地类的侵蚀强度上看，中度侵蚀主要分布在</w:t>
      </w:r>
      <w:r>
        <w:rPr>
          <w:rFonts w:hint="default" w:ascii="Times New Roman" w:hAnsi="Times New Roman" w:cs="Times New Roman"/>
          <w:sz w:val="24"/>
          <w:lang w:val="en-US" w:eastAsia="zh-CN"/>
        </w:rPr>
        <w:t>坡地</w:t>
      </w:r>
      <w:r>
        <w:rPr>
          <w:rFonts w:hint="default" w:ascii="Times New Roman" w:hAnsi="Times New Roman" w:cs="Times New Roman"/>
          <w:sz w:val="24"/>
          <w:lang w:eastAsia="zh-CN"/>
        </w:rPr>
        <w:t>上，</w:t>
      </w:r>
      <w:r>
        <w:rPr>
          <w:rFonts w:hint="default" w:ascii="Times New Roman" w:hAnsi="Times New Roman" w:cs="Times New Roman"/>
          <w:sz w:val="24"/>
          <w:lang w:val="en-US" w:eastAsia="zh-CN"/>
        </w:rPr>
        <w:t>雷州市坡地面积较大，农业经济作物频繁耕作是</w:t>
      </w:r>
      <w:r>
        <w:rPr>
          <w:rFonts w:hint="default" w:ascii="Times New Roman" w:hAnsi="Times New Roman" w:cs="Times New Roman"/>
          <w:sz w:val="24"/>
          <w:lang w:eastAsia="zh-CN"/>
        </w:rPr>
        <w:t>造成中度侵蚀的主要原因。</w:t>
      </w:r>
    </w:p>
    <w:p w14:paraId="19E27D87">
      <w:pPr>
        <w:pStyle w:val="8"/>
        <w:numPr>
          <w:ilvl w:val="0"/>
          <w:numId w:val="4"/>
        </w:numPr>
        <w:snapToGrid w:val="0"/>
        <w:ind w:left="-2" w:leftChars="0" w:firstLine="482" w:firstLineChars="0"/>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各镇土壤侵蚀面积与强度</w:t>
      </w:r>
    </w:p>
    <w:p w14:paraId="51659938">
      <w:pPr>
        <w:pStyle w:val="8"/>
        <w:snapToGrid w:val="0"/>
        <w:ind w:left="482" w:firstLine="0"/>
        <w:rPr>
          <w:rFonts w:hint="default" w:ascii="Times New Roman" w:hAnsi="Times New Roman" w:cs="Times New Roman"/>
          <w:bCs/>
          <w:sz w:val="24"/>
          <w:szCs w:val="24"/>
          <w:lang w:eastAsia="zh-CN"/>
        </w:rPr>
      </w:pPr>
      <w:r>
        <w:rPr>
          <w:rFonts w:hint="default" w:ascii="Times New Roman" w:hAnsi="Times New Roman" w:cs="Times New Roman"/>
          <w:bCs/>
          <w:sz w:val="24"/>
          <w:szCs w:val="24"/>
          <w:lang w:eastAsia="zh-CN"/>
        </w:rPr>
        <w:t>各镇土壤侵蚀面积与强度详情见表</w:t>
      </w:r>
      <w:r>
        <w:rPr>
          <w:rFonts w:hint="default" w:ascii="Times New Roman" w:hAnsi="Times New Roman" w:cs="Times New Roman"/>
          <w:bCs/>
          <w:sz w:val="24"/>
          <w:szCs w:val="24"/>
          <w:lang w:val="en-US" w:eastAsia="zh-CN"/>
        </w:rPr>
        <w:t>2-3</w:t>
      </w:r>
      <w:r>
        <w:rPr>
          <w:rFonts w:hint="default" w:ascii="Times New Roman" w:hAnsi="Times New Roman" w:cs="Times New Roman"/>
          <w:bCs/>
          <w:sz w:val="24"/>
          <w:szCs w:val="24"/>
          <w:lang w:eastAsia="zh-CN"/>
        </w:rPr>
        <w:t>。</w:t>
      </w:r>
    </w:p>
    <w:p w14:paraId="15F38CFB">
      <w:pPr>
        <w:pStyle w:val="8"/>
        <w:keepNext w:val="0"/>
        <w:keepLines w:val="0"/>
        <w:pageBreakBefore w:val="0"/>
        <w:widowControl/>
        <w:kinsoku/>
        <w:wordWrap/>
        <w:overflowPunct/>
        <w:topLinePunct w:val="0"/>
        <w:autoSpaceDE/>
        <w:autoSpaceDN/>
        <w:bidi w:val="0"/>
        <w:adjustRightInd/>
        <w:snapToGrid/>
        <w:spacing w:line="240" w:lineRule="auto"/>
        <w:ind w:firstLine="0"/>
        <w:jc w:val="right"/>
        <w:textAlignment w:val="auto"/>
        <w:rPr>
          <w:rFonts w:hint="default" w:ascii="Times New Roman" w:hAnsi="Times New Roman" w:cs="Times New Roman" w:eastAsiaTheme="minorEastAsia"/>
          <w:b/>
          <w:bCs/>
          <w:sz w:val="24"/>
          <w:szCs w:val="24"/>
          <w:vertAlign w:val="superscript"/>
          <w:lang w:val="en-US" w:eastAsia="zh-CN" w:bidi="ar-SA"/>
        </w:rPr>
      </w:pPr>
      <w:r>
        <w:rPr>
          <w:rFonts w:hint="eastAsia" w:cs="Times New Roman" w:eastAsiaTheme="minorEastAsia"/>
          <w:b/>
          <w:bCs/>
          <w:sz w:val="24"/>
          <w:szCs w:val="24"/>
          <w:lang w:val="en-US" w:eastAsia="zh-CN" w:bidi="ar-SA"/>
        </w:rPr>
        <w:t>表</w:t>
      </w:r>
      <w:r>
        <w:rPr>
          <w:rFonts w:hint="default" w:ascii="Times New Roman" w:hAnsi="Times New Roman" w:cs="Times New Roman" w:eastAsiaTheme="minorEastAsia"/>
          <w:b/>
          <w:bCs/>
          <w:sz w:val="24"/>
          <w:szCs w:val="24"/>
          <w:lang w:val="en-US" w:eastAsia="zh-CN" w:bidi="ar-SA"/>
        </w:rPr>
        <w:t>2-3  雷州市不同土地利用类型侵蚀面积表          单位：km</w:t>
      </w:r>
      <w:r>
        <w:rPr>
          <w:rFonts w:hint="default" w:ascii="Times New Roman" w:hAnsi="Times New Roman" w:cs="Times New Roman" w:eastAsiaTheme="minorEastAsia"/>
          <w:b/>
          <w:bCs/>
          <w:sz w:val="24"/>
          <w:szCs w:val="24"/>
          <w:vertAlign w:val="superscript"/>
          <w:lang w:val="en-US" w:eastAsia="zh-CN" w:bidi="ar-SA"/>
        </w:rPr>
        <w:t>2</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8"/>
        <w:gridCol w:w="1491"/>
        <w:gridCol w:w="1268"/>
        <w:gridCol w:w="973"/>
        <w:gridCol w:w="898"/>
        <w:gridCol w:w="898"/>
        <w:gridCol w:w="1194"/>
        <w:gridCol w:w="899"/>
      </w:tblGrid>
      <w:tr w14:paraId="5AB4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trPr>
        <w:tc>
          <w:tcPr>
            <w:tcW w:w="527" w:type="pct"/>
            <w:vMerge w:val="restart"/>
            <w:shd w:val="clear" w:color="auto" w:fill="auto"/>
            <w:noWrap/>
            <w:vAlign w:val="center"/>
          </w:tcPr>
          <w:p w14:paraId="1A285C8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序号</w:t>
            </w:r>
          </w:p>
        </w:tc>
        <w:tc>
          <w:tcPr>
            <w:tcW w:w="875" w:type="pct"/>
            <w:shd w:val="clear" w:color="auto" w:fill="auto"/>
            <w:noWrap/>
            <w:vAlign w:val="center"/>
          </w:tcPr>
          <w:p w14:paraId="1FBEA39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行政区划</w:t>
            </w:r>
          </w:p>
        </w:tc>
        <w:tc>
          <w:tcPr>
            <w:tcW w:w="744" w:type="pct"/>
            <w:shd w:val="clear" w:color="auto" w:fill="auto"/>
            <w:noWrap/>
            <w:vAlign w:val="center"/>
          </w:tcPr>
          <w:p w14:paraId="1CC245D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微度</w:t>
            </w:r>
          </w:p>
        </w:tc>
        <w:tc>
          <w:tcPr>
            <w:tcW w:w="571" w:type="pct"/>
            <w:shd w:val="clear" w:color="auto" w:fill="auto"/>
            <w:noWrap/>
            <w:vAlign w:val="center"/>
          </w:tcPr>
          <w:p w14:paraId="21DBB1E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轻度</w:t>
            </w:r>
          </w:p>
        </w:tc>
        <w:tc>
          <w:tcPr>
            <w:tcW w:w="527" w:type="pct"/>
            <w:shd w:val="clear" w:color="auto" w:fill="auto"/>
            <w:noWrap/>
            <w:vAlign w:val="center"/>
          </w:tcPr>
          <w:p w14:paraId="6DE1FB6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中度</w:t>
            </w:r>
          </w:p>
        </w:tc>
        <w:tc>
          <w:tcPr>
            <w:tcW w:w="527" w:type="pct"/>
            <w:shd w:val="clear" w:color="auto" w:fill="auto"/>
            <w:noWrap/>
            <w:vAlign w:val="center"/>
          </w:tcPr>
          <w:p w14:paraId="5D6D91D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强烈</w:t>
            </w:r>
          </w:p>
        </w:tc>
        <w:tc>
          <w:tcPr>
            <w:tcW w:w="700" w:type="pct"/>
            <w:shd w:val="clear" w:color="auto" w:fill="auto"/>
            <w:noWrap/>
            <w:vAlign w:val="center"/>
          </w:tcPr>
          <w:p w14:paraId="7018DF3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极强烈</w:t>
            </w:r>
          </w:p>
        </w:tc>
        <w:tc>
          <w:tcPr>
            <w:tcW w:w="527" w:type="pct"/>
            <w:shd w:val="clear" w:color="auto" w:fill="auto"/>
            <w:noWrap/>
            <w:vAlign w:val="center"/>
          </w:tcPr>
          <w:p w14:paraId="5D9F1E0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剧烈</w:t>
            </w:r>
          </w:p>
        </w:tc>
      </w:tr>
      <w:tr w14:paraId="6093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vMerge w:val="continue"/>
            <w:shd w:val="clear" w:color="auto" w:fill="auto"/>
            <w:noWrap/>
            <w:vAlign w:val="center"/>
          </w:tcPr>
          <w:p w14:paraId="3DBCDEA0">
            <w:pPr>
              <w:spacing w:line="240" w:lineRule="auto"/>
              <w:jc w:val="center"/>
              <w:rPr>
                <w:rFonts w:hint="default" w:ascii="Times New Roman" w:hAnsi="Times New Roman" w:cs="Times New Roman"/>
                <w:color w:val="000000"/>
                <w:sz w:val="21"/>
                <w:szCs w:val="21"/>
                <w:lang w:val="en-US" w:eastAsia="zh-CN"/>
              </w:rPr>
            </w:pPr>
          </w:p>
        </w:tc>
        <w:tc>
          <w:tcPr>
            <w:tcW w:w="875" w:type="pct"/>
            <w:shd w:val="clear" w:color="auto" w:fill="auto"/>
            <w:noWrap/>
            <w:vAlign w:val="center"/>
          </w:tcPr>
          <w:p w14:paraId="7EA3168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雷州市</w:t>
            </w:r>
          </w:p>
        </w:tc>
        <w:tc>
          <w:tcPr>
            <w:tcW w:w="744" w:type="pct"/>
            <w:shd w:val="clear" w:color="auto" w:fill="auto"/>
            <w:noWrap/>
            <w:vAlign w:val="center"/>
          </w:tcPr>
          <w:p w14:paraId="2A15DCB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2928.89</w:t>
            </w:r>
          </w:p>
        </w:tc>
        <w:tc>
          <w:tcPr>
            <w:tcW w:w="571" w:type="pct"/>
            <w:shd w:val="clear" w:color="auto" w:fill="auto"/>
            <w:noWrap/>
            <w:vAlign w:val="center"/>
          </w:tcPr>
          <w:p w14:paraId="196119D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91.29</w:t>
            </w:r>
          </w:p>
        </w:tc>
        <w:tc>
          <w:tcPr>
            <w:tcW w:w="527" w:type="pct"/>
            <w:shd w:val="clear" w:color="auto" w:fill="auto"/>
            <w:noWrap/>
            <w:vAlign w:val="center"/>
          </w:tcPr>
          <w:p w14:paraId="0D81990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4.60</w:t>
            </w:r>
          </w:p>
        </w:tc>
        <w:tc>
          <w:tcPr>
            <w:tcW w:w="527" w:type="pct"/>
            <w:shd w:val="clear" w:color="auto" w:fill="auto"/>
            <w:noWrap/>
            <w:vAlign w:val="center"/>
          </w:tcPr>
          <w:p w14:paraId="5C1C7EB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0.19</w:t>
            </w:r>
          </w:p>
        </w:tc>
        <w:tc>
          <w:tcPr>
            <w:tcW w:w="700" w:type="pct"/>
            <w:shd w:val="clear" w:color="auto" w:fill="auto"/>
            <w:noWrap/>
            <w:vAlign w:val="center"/>
          </w:tcPr>
          <w:p w14:paraId="20D97AD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0.03</w:t>
            </w:r>
          </w:p>
        </w:tc>
        <w:tc>
          <w:tcPr>
            <w:tcW w:w="527" w:type="pct"/>
            <w:shd w:val="clear" w:color="auto" w:fill="auto"/>
            <w:noWrap/>
            <w:vAlign w:val="center"/>
          </w:tcPr>
          <w:p w14:paraId="713221E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0.00</w:t>
            </w:r>
          </w:p>
        </w:tc>
      </w:tr>
      <w:tr w14:paraId="6266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7" w:type="pct"/>
            <w:shd w:val="clear" w:color="auto" w:fill="auto"/>
            <w:noWrap/>
            <w:vAlign w:val="center"/>
          </w:tcPr>
          <w:p w14:paraId="0423337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875" w:type="pct"/>
            <w:shd w:val="clear" w:color="auto" w:fill="auto"/>
            <w:noWrap/>
            <w:vAlign w:val="center"/>
          </w:tcPr>
          <w:p w14:paraId="7D8D048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新城街道</w:t>
            </w:r>
          </w:p>
        </w:tc>
        <w:tc>
          <w:tcPr>
            <w:tcW w:w="744" w:type="pct"/>
            <w:shd w:val="clear" w:color="auto" w:fill="auto"/>
            <w:noWrap/>
            <w:vAlign w:val="center"/>
          </w:tcPr>
          <w:p w14:paraId="6274AE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4.28 </w:t>
            </w:r>
          </w:p>
        </w:tc>
        <w:tc>
          <w:tcPr>
            <w:tcW w:w="571" w:type="pct"/>
            <w:shd w:val="clear" w:color="auto" w:fill="auto"/>
            <w:noWrap/>
            <w:vAlign w:val="center"/>
          </w:tcPr>
          <w:p w14:paraId="179AF3B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0.29 </w:t>
            </w:r>
          </w:p>
        </w:tc>
        <w:tc>
          <w:tcPr>
            <w:tcW w:w="527" w:type="pct"/>
            <w:shd w:val="clear" w:color="auto" w:fill="auto"/>
            <w:noWrap/>
            <w:vAlign w:val="center"/>
          </w:tcPr>
          <w:p w14:paraId="683E1AD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527" w:type="pct"/>
            <w:shd w:val="clear" w:color="auto" w:fill="auto"/>
            <w:noWrap/>
            <w:vAlign w:val="center"/>
          </w:tcPr>
          <w:p w14:paraId="07945FE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710C05A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2344FDA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057A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19113A2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875" w:type="pct"/>
            <w:shd w:val="clear" w:color="auto" w:fill="auto"/>
            <w:noWrap/>
            <w:vAlign w:val="center"/>
          </w:tcPr>
          <w:p w14:paraId="009BE60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西湖街道</w:t>
            </w:r>
          </w:p>
        </w:tc>
        <w:tc>
          <w:tcPr>
            <w:tcW w:w="744" w:type="pct"/>
            <w:shd w:val="clear" w:color="auto" w:fill="auto"/>
            <w:noWrap/>
            <w:vAlign w:val="center"/>
          </w:tcPr>
          <w:p w14:paraId="5736ED1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6.25 </w:t>
            </w:r>
          </w:p>
        </w:tc>
        <w:tc>
          <w:tcPr>
            <w:tcW w:w="571" w:type="pct"/>
            <w:shd w:val="clear" w:color="auto" w:fill="auto"/>
            <w:noWrap/>
            <w:vAlign w:val="center"/>
          </w:tcPr>
          <w:p w14:paraId="72DD1E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0.48 </w:t>
            </w:r>
          </w:p>
        </w:tc>
        <w:tc>
          <w:tcPr>
            <w:tcW w:w="527" w:type="pct"/>
            <w:shd w:val="clear" w:color="auto" w:fill="auto"/>
            <w:noWrap/>
            <w:vAlign w:val="center"/>
          </w:tcPr>
          <w:p w14:paraId="06B2165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527" w:type="pct"/>
            <w:shd w:val="clear" w:color="auto" w:fill="auto"/>
            <w:noWrap/>
            <w:vAlign w:val="center"/>
          </w:tcPr>
          <w:p w14:paraId="7B35A35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41E8925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6153377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4298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noWrap/>
            <w:vAlign w:val="center"/>
          </w:tcPr>
          <w:p w14:paraId="57216FC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875" w:type="pct"/>
            <w:shd w:val="clear" w:color="auto" w:fill="auto"/>
            <w:noWrap/>
            <w:vAlign w:val="center"/>
          </w:tcPr>
          <w:p w14:paraId="6050397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雷城街道</w:t>
            </w:r>
          </w:p>
        </w:tc>
        <w:tc>
          <w:tcPr>
            <w:tcW w:w="744" w:type="pct"/>
            <w:shd w:val="clear" w:color="auto" w:fill="auto"/>
            <w:noWrap/>
            <w:vAlign w:val="center"/>
          </w:tcPr>
          <w:p w14:paraId="3FEC02E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6.26 </w:t>
            </w:r>
          </w:p>
        </w:tc>
        <w:tc>
          <w:tcPr>
            <w:tcW w:w="571" w:type="pct"/>
            <w:shd w:val="clear" w:color="auto" w:fill="auto"/>
            <w:noWrap/>
            <w:vAlign w:val="center"/>
          </w:tcPr>
          <w:p w14:paraId="1B4D18B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527" w:type="pct"/>
            <w:shd w:val="clear" w:color="auto" w:fill="auto"/>
            <w:noWrap/>
            <w:vAlign w:val="center"/>
          </w:tcPr>
          <w:p w14:paraId="5A43D73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21ACE11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5F2E3C2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7641B1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599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4CC62CA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875" w:type="pct"/>
            <w:shd w:val="clear" w:color="auto" w:fill="auto"/>
            <w:noWrap/>
            <w:vAlign w:val="center"/>
          </w:tcPr>
          <w:p w14:paraId="074A40B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白沙镇</w:t>
            </w:r>
          </w:p>
        </w:tc>
        <w:tc>
          <w:tcPr>
            <w:tcW w:w="744" w:type="pct"/>
            <w:shd w:val="clear" w:color="auto" w:fill="auto"/>
            <w:noWrap/>
            <w:vAlign w:val="center"/>
          </w:tcPr>
          <w:p w14:paraId="5613D2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100.43 </w:t>
            </w:r>
          </w:p>
        </w:tc>
        <w:tc>
          <w:tcPr>
            <w:tcW w:w="571" w:type="pct"/>
            <w:shd w:val="clear" w:color="auto" w:fill="auto"/>
            <w:noWrap/>
            <w:vAlign w:val="center"/>
          </w:tcPr>
          <w:p w14:paraId="481DDA0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4.31 </w:t>
            </w:r>
          </w:p>
        </w:tc>
        <w:tc>
          <w:tcPr>
            <w:tcW w:w="527" w:type="pct"/>
            <w:shd w:val="clear" w:color="auto" w:fill="auto"/>
            <w:noWrap/>
            <w:vAlign w:val="center"/>
          </w:tcPr>
          <w:p w14:paraId="6104C0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0.37 </w:t>
            </w:r>
          </w:p>
        </w:tc>
        <w:tc>
          <w:tcPr>
            <w:tcW w:w="527" w:type="pct"/>
            <w:shd w:val="clear" w:color="auto" w:fill="auto"/>
            <w:noWrap/>
            <w:vAlign w:val="center"/>
          </w:tcPr>
          <w:p w14:paraId="1E36616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4B39667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0858A39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4CD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0014631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875" w:type="pct"/>
            <w:shd w:val="clear" w:color="auto" w:fill="auto"/>
            <w:noWrap/>
            <w:vAlign w:val="center"/>
          </w:tcPr>
          <w:p w14:paraId="65BE80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北和镇</w:t>
            </w:r>
          </w:p>
        </w:tc>
        <w:tc>
          <w:tcPr>
            <w:tcW w:w="744" w:type="pct"/>
            <w:shd w:val="clear" w:color="auto" w:fill="auto"/>
            <w:noWrap/>
            <w:vAlign w:val="center"/>
          </w:tcPr>
          <w:p w14:paraId="21AB013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163.11 </w:t>
            </w:r>
          </w:p>
        </w:tc>
        <w:tc>
          <w:tcPr>
            <w:tcW w:w="571" w:type="pct"/>
            <w:shd w:val="clear" w:color="auto" w:fill="auto"/>
            <w:noWrap/>
            <w:vAlign w:val="center"/>
          </w:tcPr>
          <w:p w14:paraId="0A99ECA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3.92 </w:t>
            </w:r>
          </w:p>
        </w:tc>
        <w:tc>
          <w:tcPr>
            <w:tcW w:w="527" w:type="pct"/>
            <w:shd w:val="clear" w:color="auto" w:fill="auto"/>
            <w:noWrap/>
            <w:vAlign w:val="center"/>
          </w:tcPr>
          <w:p w14:paraId="1A398D4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0.33 </w:t>
            </w:r>
          </w:p>
        </w:tc>
        <w:tc>
          <w:tcPr>
            <w:tcW w:w="527" w:type="pct"/>
            <w:shd w:val="clear" w:color="auto" w:fill="auto"/>
            <w:noWrap/>
            <w:vAlign w:val="center"/>
          </w:tcPr>
          <w:p w14:paraId="58A901B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700" w:type="pct"/>
            <w:shd w:val="clear" w:color="auto" w:fill="auto"/>
            <w:noWrap/>
            <w:vAlign w:val="center"/>
          </w:tcPr>
          <w:p w14:paraId="39F741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132B140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1D57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553DCF9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6</w:t>
            </w:r>
          </w:p>
        </w:tc>
        <w:tc>
          <w:tcPr>
            <w:tcW w:w="875" w:type="pct"/>
            <w:shd w:val="clear" w:color="auto" w:fill="auto"/>
            <w:noWrap/>
            <w:vAlign w:val="center"/>
          </w:tcPr>
          <w:p w14:paraId="05619F7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调风镇</w:t>
            </w:r>
          </w:p>
        </w:tc>
        <w:tc>
          <w:tcPr>
            <w:tcW w:w="744" w:type="pct"/>
            <w:shd w:val="clear" w:color="auto" w:fill="auto"/>
            <w:noWrap/>
            <w:vAlign w:val="center"/>
          </w:tcPr>
          <w:p w14:paraId="53E39CF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254.87 </w:t>
            </w:r>
          </w:p>
        </w:tc>
        <w:tc>
          <w:tcPr>
            <w:tcW w:w="571" w:type="pct"/>
            <w:shd w:val="clear" w:color="auto" w:fill="auto"/>
            <w:noWrap/>
            <w:vAlign w:val="center"/>
          </w:tcPr>
          <w:p w14:paraId="1D56D4A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16.34 </w:t>
            </w:r>
          </w:p>
        </w:tc>
        <w:tc>
          <w:tcPr>
            <w:tcW w:w="527" w:type="pct"/>
            <w:shd w:val="clear" w:color="auto" w:fill="auto"/>
            <w:noWrap/>
            <w:vAlign w:val="center"/>
          </w:tcPr>
          <w:p w14:paraId="7F2103B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0.87 </w:t>
            </w:r>
          </w:p>
        </w:tc>
        <w:tc>
          <w:tcPr>
            <w:tcW w:w="527" w:type="pct"/>
            <w:shd w:val="clear" w:color="auto" w:fill="auto"/>
            <w:noWrap/>
            <w:vAlign w:val="center"/>
          </w:tcPr>
          <w:p w14:paraId="0349166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0.04 </w:t>
            </w:r>
          </w:p>
        </w:tc>
        <w:tc>
          <w:tcPr>
            <w:tcW w:w="700" w:type="pct"/>
            <w:shd w:val="clear" w:color="auto" w:fill="auto"/>
            <w:noWrap/>
            <w:vAlign w:val="center"/>
          </w:tcPr>
          <w:p w14:paraId="445524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45A4107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9C6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5234359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7</w:t>
            </w:r>
          </w:p>
        </w:tc>
        <w:tc>
          <w:tcPr>
            <w:tcW w:w="875" w:type="pct"/>
            <w:shd w:val="clear" w:color="auto" w:fill="auto"/>
            <w:noWrap/>
            <w:vAlign w:val="center"/>
          </w:tcPr>
          <w:p w14:paraId="42BEA91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东里镇</w:t>
            </w:r>
          </w:p>
        </w:tc>
        <w:tc>
          <w:tcPr>
            <w:tcW w:w="744" w:type="pct"/>
            <w:shd w:val="clear" w:color="auto" w:fill="auto"/>
            <w:noWrap/>
            <w:vAlign w:val="center"/>
          </w:tcPr>
          <w:p w14:paraId="4E88CB0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85.22 </w:t>
            </w:r>
          </w:p>
        </w:tc>
        <w:tc>
          <w:tcPr>
            <w:tcW w:w="571" w:type="pct"/>
            <w:shd w:val="clear" w:color="auto" w:fill="auto"/>
            <w:noWrap/>
            <w:vAlign w:val="center"/>
          </w:tcPr>
          <w:p w14:paraId="323C42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0.66 </w:t>
            </w:r>
          </w:p>
        </w:tc>
        <w:tc>
          <w:tcPr>
            <w:tcW w:w="527" w:type="pct"/>
            <w:shd w:val="clear" w:color="auto" w:fill="auto"/>
            <w:noWrap/>
            <w:vAlign w:val="center"/>
          </w:tcPr>
          <w:p w14:paraId="09940C7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527" w:type="pct"/>
            <w:shd w:val="clear" w:color="auto" w:fill="auto"/>
            <w:noWrap/>
            <w:vAlign w:val="center"/>
          </w:tcPr>
          <w:p w14:paraId="0B758C2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67266F9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28BB102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165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335DB34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8</w:t>
            </w:r>
          </w:p>
        </w:tc>
        <w:tc>
          <w:tcPr>
            <w:tcW w:w="875" w:type="pct"/>
            <w:shd w:val="clear" w:color="auto" w:fill="auto"/>
            <w:noWrap/>
            <w:vAlign w:val="center"/>
          </w:tcPr>
          <w:p w14:paraId="060AB3E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附城镇</w:t>
            </w:r>
          </w:p>
        </w:tc>
        <w:tc>
          <w:tcPr>
            <w:tcW w:w="744" w:type="pct"/>
            <w:shd w:val="clear" w:color="auto" w:fill="auto"/>
            <w:noWrap/>
            <w:vAlign w:val="center"/>
          </w:tcPr>
          <w:p w14:paraId="122F1FD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94.83 </w:t>
            </w:r>
          </w:p>
        </w:tc>
        <w:tc>
          <w:tcPr>
            <w:tcW w:w="571" w:type="pct"/>
            <w:shd w:val="clear" w:color="auto" w:fill="auto"/>
            <w:noWrap/>
            <w:vAlign w:val="center"/>
          </w:tcPr>
          <w:p w14:paraId="2608809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2.86 </w:t>
            </w:r>
          </w:p>
        </w:tc>
        <w:tc>
          <w:tcPr>
            <w:tcW w:w="527" w:type="pct"/>
            <w:shd w:val="clear" w:color="auto" w:fill="auto"/>
            <w:noWrap/>
            <w:vAlign w:val="center"/>
          </w:tcPr>
          <w:p w14:paraId="3A32F05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0.06 </w:t>
            </w:r>
          </w:p>
        </w:tc>
        <w:tc>
          <w:tcPr>
            <w:tcW w:w="527" w:type="pct"/>
            <w:shd w:val="clear" w:color="auto" w:fill="auto"/>
            <w:noWrap/>
            <w:vAlign w:val="center"/>
          </w:tcPr>
          <w:p w14:paraId="765929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51986C1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3AEDDA1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968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noWrap/>
            <w:vAlign w:val="center"/>
          </w:tcPr>
          <w:p w14:paraId="13DE5F3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9</w:t>
            </w:r>
          </w:p>
        </w:tc>
        <w:tc>
          <w:tcPr>
            <w:tcW w:w="875" w:type="pct"/>
            <w:shd w:val="clear" w:color="auto" w:fill="auto"/>
            <w:noWrap/>
            <w:vAlign w:val="center"/>
          </w:tcPr>
          <w:p w14:paraId="3FD0BC5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纪家镇</w:t>
            </w:r>
          </w:p>
        </w:tc>
        <w:tc>
          <w:tcPr>
            <w:tcW w:w="744" w:type="pct"/>
            <w:shd w:val="clear" w:color="auto" w:fill="auto"/>
            <w:noWrap/>
            <w:vAlign w:val="center"/>
          </w:tcPr>
          <w:p w14:paraId="42DB774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282.42 </w:t>
            </w:r>
          </w:p>
        </w:tc>
        <w:tc>
          <w:tcPr>
            <w:tcW w:w="571" w:type="pct"/>
            <w:shd w:val="clear" w:color="auto" w:fill="auto"/>
            <w:noWrap/>
            <w:vAlign w:val="center"/>
          </w:tcPr>
          <w:p w14:paraId="74F518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2.78 </w:t>
            </w:r>
          </w:p>
        </w:tc>
        <w:tc>
          <w:tcPr>
            <w:tcW w:w="527" w:type="pct"/>
            <w:shd w:val="clear" w:color="auto" w:fill="auto"/>
            <w:noWrap/>
            <w:vAlign w:val="center"/>
          </w:tcPr>
          <w:p w14:paraId="144FE69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0.16 </w:t>
            </w:r>
          </w:p>
        </w:tc>
        <w:tc>
          <w:tcPr>
            <w:tcW w:w="527" w:type="pct"/>
            <w:shd w:val="clear" w:color="auto" w:fill="auto"/>
            <w:noWrap/>
            <w:vAlign w:val="center"/>
          </w:tcPr>
          <w:p w14:paraId="2622F3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700" w:type="pct"/>
            <w:shd w:val="clear" w:color="auto" w:fill="auto"/>
            <w:noWrap/>
            <w:vAlign w:val="center"/>
          </w:tcPr>
          <w:p w14:paraId="6E75D82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1295D14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271C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noWrap/>
            <w:vAlign w:val="center"/>
          </w:tcPr>
          <w:p w14:paraId="11736D4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10</w:t>
            </w:r>
          </w:p>
        </w:tc>
        <w:tc>
          <w:tcPr>
            <w:tcW w:w="875" w:type="pct"/>
            <w:shd w:val="clear" w:color="auto" w:fill="auto"/>
            <w:noWrap/>
            <w:vAlign w:val="center"/>
          </w:tcPr>
          <w:p w14:paraId="1137BB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客路镇</w:t>
            </w:r>
          </w:p>
        </w:tc>
        <w:tc>
          <w:tcPr>
            <w:tcW w:w="744" w:type="pct"/>
            <w:shd w:val="clear" w:color="auto" w:fill="auto"/>
            <w:noWrap/>
            <w:vAlign w:val="center"/>
          </w:tcPr>
          <w:p w14:paraId="465C1C8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296.78 </w:t>
            </w:r>
          </w:p>
        </w:tc>
        <w:tc>
          <w:tcPr>
            <w:tcW w:w="571" w:type="pct"/>
            <w:shd w:val="clear" w:color="auto" w:fill="auto"/>
            <w:noWrap/>
            <w:vAlign w:val="center"/>
          </w:tcPr>
          <w:p w14:paraId="59E8401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5.65 </w:t>
            </w:r>
          </w:p>
        </w:tc>
        <w:tc>
          <w:tcPr>
            <w:tcW w:w="527" w:type="pct"/>
            <w:shd w:val="clear" w:color="auto" w:fill="auto"/>
            <w:noWrap/>
            <w:vAlign w:val="center"/>
          </w:tcPr>
          <w:p w14:paraId="75E6A84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0.18 </w:t>
            </w:r>
          </w:p>
        </w:tc>
        <w:tc>
          <w:tcPr>
            <w:tcW w:w="527" w:type="pct"/>
            <w:shd w:val="clear" w:color="auto" w:fill="auto"/>
            <w:noWrap/>
            <w:vAlign w:val="center"/>
          </w:tcPr>
          <w:p w14:paraId="4D764A8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52836DF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253E39D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AF5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2A645E3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11</w:t>
            </w:r>
          </w:p>
        </w:tc>
        <w:tc>
          <w:tcPr>
            <w:tcW w:w="875" w:type="pct"/>
            <w:shd w:val="clear" w:color="auto" w:fill="auto"/>
            <w:noWrap/>
            <w:vAlign w:val="center"/>
          </w:tcPr>
          <w:p w14:paraId="7656F1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雷高镇</w:t>
            </w:r>
          </w:p>
        </w:tc>
        <w:tc>
          <w:tcPr>
            <w:tcW w:w="744" w:type="pct"/>
            <w:shd w:val="clear" w:color="auto" w:fill="auto"/>
            <w:noWrap/>
            <w:vAlign w:val="center"/>
          </w:tcPr>
          <w:p w14:paraId="3AFE363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150.94 </w:t>
            </w:r>
          </w:p>
        </w:tc>
        <w:tc>
          <w:tcPr>
            <w:tcW w:w="571" w:type="pct"/>
            <w:shd w:val="clear" w:color="auto" w:fill="auto"/>
            <w:noWrap/>
            <w:vAlign w:val="center"/>
          </w:tcPr>
          <w:p w14:paraId="332FE97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2.29 </w:t>
            </w:r>
          </w:p>
        </w:tc>
        <w:tc>
          <w:tcPr>
            <w:tcW w:w="527" w:type="pct"/>
            <w:shd w:val="clear" w:color="auto" w:fill="auto"/>
            <w:noWrap/>
            <w:vAlign w:val="center"/>
          </w:tcPr>
          <w:p w14:paraId="6F274B4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0.06 </w:t>
            </w:r>
          </w:p>
        </w:tc>
        <w:tc>
          <w:tcPr>
            <w:tcW w:w="527" w:type="pct"/>
            <w:shd w:val="clear" w:color="auto" w:fill="auto"/>
            <w:noWrap/>
            <w:vAlign w:val="center"/>
          </w:tcPr>
          <w:p w14:paraId="73B9EC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5F4B124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59126AA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66C5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2651406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12</w:t>
            </w:r>
          </w:p>
        </w:tc>
        <w:tc>
          <w:tcPr>
            <w:tcW w:w="875" w:type="pct"/>
            <w:shd w:val="clear" w:color="auto" w:fill="auto"/>
            <w:noWrap/>
            <w:vAlign w:val="center"/>
          </w:tcPr>
          <w:p w14:paraId="7D757BE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龙门镇</w:t>
            </w:r>
          </w:p>
        </w:tc>
        <w:tc>
          <w:tcPr>
            <w:tcW w:w="744" w:type="pct"/>
            <w:shd w:val="clear" w:color="auto" w:fill="auto"/>
            <w:noWrap/>
            <w:vAlign w:val="center"/>
          </w:tcPr>
          <w:p w14:paraId="5413ACE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310.69 </w:t>
            </w:r>
          </w:p>
        </w:tc>
        <w:tc>
          <w:tcPr>
            <w:tcW w:w="571" w:type="pct"/>
            <w:shd w:val="clear" w:color="auto" w:fill="auto"/>
            <w:noWrap/>
            <w:vAlign w:val="center"/>
          </w:tcPr>
          <w:p w14:paraId="6919553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13.10 </w:t>
            </w:r>
          </w:p>
        </w:tc>
        <w:tc>
          <w:tcPr>
            <w:tcW w:w="527" w:type="pct"/>
            <w:shd w:val="clear" w:color="auto" w:fill="auto"/>
            <w:noWrap/>
            <w:vAlign w:val="center"/>
          </w:tcPr>
          <w:p w14:paraId="355374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0.76 </w:t>
            </w:r>
          </w:p>
        </w:tc>
        <w:tc>
          <w:tcPr>
            <w:tcW w:w="527" w:type="pct"/>
            <w:shd w:val="clear" w:color="auto" w:fill="auto"/>
            <w:noWrap/>
            <w:vAlign w:val="center"/>
          </w:tcPr>
          <w:p w14:paraId="15161DF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700" w:type="pct"/>
            <w:shd w:val="clear" w:color="auto" w:fill="auto"/>
            <w:noWrap/>
            <w:vAlign w:val="center"/>
          </w:tcPr>
          <w:p w14:paraId="678AAB7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73F7E29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429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2A6FFDF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13</w:t>
            </w:r>
          </w:p>
        </w:tc>
        <w:tc>
          <w:tcPr>
            <w:tcW w:w="875" w:type="pct"/>
            <w:shd w:val="clear" w:color="auto" w:fill="auto"/>
            <w:noWrap/>
            <w:vAlign w:val="center"/>
          </w:tcPr>
          <w:p w14:paraId="6516528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南兴镇</w:t>
            </w:r>
          </w:p>
        </w:tc>
        <w:tc>
          <w:tcPr>
            <w:tcW w:w="744" w:type="pct"/>
            <w:shd w:val="clear" w:color="auto" w:fill="auto"/>
            <w:noWrap/>
            <w:vAlign w:val="center"/>
          </w:tcPr>
          <w:p w14:paraId="1F41CB6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127.75 </w:t>
            </w:r>
          </w:p>
        </w:tc>
        <w:tc>
          <w:tcPr>
            <w:tcW w:w="571" w:type="pct"/>
            <w:shd w:val="clear" w:color="auto" w:fill="auto"/>
            <w:noWrap/>
            <w:vAlign w:val="center"/>
          </w:tcPr>
          <w:p w14:paraId="6C17699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3.67 </w:t>
            </w:r>
          </w:p>
        </w:tc>
        <w:tc>
          <w:tcPr>
            <w:tcW w:w="527" w:type="pct"/>
            <w:shd w:val="clear" w:color="auto" w:fill="auto"/>
            <w:noWrap/>
            <w:vAlign w:val="center"/>
          </w:tcPr>
          <w:p w14:paraId="64FEF09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0.18 </w:t>
            </w:r>
          </w:p>
        </w:tc>
        <w:tc>
          <w:tcPr>
            <w:tcW w:w="527" w:type="pct"/>
            <w:shd w:val="clear" w:color="auto" w:fill="auto"/>
            <w:noWrap/>
            <w:vAlign w:val="center"/>
          </w:tcPr>
          <w:p w14:paraId="776415D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1120280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22B35A5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D05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4982B81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14</w:t>
            </w:r>
          </w:p>
        </w:tc>
        <w:tc>
          <w:tcPr>
            <w:tcW w:w="875" w:type="pct"/>
            <w:shd w:val="clear" w:color="auto" w:fill="auto"/>
            <w:noWrap/>
            <w:vAlign w:val="center"/>
          </w:tcPr>
          <w:p w14:paraId="4F0696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企水镇</w:t>
            </w:r>
          </w:p>
        </w:tc>
        <w:tc>
          <w:tcPr>
            <w:tcW w:w="744" w:type="pct"/>
            <w:shd w:val="clear" w:color="auto" w:fill="auto"/>
            <w:noWrap/>
            <w:vAlign w:val="center"/>
          </w:tcPr>
          <w:p w14:paraId="34DBEBD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82.75 </w:t>
            </w:r>
          </w:p>
        </w:tc>
        <w:tc>
          <w:tcPr>
            <w:tcW w:w="571" w:type="pct"/>
            <w:shd w:val="clear" w:color="auto" w:fill="auto"/>
            <w:noWrap/>
            <w:vAlign w:val="center"/>
          </w:tcPr>
          <w:p w14:paraId="6745AD7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2.58 </w:t>
            </w:r>
          </w:p>
        </w:tc>
        <w:tc>
          <w:tcPr>
            <w:tcW w:w="527" w:type="pct"/>
            <w:shd w:val="clear" w:color="auto" w:fill="auto"/>
            <w:noWrap/>
            <w:vAlign w:val="center"/>
          </w:tcPr>
          <w:p w14:paraId="3B38968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0.22 </w:t>
            </w:r>
          </w:p>
        </w:tc>
        <w:tc>
          <w:tcPr>
            <w:tcW w:w="527" w:type="pct"/>
            <w:shd w:val="clear" w:color="auto" w:fill="auto"/>
            <w:noWrap/>
            <w:vAlign w:val="center"/>
          </w:tcPr>
          <w:p w14:paraId="34E52A6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0.04 </w:t>
            </w:r>
          </w:p>
        </w:tc>
        <w:tc>
          <w:tcPr>
            <w:tcW w:w="700" w:type="pct"/>
            <w:shd w:val="clear" w:color="auto" w:fill="auto"/>
            <w:noWrap/>
            <w:vAlign w:val="center"/>
          </w:tcPr>
          <w:p w14:paraId="667EF97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527" w:type="pct"/>
            <w:shd w:val="clear" w:color="auto" w:fill="auto"/>
            <w:noWrap/>
            <w:vAlign w:val="center"/>
          </w:tcPr>
          <w:p w14:paraId="2882329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3BD8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noWrap/>
            <w:vAlign w:val="center"/>
          </w:tcPr>
          <w:p w14:paraId="15D5230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15</w:t>
            </w:r>
          </w:p>
        </w:tc>
        <w:tc>
          <w:tcPr>
            <w:tcW w:w="875" w:type="pct"/>
            <w:shd w:val="clear" w:color="auto" w:fill="auto"/>
            <w:noWrap/>
            <w:vAlign w:val="center"/>
          </w:tcPr>
          <w:p w14:paraId="4E065A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沈塘镇</w:t>
            </w:r>
          </w:p>
        </w:tc>
        <w:tc>
          <w:tcPr>
            <w:tcW w:w="744" w:type="pct"/>
            <w:shd w:val="clear" w:color="auto" w:fill="auto"/>
            <w:noWrap/>
            <w:vAlign w:val="center"/>
          </w:tcPr>
          <w:p w14:paraId="37D08CC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52.16 </w:t>
            </w:r>
          </w:p>
        </w:tc>
        <w:tc>
          <w:tcPr>
            <w:tcW w:w="571" w:type="pct"/>
            <w:shd w:val="clear" w:color="auto" w:fill="auto"/>
            <w:noWrap/>
            <w:vAlign w:val="center"/>
          </w:tcPr>
          <w:p w14:paraId="026BE53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2.39 </w:t>
            </w:r>
          </w:p>
        </w:tc>
        <w:tc>
          <w:tcPr>
            <w:tcW w:w="527" w:type="pct"/>
            <w:shd w:val="clear" w:color="auto" w:fill="auto"/>
            <w:noWrap/>
            <w:vAlign w:val="center"/>
          </w:tcPr>
          <w:p w14:paraId="3E9C700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527" w:type="pct"/>
            <w:shd w:val="clear" w:color="auto" w:fill="auto"/>
            <w:noWrap/>
            <w:vAlign w:val="center"/>
          </w:tcPr>
          <w:p w14:paraId="3F8988B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002C8D5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4C6DAD1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2D7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shd w:val="clear" w:color="auto" w:fill="auto"/>
            <w:noWrap/>
            <w:vAlign w:val="center"/>
          </w:tcPr>
          <w:p w14:paraId="4E7B71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16</w:t>
            </w:r>
          </w:p>
        </w:tc>
        <w:tc>
          <w:tcPr>
            <w:tcW w:w="875" w:type="pct"/>
            <w:shd w:val="clear" w:color="auto" w:fill="auto"/>
            <w:noWrap/>
            <w:vAlign w:val="center"/>
          </w:tcPr>
          <w:p w14:paraId="184A08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松竹镇</w:t>
            </w:r>
          </w:p>
        </w:tc>
        <w:tc>
          <w:tcPr>
            <w:tcW w:w="744" w:type="pct"/>
            <w:shd w:val="clear" w:color="auto" w:fill="auto"/>
            <w:noWrap/>
            <w:vAlign w:val="center"/>
          </w:tcPr>
          <w:p w14:paraId="2C9970C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57.82 </w:t>
            </w:r>
          </w:p>
        </w:tc>
        <w:tc>
          <w:tcPr>
            <w:tcW w:w="571" w:type="pct"/>
            <w:shd w:val="clear" w:color="auto" w:fill="auto"/>
            <w:noWrap/>
            <w:vAlign w:val="center"/>
          </w:tcPr>
          <w:p w14:paraId="5046213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0.58 </w:t>
            </w:r>
          </w:p>
        </w:tc>
        <w:tc>
          <w:tcPr>
            <w:tcW w:w="527" w:type="pct"/>
            <w:shd w:val="clear" w:color="auto" w:fill="auto"/>
            <w:noWrap/>
            <w:vAlign w:val="center"/>
          </w:tcPr>
          <w:p w14:paraId="77BA3E1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7B10409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205B402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1B41FE8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6E84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123F6AA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17</w:t>
            </w:r>
          </w:p>
        </w:tc>
        <w:tc>
          <w:tcPr>
            <w:tcW w:w="875" w:type="pct"/>
            <w:shd w:val="clear" w:color="auto" w:fill="auto"/>
            <w:noWrap/>
            <w:vAlign w:val="center"/>
          </w:tcPr>
          <w:p w14:paraId="4B74D7B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覃斗镇</w:t>
            </w:r>
          </w:p>
        </w:tc>
        <w:tc>
          <w:tcPr>
            <w:tcW w:w="744" w:type="pct"/>
            <w:shd w:val="clear" w:color="auto" w:fill="auto"/>
            <w:noWrap/>
            <w:vAlign w:val="center"/>
          </w:tcPr>
          <w:p w14:paraId="5963792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75.57 </w:t>
            </w:r>
          </w:p>
        </w:tc>
        <w:tc>
          <w:tcPr>
            <w:tcW w:w="571" w:type="pct"/>
            <w:shd w:val="clear" w:color="auto" w:fill="auto"/>
            <w:noWrap/>
            <w:vAlign w:val="center"/>
          </w:tcPr>
          <w:p w14:paraId="5CE7D1C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1.23 </w:t>
            </w:r>
          </w:p>
        </w:tc>
        <w:tc>
          <w:tcPr>
            <w:tcW w:w="527" w:type="pct"/>
            <w:shd w:val="clear" w:color="auto" w:fill="auto"/>
            <w:noWrap/>
            <w:vAlign w:val="center"/>
          </w:tcPr>
          <w:p w14:paraId="1428BE8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0.07 </w:t>
            </w:r>
          </w:p>
        </w:tc>
        <w:tc>
          <w:tcPr>
            <w:tcW w:w="527" w:type="pct"/>
            <w:shd w:val="clear" w:color="auto" w:fill="auto"/>
            <w:noWrap/>
            <w:vAlign w:val="center"/>
          </w:tcPr>
          <w:p w14:paraId="7F8A437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700" w:type="pct"/>
            <w:shd w:val="clear" w:color="auto" w:fill="auto"/>
            <w:noWrap/>
            <w:vAlign w:val="center"/>
          </w:tcPr>
          <w:p w14:paraId="62E1813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74035A4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2ECD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361274A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18</w:t>
            </w:r>
          </w:p>
        </w:tc>
        <w:tc>
          <w:tcPr>
            <w:tcW w:w="875" w:type="pct"/>
            <w:shd w:val="clear" w:color="auto" w:fill="auto"/>
            <w:noWrap/>
            <w:vAlign w:val="center"/>
          </w:tcPr>
          <w:p w14:paraId="7114579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唐家镇</w:t>
            </w:r>
          </w:p>
        </w:tc>
        <w:tc>
          <w:tcPr>
            <w:tcW w:w="744" w:type="pct"/>
            <w:shd w:val="clear" w:color="auto" w:fill="auto"/>
            <w:noWrap/>
            <w:vAlign w:val="center"/>
          </w:tcPr>
          <w:p w14:paraId="1831A18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219.68 </w:t>
            </w:r>
          </w:p>
        </w:tc>
        <w:tc>
          <w:tcPr>
            <w:tcW w:w="571" w:type="pct"/>
            <w:shd w:val="clear" w:color="auto" w:fill="auto"/>
            <w:noWrap/>
            <w:vAlign w:val="center"/>
          </w:tcPr>
          <w:p w14:paraId="0F81843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9.04 </w:t>
            </w:r>
          </w:p>
        </w:tc>
        <w:tc>
          <w:tcPr>
            <w:tcW w:w="527" w:type="pct"/>
            <w:shd w:val="clear" w:color="auto" w:fill="auto"/>
            <w:noWrap/>
            <w:vAlign w:val="center"/>
          </w:tcPr>
          <w:p w14:paraId="15F3A95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0.45 </w:t>
            </w:r>
          </w:p>
        </w:tc>
        <w:tc>
          <w:tcPr>
            <w:tcW w:w="527" w:type="pct"/>
            <w:shd w:val="clear" w:color="auto" w:fill="auto"/>
            <w:noWrap/>
            <w:vAlign w:val="center"/>
          </w:tcPr>
          <w:p w14:paraId="1598882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0.02 </w:t>
            </w:r>
          </w:p>
        </w:tc>
        <w:tc>
          <w:tcPr>
            <w:tcW w:w="700" w:type="pct"/>
            <w:shd w:val="clear" w:color="auto" w:fill="auto"/>
            <w:noWrap/>
            <w:vAlign w:val="center"/>
          </w:tcPr>
          <w:p w14:paraId="189275A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6354824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212D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535DAD5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19</w:t>
            </w:r>
          </w:p>
        </w:tc>
        <w:tc>
          <w:tcPr>
            <w:tcW w:w="875" w:type="pct"/>
            <w:shd w:val="clear" w:color="auto" w:fill="auto"/>
            <w:noWrap/>
            <w:vAlign w:val="center"/>
          </w:tcPr>
          <w:p w14:paraId="719CB70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乌石镇</w:t>
            </w:r>
          </w:p>
        </w:tc>
        <w:tc>
          <w:tcPr>
            <w:tcW w:w="744" w:type="pct"/>
            <w:shd w:val="clear" w:color="auto" w:fill="auto"/>
            <w:noWrap/>
            <w:vAlign w:val="center"/>
          </w:tcPr>
          <w:p w14:paraId="7383A60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90.34 </w:t>
            </w:r>
          </w:p>
        </w:tc>
        <w:tc>
          <w:tcPr>
            <w:tcW w:w="571" w:type="pct"/>
            <w:shd w:val="clear" w:color="auto" w:fill="auto"/>
            <w:noWrap/>
            <w:vAlign w:val="center"/>
          </w:tcPr>
          <w:p w14:paraId="2EE5817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1.33 </w:t>
            </w:r>
          </w:p>
        </w:tc>
        <w:tc>
          <w:tcPr>
            <w:tcW w:w="527" w:type="pct"/>
            <w:shd w:val="clear" w:color="auto" w:fill="auto"/>
            <w:noWrap/>
            <w:vAlign w:val="center"/>
          </w:tcPr>
          <w:p w14:paraId="6DF533B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0.05 </w:t>
            </w:r>
          </w:p>
        </w:tc>
        <w:tc>
          <w:tcPr>
            <w:tcW w:w="527" w:type="pct"/>
            <w:shd w:val="clear" w:color="auto" w:fill="auto"/>
            <w:noWrap/>
            <w:vAlign w:val="center"/>
          </w:tcPr>
          <w:p w14:paraId="28A08EB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700" w:type="pct"/>
            <w:shd w:val="clear" w:color="auto" w:fill="auto"/>
            <w:noWrap/>
            <w:vAlign w:val="center"/>
          </w:tcPr>
          <w:p w14:paraId="7D1817F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0CFE282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75C1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7E9A75B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20</w:t>
            </w:r>
          </w:p>
        </w:tc>
        <w:tc>
          <w:tcPr>
            <w:tcW w:w="875" w:type="pct"/>
            <w:shd w:val="clear" w:color="auto" w:fill="auto"/>
            <w:noWrap/>
            <w:vAlign w:val="center"/>
          </w:tcPr>
          <w:p w14:paraId="7513FD8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杨家镇</w:t>
            </w:r>
          </w:p>
        </w:tc>
        <w:tc>
          <w:tcPr>
            <w:tcW w:w="744" w:type="pct"/>
            <w:shd w:val="clear" w:color="auto" w:fill="auto"/>
            <w:noWrap/>
            <w:vAlign w:val="center"/>
          </w:tcPr>
          <w:p w14:paraId="1F38349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182.49 </w:t>
            </w:r>
          </w:p>
        </w:tc>
        <w:tc>
          <w:tcPr>
            <w:tcW w:w="571" w:type="pct"/>
            <w:shd w:val="clear" w:color="auto" w:fill="auto"/>
            <w:noWrap/>
            <w:vAlign w:val="center"/>
          </w:tcPr>
          <w:p w14:paraId="77928F8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6.57 </w:t>
            </w:r>
          </w:p>
        </w:tc>
        <w:tc>
          <w:tcPr>
            <w:tcW w:w="527" w:type="pct"/>
            <w:shd w:val="clear" w:color="auto" w:fill="auto"/>
            <w:noWrap/>
            <w:vAlign w:val="center"/>
          </w:tcPr>
          <w:p w14:paraId="371B03F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0.27 </w:t>
            </w:r>
          </w:p>
        </w:tc>
        <w:tc>
          <w:tcPr>
            <w:tcW w:w="527" w:type="pct"/>
            <w:shd w:val="clear" w:color="auto" w:fill="auto"/>
            <w:noWrap/>
            <w:vAlign w:val="center"/>
          </w:tcPr>
          <w:p w14:paraId="32A3B6A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700" w:type="pct"/>
            <w:shd w:val="clear" w:color="auto" w:fill="auto"/>
            <w:noWrap/>
            <w:vAlign w:val="center"/>
          </w:tcPr>
          <w:p w14:paraId="1EAC163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58875C1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r w14:paraId="02AD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27" w:type="pct"/>
            <w:shd w:val="clear" w:color="auto" w:fill="auto"/>
            <w:noWrap/>
            <w:vAlign w:val="center"/>
          </w:tcPr>
          <w:p w14:paraId="19ED69E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21</w:t>
            </w:r>
          </w:p>
        </w:tc>
        <w:tc>
          <w:tcPr>
            <w:tcW w:w="875" w:type="pct"/>
            <w:shd w:val="clear" w:color="auto" w:fill="auto"/>
            <w:noWrap/>
            <w:vAlign w:val="center"/>
          </w:tcPr>
          <w:p w14:paraId="3CEE3A7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英利镇</w:t>
            </w:r>
          </w:p>
        </w:tc>
        <w:tc>
          <w:tcPr>
            <w:tcW w:w="744" w:type="pct"/>
            <w:shd w:val="clear" w:color="auto" w:fill="auto"/>
            <w:noWrap/>
            <w:vAlign w:val="center"/>
          </w:tcPr>
          <w:p w14:paraId="212C36E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284.23 </w:t>
            </w:r>
          </w:p>
        </w:tc>
        <w:tc>
          <w:tcPr>
            <w:tcW w:w="571" w:type="pct"/>
            <w:shd w:val="clear" w:color="auto" w:fill="auto"/>
            <w:noWrap/>
            <w:vAlign w:val="center"/>
          </w:tcPr>
          <w:p w14:paraId="5F77BF3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11.21 </w:t>
            </w:r>
          </w:p>
        </w:tc>
        <w:tc>
          <w:tcPr>
            <w:tcW w:w="527" w:type="pct"/>
            <w:shd w:val="clear" w:color="auto" w:fill="auto"/>
            <w:noWrap/>
            <w:vAlign w:val="center"/>
          </w:tcPr>
          <w:p w14:paraId="20CA6B5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0.49 </w:t>
            </w:r>
          </w:p>
        </w:tc>
        <w:tc>
          <w:tcPr>
            <w:tcW w:w="527" w:type="pct"/>
            <w:shd w:val="clear" w:color="auto" w:fill="auto"/>
            <w:noWrap/>
            <w:vAlign w:val="center"/>
          </w:tcPr>
          <w:p w14:paraId="44D1F359">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700" w:type="pct"/>
            <w:shd w:val="clear" w:color="auto" w:fill="auto"/>
            <w:noWrap/>
            <w:vAlign w:val="center"/>
          </w:tcPr>
          <w:p w14:paraId="329324E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527" w:type="pct"/>
            <w:shd w:val="clear" w:color="auto" w:fill="auto"/>
            <w:noWrap/>
            <w:vAlign w:val="center"/>
          </w:tcPr>
          <w:p w14:paraId="125BFB7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r>
    </w:tbl>
    <w:p w14:paraId="064F23DB">
      <w:pPr>
        <w:pStyle w:val="8"/>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sz w:val="21"/>
          <w:szCs w:val="21"/>
          <w:vertAlign w:val="superscript"/>
          <w:lang w:val="en-US" w:eastAsia="zh-CN" w:bidi="ar-SA"/>
        </w:rPr>
      </w:pPr>
    </w:p>
    <w:p w14:paraId="27AE790D">
      <w:pPr>
        <w:pStyle w:val="51"/>
        <w:wordWrap/>
        <w:spacing w:line="24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4826000" cy="2743200"/>
            <wp:effectExtent l="4445" t="4445" r="8255" b="14605"/>
            <wp:docPr id="7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8E80E1">
      <w:pPr>
        <w:pStyle w:val="51"/>
        <w:snapToGrid w:val="0"/>
        <w:spacing w:line="240" w:lineRule="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2-5</w:t>
      </w:r>
      <w:r>
        <w:rPr>
          <w:rFonts w:hint="default" w:ascii="Times New Roman" w:hAnsi="Times New Roman" w:cs="Times New Roman" w:eastAsiaTheme="minorEastAsia"/>
          <w:b/>
          <w:sz w:val="24"/>
          <w:szCs w:val="24"/>
        </w:rPr>
        <w:t xml:space="preserve"> 雷州市各镇（街）</w:t>
      </w:r>
      <w:r>
        <w:rPr>
          <w:rFonts w:hint="default" w:ascii="Times New Roman" w:hAnsi="Times New Roman" w:cs="Times New Roman" w:eastAsiaTheme="minorEastAsia"/>
          <w:b/>
          <w:sz w:val="24"/>
          <w:szCs w:val="24"/>
          <w:lang w:val="en-US" w:eastAsia="zh-CN"/>
        </w:rPr>
        <w:t>土壤侵蚀强度面积</w:t>
      </w:r>
      <w:r>
        <w:rPr>
          <w:rFonts w:hint="default" w:ascii="Times New Roman" w:hAnsi="Times New Roman" w:cs="Times New Roman" w:eastAsiaTheme="minorEastAsia"/>
          <w:b/>
          <w:sz w:val="24"/>
          <w:szCs w:val="24"/>
        </w:rPr>
        <w:t>统计图</w:t>
      </w:r>
    </w:p>
    <w:p w14:paraId="71560112">
      <w:pPr>
        <w:pStyle w:val="8"/>
        <w:snapToGrid w:val="0"/>
        <w:spacing w:before="190" w:beforeLines="50"/>
        <w:ind w:firstLine="480"/>
        <w:rPr>
          <w:rFonts w:hint="default" w:ascii="Times New Roman" w:hAnsi="Times New Roman" w:eastAsia="宋体" w:cs="Times New Roman"/>
          <w:bCs w:val="0"/>
          <w:sz w:val="24"/>
          <w:szCs w:val="20"/>
          <w:lang w:val="en-US" w:eastAsia="zh-CN" w:bidi="ar-SA"/>
        </w:rPr>
        <w:sectPr>
          <w:pgSz w:w="11906" w:h="16838"/>
          <w:pgMar w:top="1440" w:right="1800" w:bottom="1440" w:left="1800" w:header="851" w:footer="992" w:gutter="0"/>
          <w:cols w:space="720" w:num="1"/>
          <w:docGrid w:type="lines" w:linePitch="381" w:charSpace="0"/>
        </w:sectPr>
      </w:pPr>
      <w:r>
        <w:rPr>
          <w:rFonts w:hint="default" w:ascii="Times New Roman" w:hAnsi="Times New Roman" w:cs="Times New Roman"/>
          <w:sz w:val="24"/>
          <w:lang w:eastAsia="zh-CN"/>
        </w:rPr>
        <w:t>从雷州市各镇（街）水土流失</w:t>
      </w:r>
      <w:r>
        <w:rPr>
          <w:rFonts w:hint="default" w:ascii="Times New Roman" w:hAnsi="Times New Roman" w:cs="Times New Roman"/>
          <w:sz w:val="24"/>
          <w:lang w:val="en-US" w:eastAsia="zh-CN"/>
        </w:rPr>
        <w:t>强度</w:t>
      </w:r>
      <w:r>
        <w:rPr>
          <w:rFonts w:hint="default" w:ascii="Times New Roman" w:hAnsi="Times New Roman" w:cs="Times New Roman"/>
          <w:sz w:val="24"/>
          <w:lang w:eastAsia="zh-CN"/>
        </w:rPr>
        <w:t>分布上看，不同镇（街）的水土流失分布各有不同。其中，土壤侵蚀面积</w:t>
      </w:r>
      <w:r>
        <w:rPr>
          <w:rFonts w:hint="default" w:ascii="Times New Roman" w:hAnsi="Times New Roman" w:cs="Times New Roman"/>
          <w:sz w:val="24"/>
          <w:lang w:val="en-US" w:eastAsia="zh-CN"/>
        </w:rPr>
        <w:t>较大的有龙门镇、客路镇、英利镇、纪家镇和调风镇</w:t>
      </w:r>
      <w:r>
        <w:rPr>
          <w:rFonts w:hint="eastAsia" w:cs="Times New Roman"/>
          <w:sz w:val="24"/>
          <w:lang w:val="en-US" w:eastAsia="zh-CN"/>
        </w:rPr>
        <w:t>。</w:t>
      </w:r>
      <w:r>
        <w:rPr>
          <w:rFonts w:hint="default" w:ascii="Times New Roman" w:hAnsi="Times New Roman" w:cs="Times New Roman"/>
          <w:sz w:val="24"/>
          <w:lang w:val="en-US" w:eastAsia="zh-CN"/>
        </w:rPr>
        <w:t>全市主要侵蚀强度为轻度。中度侵蚀占比比较大的为调风镇、龙门镇、</w:t>
      </w:r>
      <w:r>
        <w:rPr>
          <w:rFonts w:hint="default" w:ascii="Times New Roman" w:hAnsi="Times New Roman" w:eastAsia="宋体" w:cs="Times New Roman"/>
          <w:bCs w:val="0"/>
          <w:sz w:val="24"/>
          <w:szCs w:val="20"/>
          <w:lang w:val="en-US" w:eastAsia="zh-CN" w:bidi="ar-SA"/>
        </w:rPr>
        <w:t>英利镇和唐家镇</w:t>
      </w:r>
      <w:r>
        <w:rPr>
          <w:rFonts w:hint="default" w:ascii="Times New Roman" w:hAnsi="Times New Roman" w:cs="Times New Roman"/>
          <w:bCs w:val="0"/>
          <w:sz w:val="24"/>
          <w:szCs w:val="20"/>
          <w:lang w:val="en-US" w:eastAsia="zh-CN" w:bidi="ar-SA"/>
        </w:rPr>
        <w:t>。强烈以上侵蚀程度主要分布在企水镇、龙门镇和唐家镇。</w:t>
      </w:r>
    </w:p>
    <w:p w14:paraId="5FB933AC">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51" w:name="_Toc12415"/>
      <w:r>
        <w:rPr>
          <w:rFonts w:hint="default" w:ascii="Times New Roman" w:hAnsi="Times New Roman" w:cs="Times New Roman"/>
          <w:lang w:val="en-US" w:eastAsia="zh-CN"/>
        </w:rPr>
        <w:t>2</w:t>
      </w:r>
      <w:r>
        <w:rPr>
          <w:rFonts w:hint="default" w:ascii="Times New Roman" w:hAnsi="Times New Roman" w:cs="Times New Roman"/>
          <w:lang w:eastAsia="zh-CN"/>
        </w:rPr>
        <w:t>.2.3土壤侵蚀类型分析</w:t>
      </w:r>
      <w:bookmarkEnd w:id="51"/>
    </w:p>
    <w:p w14:paraId="05C0114A">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人为水土流失指监测当期正在发生的因建设、生产活动等引起人为水土流失，如</w:t>
      </w:r>
      <w:r>
        <w:rPr>
          <w:rFonts w:hint="default" w:ascii="Times New Roman" w:hAnsi="Times New Roman" w:cs="Times New Roman"/>
          <w:sz w:val="24"/>
          <w:lang w:val="en-US" w:eastAsia="zh-CN"/>
        </w:rPr>
        <w:t>坡耕地、开发建设、土石方开挖</w:t>
      </w:r>
      <w:r>
        <w:rPr>
          <w:rFonts w:hint="default" w:ascii="Times New Roman" w:hAnsi="Times New Roman" w:cs="Times New Roman"/>
          <w:sz w:val="24"/>
          <w:lang w:eastAsia="zh-CN"/>
        </w:rPr>
        <w:t>等地面生产用地、排土（石）及尾矿堆放地、在建生产建设项目用地（房屋建筑和交通运输）等。</w:t>
      </w:r>
    </w:p>
    <w:p w14:paraId="0552DC15">
      <w:pPr>
        <w:pStyle w:val="51"/>
        <w:snapToGrid w:val="0"/>
        <w:ind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雷州市各镇（街）水土流失类</w:t>
      </w:r>
      <w:r>
        <w:rPr>
          <w:rFonts w:hint="default" w:ascii="Times New Roman" w:hAnsi="Times New Roman" w:eastAsia="宋体" w:cs="Times New Roman"/>
          <w:bCs w:val="0"/>
          <w:sz w:val="24"/>
        </w:rPr>
        <w:t>型见表</w:t>
      </w:r>
      <w:r>
        <w:rPr>
          <w:rFonts w:hint="default" w:ascii="Times New Roman" w:hAnsi="Times New Roman" w:eastAsia="宋体" w:cs="Times New Roman"/>
          <w:bCs w:val="0"/>
          <w:sz w:val="24"/>
          <w:lang w:val="en-US" w:eastAsia="zh-CN"/>
        </w:rPr>
        <w:t>2-4</w:t>
      </w:r>
      <w:r>
        <w:rPr>
          <w:rFonts w:hint="default" w:ascii="Times New Roman" w:hAnsi="Times New Roman" w:eastAsia="宋体" w:cs="Times New Roman"/>
          <w:bCs w:val="0"/>
          <w:sz w:val="24"/>
        </w:rPr>
        <w:t>，雷州市水土流失类型统计图见图</w:t>
      </w:r>
      <w:r>
        <w:rPr>
          <w:rFonts w:hint="default" w:ascii="Times New Roman" w:hAnsi="Times New Roman" w:eastAsia="宋体" w:cs="Times New Roman"/>
          <w:bCs w:val="0"/>
          <w:sz w:val="24"/>
          <w:lang w:val="en-US" w:eastAsia="zh-CN"/>
        </w:rPr>
        <w:t>2-6</w:t>
      </w:r>
      <w:r>
        <w:rPr>
          <w:rFonts w:hint="default" w:ascii="Times New Roman" w:hAnsi="Times New Roman" w:eastAsia="宋体" w:cs="Times New Roman"/>
          <w:bCs w:val="0"/>
          <w:sz w:val="24"/>
        </w:rPr>
        <w:t>，雷州市各镇（街）水土流失类型统计图见图</w:t>
      </w:r>
      <w:r>
        <w:rPr>
          <w:rFonts w:hint="default" w:ascii="Times New Roman" w:hAnsi="Times New Roman" w:eastAsia="宋体" w:cs="Times New Roman"/>
          <w:bCs w:val="0"/>
          <w:sz w:val="24"/>
          <w:lang w:val="en-US" w:eastAsia="zh-CN"/>
        </w:rPr>
        <w:t>2-7</w:t>
      </w:r>
      <w:r>
        <w:rPr>
          <w:rFonts w:hint="default" w:ascii="Times New Roman" w:hAnsi="Times New Roman" w:eastAsia="宋体" w:cs="Times New Roman"/>
          <w:bCs w:val="0"/>
          <w:sz w:val="24"/>
        </w:rPr>
        <w:t>。</w:t>
      </w:r>
    </w:p>
    <w:p w14:paraId="79B82E07">
      <w:pPr>
        <w:pStyle w:val="8"/>
        <w:snapToGrid w:val="0"/>
        <w:ind w:firstLine="480"/>
        <w:rPr>
          <w:rFonts w:hint="default" w:ascii="Times New Roman" w:hAnsi="Times New Roman" w:cs="Times New Roman"/>
          <w:sz w:val="24"/>
          <w:szCs w:val="24"/>
          <w:lang w:eastAsia="zh-CN"/>
        </w:rPr>
      </w:pPr>
    </w:p>
    <w:p w14:paraId="330F67E5">
      <w:pPr>
        <w:pStyle w:val="8"/>
        <w:snapToGrid w:val="0"/>
        <w:spacing w:before="190" w:beforeLines="50"/>
        <w:ind w:firstLineChars="175"/>
        <w:rPr>
          <w:rFonts w:hint="default" w:ascii="Times New Roman" w:hAnsi="Times New Roman" w:cs="Times New Roman"/>
          <w:sz w:val="24"/>
          <w:lang w:eastAsia="zh-CN"/>
        </w:rPr>
        <w:sectPr>
          <w:pgSz w:w="11906" w:h="16838"/>
          <w:pgMar w:top="1440" w:right="1800" w:bottom="1440" w:left="1800" w:header="851" w:footer="992" w:gutter="0"/>
          <w:cols w:space="720" w:num="1"/>
          <w:docGrid w:type="lines" w:linePitch="381" w:charSpace="0"/>
        </w:sectPr>
      </w:pPr>
    </w:p>
    <w:p w14:paraId="3CB55DF2">
      <w:pPr>
        <w:pStyle w:val="51"/>
        <w:wordWrap w:val="0"/>
        <w:spacing w:line="240" w:lineRule="auto"/>
        <w:jc w:val="right"/>
        <w:rPr>
          <w:rFonts w:hint="eastAsia" w:asciiTheme="minorEastAsia" w:hAnsiTheme="minorEastAsia" w:eastAsiaTheme="minorEastAsia" w:cstheme="minorEastAsia"/>
          <w:b/>
          <w:bCs w:val="0"/>
          <w:sz w:val="24"/>
          <w:szCs w:val="24"/>
          <w:vertAlign w:val="baseline"/>
        </w:rPr>
      </w:pPr>
      <w:r>
        <w:rPr>
          <w:rFonts w:hint="eastAsia" w:asciiTheme="minorEastAsia" w:hAnsiTheme="minorEastAsia" w:eastAsiaTheme="minorEastAsia" w:cstheme="minorEastAsia"/>
          <w:b/>
          <w:bCs w:val="0"/>
          <w:sz w:val="24"/>
          <w:szCs w:val="24"/>
        </w:rPr>
        <w:t>表</w:t>
      </w:r>
      <w:r>
        <w:rPr>
          <w:rFonts w:hint="eastAsia" w:asciiTheme="minorEastAsia" w:hAnsiTheme="minorEastAsia" w:eastAsiaTheme="minorEastAsia" w:cstheme="minorEastAsia"/>
          <w:b/>
          <w:bCs w:val="0"/>
          <w:sz w:val="24"/>
          <w:szCs w:val="24"/>
          <w:lang w:val="en-US" w:eastAsia="zh-CN"/>
        </w:rPr>
        <w:t>2</w:t>
      </w:r>
      <w:r>
        <w:rPr>
          <w:rFonts w:hint="eastAsia" w:asciiTheme="minorEastAsia" w:hAnsiTheme="minorEastAsia" w:eastAsiaTheme="minorEastAsia" w:cstheme="minorEastAsia"/>
          <w:b/>
          <w:bCs w:val="0"/>
          <w:sz w:val="24"/>
          <w:szCs w:val="24"/>
        </w:rPr>
        <w:t>-</w:t>
      </w:r>
      <w:r>
        <w:rPr>
          <w:rFonts w:hint="eastAsia" w:asciiTheme="minorEastAsia" w:hAnsiTheme="minorEastAsia" w:eastAsiaTheme="minorEastAsia" w:cstheme="minorEastAsia"/>
          <w:b/>
          <w:bCs w:val="0"/>
          <w:sz w:val="24"/>
          <w:szCs w:val="24"/>
          <w:lang w:val="en-US" w:eastAsia="zh-CN"/>
        </w:rPr>
        <w:t>4</w:t>
      </w:r>
      <w:r>
        <w:rPr>
          <w:rFonts w:hint="eastAsia" w:asciiTheme="minorEastAsia" w:hAnsiTheme="minorEastAsia" w:eastAsiaTheme="minorEastAsia" w:cstheme="minorEastAsia"/>
          <w:b/>
          <w:bCs w:val="0"/>
          <w:sz w:val="24"/>
          <w:szCs w:val="24"/>
        </w:rPr>
        <w:t xml:space="preserve">  雷州市及各镇（街）水土流失类型统计表                                   单位：km</w:t>
      </w:r>
      <w:r>
        <w:rPr>
          <w:rFonts w:hint="eastAsia" w:asciiTheme="minorEastAsia" w:hAnsiTheme="minorEastAsia" w:eastAsiaTheme="minorEastAsia" w:cstheme="minorEastAsia"/>
          <w:b/>
          <w:bCs w:val="0"/>
          <w:sz w:val="24"/>
          <w:szCs w:val="24"/>
          <w:vertAlign w:val="superscript"/>
        </w:rPr>
        <w:t>2</w:t>
      </w:r>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7"/>
        <w:gridCol w:w="1049"/>
        <w:gridCol w:w="966"/>
        <w:gridCol w:w="966"/>
        <w:gridCol w:w="1287"/>
        <w:gridCol w:w="1051"/>
        <w:gridCol w:w="1287"/>
        <w:gridCol w:w="1607"/>
        <w:gridCol w:w="2245"/>
        <w:gridCol w:w="1054"/>
        <w:gridCol w:w="1049"/>
      </w:tblGrid>
      <w:tr w14:paraId="44D7E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blHeader/>
        </w:trPr>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1A78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行政区划</w:t>
            </w:r>
          </w:p>
        </w:tc>
        <w:tc>
          <w:tcPr>
            <w:tcW w:w="18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40160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自然侵蚀</w:t>
            </w:r>
          </w:p>
        </w:tc>
        <w:tc>
          <w:tcPr>
            <w:tcW w:w="2185"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197441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人为侵蚀</w:t>
            </w:r>
          </w:p>
        </w:tc>
        <w:tc>
          <w:tcPr>
            <w:tcW w:w="3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EB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r>
      <w:tr w14:paraId="2AB35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blHeader/>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71D5D">
            <w:pPr>
              <w:spacing w:line="240" w:lineRule="auto"/>
              <w:jc w:val="center"/>
              <w:rPr>
                <w:rFonts w:hint="default" w:ascii="Times New Roman" w:hAnsi="Times New Roman" w:cs="Times New Roman"/>
                <w:color w:val="000000"/>
                <w:sz w:val="21"/>
                <w:szCs w:val="21"/>
                <w:lang w:eastAsia="zh-CN"/>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0B78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轻度</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68F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中度</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B62A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强烈</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249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极强烈</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C0AE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小计</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921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坡耕地</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ED6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建设用地</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A6D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交通运输用地</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F39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小计</w:t>
            </w:r>
          </w:p>
        </w:tc>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5905">
            <w:pPr>
              <w:spacing w:line="240" w:lineRule="auto"/>
              <w:jc w:val="center"/>
              <w:rPr>
                <w:rFonts w:hint="default" w:ascii="Times New Roman" w:hAnsi="Times New Roman" w:cs="Times New Roman"/>
                <w:color w:val="000000"/>
                <w:sz w:val="21"/>
                <w:szCs w:val="21"/>
                <w:lang w:val="en-US" w:eastAsia="zh-CN"/>
              </w:rPr>
            </w:pPr>
          </w:p>
        </w:tc>
      </w:tr>
      <w:tr w14:paraId="4FB3D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CAF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雷州市</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2E22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15.95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F3B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0.29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5549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0.06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C1B8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0.02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749A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16.32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4F9C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63.81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0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15.86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E49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0.12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B67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79.79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FE3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96.11 </w:t>
            </w:r>
          </w:p>
        </w:tc>
      </w:tr>
      <w:tr w14:paraId="64C3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E0F1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新城街道</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F544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B5B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955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EDDA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158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991B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9B6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0.28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602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7B4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0.28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D55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0.29 </w:t>
            </w:r>
          </w:p>
        </w:tc>
      </w:tr>
      <w:tr w14:paraId="0010F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BFE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西湖街道</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DF92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89E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1B6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8CA8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D13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22E0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D44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0.49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F4D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0D3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0.50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87A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0.50 </w:t>
            </w:r>
          </w:p>
        </w:tc>
      </w:tr>
      <w:tr w14:paraId="2E8A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DE2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雷城街道</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21D3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50F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4FE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223B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2E08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410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08F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19F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93F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25A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0.01 </w:t>
            </w:r>
          </w:p>
        </w:tc>
      </w:tr>
      <w:tr w14:paraId="7012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D88C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白沙镇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B87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0.35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9DF7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997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DAB6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887A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0.35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5D3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0.82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D8F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0.92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9A3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0.03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E6B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1.77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F21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2.12 </w:t>
            </w:r>
          </w:p>
        </w:tc>
      </w:tr>
      <w:tr w14:paraId="09EFA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8D3C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北和镇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890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0.98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A62F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2760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0.02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2BA2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7179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1.12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4A3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3.21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A7D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0.53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351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B7E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3.74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787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4.86 </w:t>
            </w:r>
          </w:p>
        </w:tc>
      </w:tr>
      <w:tr w14:paraId="2DB2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9199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调风镇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8D6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3.18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9E7D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36E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0.03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9A20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265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3.33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494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10.95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86E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3.46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8D8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28F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14.41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D5D5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17.74 </w:t>
            </w:r>
          </w:p>
        </w:tc>
      </w:tr>
      <w:tr w14:paraId="7AB5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06EC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东里镇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40D0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5E4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DC22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DB7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39B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408A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0.45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1EA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0.13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9CD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60C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0.59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C3B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0.74 </w:t>
            </w:r>
          </w:p>
        </w:tc>
      </w:tr>
      <w:tr w14:paraId="4DA8C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31BD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附城镇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E32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0.55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26A9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749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90E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1DF7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0.55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1CE0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0.15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4A6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1.98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6AE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EEB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2.14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BFF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2.69 </w:t>
            </w:r>
          </w:p>
        </w:tc>
      </w:tr>
      <w:tr w14:paraId="426D1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DD63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纪家镇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5E5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250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6D50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C861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2785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6C2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1.65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DE3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0.61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FEF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E89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2.26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AA8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2.91 </w:t>
            </w:r>
          </w:p>
        </w:tc>
      </w:tr>
      <w:tr w14:paraId="31F3F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739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客路镇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E78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0.62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9AE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AD8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70BF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5875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0.62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3516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4.25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95A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0.48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9C0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4A6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4.73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7CA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5.35 </w:t>
            </w:r>
          </w:p>
        </w:tc>
      </w:tr>
      <w:tr w14:paraId="6495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048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雷高镇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A9F8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0.98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504F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E7C2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53F1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74E2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0.99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BB4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1.19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8406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0.29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668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244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1.47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627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2.46 </w:t>
            </w:r>
          </w:p>
        </w:tc>
      </w:tr>
      <w:tr w14:paraId="1F59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F915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龙门镇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FF0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2.90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711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901F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98A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92C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2.90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6DDA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11.99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852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0.79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388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732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12.78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259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15.68 </w:t>
            </w:r>
          </w:p>
        </w:tc>
      </w:tr>
      <w:tr w14:paraId="12A5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B49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南兴镇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5BD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0.82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A4C6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A86D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578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30CB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0.84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BEA7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3.24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790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0.19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A18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A7E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3.44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27861">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4.28 </w:t>
            </w:r>
          </w:p>
        </w:tc>
      </w:tr>
      <w:tr w14:paraId="5215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9146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企水镇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D54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0.73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E853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B02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308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E3B4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0.74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6125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1.59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508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0.44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CFE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74CE">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2.03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2E6C">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2.77 </w:t>
            </w:r>
          </w:p>
        </w:tc>
      </w:tr>
      <w:tr w14:paraId="2A39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7FC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沈塘镇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69E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0.15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1E3F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DE9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55D3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DDD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15F1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1.21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483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0.94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6E9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0.05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092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2.20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81D0">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2.35 </w:t>
            </w:r>
          </w:p>
        </w:tc>
      </w:tr>
      <w:tr w14:paraId="5EB7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866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松竹镇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3153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0.27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141F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543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9FD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3AD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0.27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AA35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0.12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F5A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0.18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87DB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40DD">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0.31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B3EA">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0.58 </w:t>
            </w:r>
          </w:p>
        </w:tc>
      </w:tr>
      <w:tr w14:paraId="1DF00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DA7A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覃斗镇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542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0BC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119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08F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0DA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686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1.09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56D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0.12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BC6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E4B7">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1.21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5F5F">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1.31 </w:t>
            </w:r>
          </w:p>
        </w:tc>
      </w:tr>
      <w:tr w14:paraId="4BCDC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379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唐家镇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CEB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0.68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4709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0.01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265A6">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22A1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0999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0.69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649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7.36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BB3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1.47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31F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2886">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8.83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03E6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9.52 </w:t>
            </w:r>
          </w:p>
        </w:tc>
      </w:tr>
      <w:tr w14:paraId="669CC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40C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乌石镇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557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7DCD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D03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4C093">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6EE7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0.10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173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1.01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3CF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0.27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2F6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5DC44">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1.28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3408">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1.38 </w:t>
            </w:r>
          </w:p>
        </w:tc>
      </w:tr>
      <w:tr w14:paraId="1A06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AE7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杨家镇</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557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1.29 </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F97B">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73C4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8498">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B6D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1.29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AD2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4.51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1E8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1.06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E76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434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5.57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7475">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6.86 </w:t>
            </w:r>
          </w:p>
        </w:tc>
      </w:tr>
      <w:tr w14:paraId="40C78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645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英利镇</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3E14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1.44 </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058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0.03 </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B60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6C6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E82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1.47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AE5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9.01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BBE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1.22 </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323B">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0.00 </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3B23">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10.24 </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58A2">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11.71 </w:t>
            </w:r>
          </w:p>
        </w:tc>
      </w:tr>
    </w:tbl>
    <w:p w14:paraId="091F8B84">
      <w:pPr>
        <w:pStyle w:val="51"/>
        <w:spacing w:line="240" w:lineRule="auto"/>
        <w:jc w:val="right"/>
        <w:rPr>
          <w:rFonts w:hint="default" w:ascii="Times New Roman" w:hAnsi="Times New Roman" w:cs="Times New Roman"/>
        </w:rPr>
      </w:pPr>
    </w:p>
    <w:p w14:paraId="62CA30FF">
      <w:pPr>
        <w:pStyle w:val="51"/>
        <w:spacing w:line="240" w:lineRule="auto"/>
        <w:jc w:val="right"/>
        <w:rPr>
          <w:rFonts w:hint="default" w:ascii="Times New Roman" w:hAnsi="Times New Roman" w:cs="Times New Roman"/>
          <w:vertAlign w:val="superscript"/>
        </w:rPr>
        <w:sectPr>
          <w:pgSz w:w="16838" w:h="11906" w:orient="landscape"/>
          <w:pgMar w:top="1800" w:right="1440" w:bottom="1800" w:left="1440" w:header="851" w:footer="992" w:gutter="0"/>
          <w:cols w:space="720" w:num="1"/>
          <w:docGrid w:type="lines" w:linePitch="381" w:charSpace="0"/>
        </w:sectPr>
      </w:pPr>
    </w:p>
    <w:p w14:paraId="68515FAA">
      <w:pPr>
        <w:pStyle w:val="8"/>
        <w:snapToGrid w:val="0"/>
        <w:spacing w:before="190" w:beforeLines="50"/>
        <w:ind w:firstLine="400"/>
        <w:jc w:val="center"/>
        <w:rPr>
          <w:rFonts w:hint="default" w:ascii="Times New Roman" w:hAnsi="Times New Roman" w:cs="Times New Roman"/>
          <w:sz w:val="24"/>
          <w:lang w:eastAsia="zh-CN"/>
        </w:rPr>
      </w:pPr>
      <w:r>
        <w:rPr>
          <w:rFonts w:hint="default" w:ascii="Times New Roman" w:hAnsi="Times New Roman" w:cs="Times New Roman"/>
        </w:rPr>
        <w:drawing>
          <wp:inline distT="0" distB="0" distL="114300" distR="114300">
            <wp:extent cx="3883025" cy="2784475"/>
            <wp:effectExtent l="4445" t="4445" r="17780" b="11430"/>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0FA063">
      <w:pPr>
        <w:pStyle w:val="51"/>
        <w:snapToGrid w:val="0"/>
        <w:spacing w:line="240" w:lineRule="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2-6</w:t>
      </w:r>
      <w:r>
        <w:rPr>
          <w:rFonts w:hint="default" w:ascii="Times New Roman" w:hAnsi="Times New Roman" w:cs="Times New Roman" w:eastAsiaTheme="minorEastAsia"/>
          <w:b/>
          <w:sz w:val="24"/>
          <w:szCs w:val="24"/>
        </w:rPr>
        <w:t xml:space="preserve"> 雷州市水土流失类型统计图</w:t>
      </w:r>
    </w:p>
    <w:p w14:paraId="64240725">
      <w:pPr>
        <w:pStyle w:val="8"/>
        <w:snapToGrid w:val="0"/>
        <w:spacing w:before="190" w:beforeLines="50"/>
        <w:ind w:firstLine="400"/>
        <w:rPr>
          <w:rFonts w:hint="default" w:ascii="Times New Roman" w:hAnsi="Times New Roman" w:cs="Times New Roman"/>
          <w:sz w:val="24"/>
          <w:lang w:eastAsia="zh-CN"/>
        </w:rPr>
      </w:pPr>
      <w:r>
        <w:rPr>
          <w:rFonts w:hint="default" w:ascii="Times New Roman" w:hAnsi="Times New Roman" w:cs="Times New Roman"/>
        </w:rPr>
        <w:drawing>
          <wp:inline distT="0" distB="0" distL="114300" distR="114300">
            <wp:extent cx="4826000" cy="2743200"/>
            <wp:effectExtent l="4445" t="4445" r="8255" b="14605"/>
            <wp:docPr id="17"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6DE2EA">
      <w:pPr>
        <w:pStyle w:val="51"/>
        <w:snapToGrid w:val="0"/>
        <w:spacing w:line="240" w:lineRule="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2-7</w:t>
      </w:r>
      <w:r>
        <w:rPr>
          <w:rFonts w:hint="default" w:ascii="Times New Roman" w:hAnsi="Times New Roman" w:cs="Times New Roman" w:eastAsiaTheme="minorEastAsia"/>
          <w:b/>
          <w:sz w:val="24"/>
          <w:szCs w:val="24"/>
        </w:rPr>
        <w:t xml:space="preserve"> 雷州市各镇（街）水土流失类型统计图</w:t>
      </w:r>
    </w:p>
    <w:p w14:paraId="45DE7E51">
      <w:pPr>
        <w:pStyle w:val="51"/>
        <w:snapToGrid w:val="0"/>
        <w:spacing w:line="240" w:lineRule="auto"/>
        <w:rPr>
          <w:rFonts w:hint="default" w:ascii="Times New Roman" w:hAnsi="Times New Roman" w:cs="Times New Roman" w:eastAsiaTheme="minorEastAsia"/>
          <w:b/>
          <w:sz w:val="24"/>
          <w:szCs w:val="24"/>
        </w:rPr>
      </w:pPr>
    </w:p>
    <w:p w14:paraId="0D3C9111">
      <w:pPr>
        <w:pStyle w:val="8"/>
        <w:snapToGrid w:val="0"/>
        <w:ind w:firstLine="482"/>
        <w:rPr>
          <w:rFonts w:hint="default" w:ascii="Times New Roman" w:hAnsi="Times New Roman" w:cs="Times New Roman"/>
          <w:sz w:val="24"/>
          <w:lang w:eastAsia="zh-CN"/>
        </w:rPr>
      </w:pPr>
      <w:r>
        <w:rPr>
          <w:rFonts w:hint="default" w:ascii="Times New Roman" w:hAnsi="Times New Roman" w:cs="Times New Roman"/>
          <w:sz w:val="24"/>
          <w:lang w:eastAsia="zh-CN"/>
        </w:rPr>
        <w:t>从雷州市水土流失类型上看，</w:t>
      </w:r>
      <w:r>
        <w:rPr>
          <w:rFonts w:hint="default" w:ascii="Times New Roman" w:hAnsi="Times New Roman" w:cs="Times New Roman"/>
          <w:sz w:val="24"/>
          <w:szCs w:val="24"/>
          <w:lang w:eastAsia="zh-CN"/>
        </w:rPr>
        <w:t>雷州市水土流失总面积为</w:t>
      </w:r>
      <w:r>
        <w:rPr>
          <w:rFonts w:hint="default" w:ascii="Times New Roman" w:hAnsi="Times New Roman" w:cs="Times New Roman"/>
          <w:sz w:val="24"/>
          <w:szCs w:val="24"/>
          <w:lang w:val="en-US" w:eastAsia="zh-CN"/>
        </w:rPr>
        <w:t>96.11</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，其中</w:t>
      </w:r>
      <w:r>
        <w:rPr>
          <w:rFonts w:hint="default" w:ascii="Times New Roman" w:hAnsi="Times New Roman" w:cs="Times New Roman"/>
          <w:sz w:val="24"/>
          <w:lang w:eastAsia="zh-CN"/>
        </w:rPr>
        <w:t>自然水土流失面积</w:t>
      </w:r>
      <w:r>
        <w:rPr>
          <w:rFonts w:hint="default" w:ascii="Times New Roman" w:hAnsi="Times New Roman" w:cs="Times New Roman"/>
          <w:sz w:val="24"/>
          <w:lang w:val="en-US" w:eastAsia="zh-CN"/>
        </w:rPr>
        <w:t>16.32</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，占</w:t>
      </w:r>
      <w:r>
        <w:rPr>
          <w:rFonts w:hint="default" w:ascii="Times New Roman" w:hAnsi="Times New Roman" w:cs="Times New Roman"/>
          <w:sz w:val="24"/>
          <w:lang w:val="en-US" w:eastAsia="zh-CN"/>
        </w:rPr>
        <w:t>16.98</w:t>
      </w:r>
      <w:r>
        <w:rPr>
          <w:rFonts w:hint="default" w:ascii="Times New Roman" w:hAnsi="Times New Roman" w:cs="Times New Roman"/>
          <w:sz w:val="24"/>
          <w:lang w:eastAsia="zh-CN"/>
        </w:rPr>
        <w:t>%；人为水土流失面积</w:t>
      </w:r>
      <w:r>
        <w:rPr>
          <w:rFonts w:hint="default" w:ascii="Times New Roman" w:hAnsi="Times New Roman" w:cs="Times New Roman"/>
          <w:sz w:val="24"/>
          <w:lang w:val="en-US" w:eastAsia="zh-CN"/>
        </w:rPr>
        <w:t>79.79</w:t>
      </w:r>
      <w:r>
        <w:rPr>
          <w:rFonts w:hint="default" w:ascii="Times New Roman" w:hAnsi="Times New Roman" w:cs="Times New Roman"/>
          <w:sz w:val="24"/>
          <w:lang w:eastAsia="zh-CN"/>
        </w:rPr>
        <w:t>km</w:t>
      </w:r>
      <w:r>
        <w:rPr>
          <w:rFonts w:hint="default" w:ascii="Times New Roman" w:hAnsi="Times New Roman" w:cs="Times New Roman"/>
          <w:sz w:val="24"/>
          <w:vertAlign w:val="superscript"/>
          <w:lang w:eastAsia="zh-CN"/>
        </w:rPr>
        <w:t>2</w:t>
      </w:r>
      <w:r>
        <w:rPr>
          <w:rFonts w:hint="default" w:ascii="Times New Roman" w:hAnsi="Times New Roman" w:cs="Times New Roman"/>
          <w:sz w:val="24"/>
          <w:lang w:eastAsia="zh-CN"/>
        </w:rPr>
        <w:t>，占</w:t>
      </w:r>
      <w:r>
        <w:rPr>
          <w:rFonts w:hint="default" w:ascii="Times New Roman" w:hAnsi="Times New Roman" w:cs="Times New Roman"/>
          <w:sz w:val="24"/>
          <w:lang w:val="en-US" w:eastAsia="zh-CN"/>
        </w:rPr>
        <w:t>83.02</w:t>
      </w:r>
      <w:r>
        <w:rPr>
          <w:rFonts w:hint="default" w:ascii="Times New Roman" w:hAnsi="Times New Roman" w:cs="Times New Roman"/>
          <w:sz w:val="24"/>
          <w:lang w:eastAsia="zh-CN"/>
        </w:rPr>
        <w:t>%。</w:t>
      </w:r>
    </w:p>
    <w:p w14:paraId="5C73DF34">
      <w:pPr>
        <w:pStyle w:val="8"/>
        <w:snapToGrid w:val="0"/>
        <w:ind w:firstLine="0"/>
        <w:rPr>
          <w:rFonts w:hint="default" w:ascii="Times New Roman" w:hAnsi="Times New Roman" w:cs="Times New Roman"/>
          <w:sz w:val="24"/>
          <w:lang w:eastAsia="zh-CN"/>
        </w:rPr>
      </w:pPr>
      <w:r>
        <w:rPr>
          <w:rFonts w:hint="default" w:ascii="Times New Roman" w:hAnsi="Times New Roman" w:cs="Times New Roman"/>
          <w:sz w:val="24"/>
          <w:lang w:eastAsia="zh-CN"/>
        </w:rPr>
        <w:t>各镇（街）水土流失中，人为水土流失占比较高的有：</w:t>
      </w:r>
      <w:r>
        <w:rPr>
          <w:rFonts w:hint="default" w:ascii="Times New Roman" w:hAnsi="Times New Roman" w:cs="Times New Roman"/>
          <w:sz w:val="24"/>
          <w:lang w:val="en-US" w:eastAsia="zh-CN"/>
        </w:rPr>
        <w:t>新城街道、沈唐镇</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乌石镇和唐家</w:t>
      </w:r>
      <w:r>
        <w:rPr>
          <w:rFonts w:hint="default" w:ascii="Times New Roman" w:hAnsi="Times New Roman" w:cs="Times New Roman"/>
          <w:sz w:val="24"/>
          <w:lang w:eastAsia="zh-CN"/>
        </w:rPr>
        <w:t>镇</w:t>
      </w:r>
      <w:r>
        <w:rPr>
          <w:rFonts w:hint="eastAsia" w:cs="Times New Roman"/>
          <w:sz w:val="24"/>
          <w:lang w:eastAsia="zh-CN"/>
        </w:rPr>
        <w:t>，</w:t>
      </w:r>
      <w:r>
        <w:rPr>
          <w:rFonts w:hint="default" w:ascii="Times New Roman" w:hAnsi="Times New Roman" w:cs="Times New Roman"/>
          <w:sz w:val="24"/>
          <w:lang w:eastAsia="zh-CN"/>
        </w:rPr>
        <w:t>人为水土流失类型的面积占比均超过了</w:t>
      </w:r>
      <w:r>
        <w:rPr>
          <w:rFonts w:hint="default" w:ascii="Times New Roman" w:hAnsi="Times New Roman" w:cs="Times New Roman"/>
          <w:sz w:val="24"/>
          <w:lang w:val="en-US" w:eastAsia="zh-CN"/>
        </w:rPr>
        <w:t>9</w:t>
      </w:r>
      <w:r>
        <w:rPr>
          <w:rFonts w:hint="default" w:ascii="Times New Roman" w:hAnsi="Times New Roman" w:cs="Times New Roman"/>
          <w:sz w:val="24"/>
          <w:lang w:eastAsia="zh-CN"/>
        </w:rPr>
        <w:t>0%。</w:t>
      </w:r>
    </w:p>
    <w:p w14:paraId="65BD1E2A">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52" w:name="_Toc25964"/>
      <w:bookmarkStart w:id="53" w:name="_Toc18069"/>
      <w:r>
        <w:rPr>
          <w:rFonts w:hint="default" w:ascii="Times New Roman" w:hAnsi="Times New Roman" w:cs="Times New Roman"/>
          <w:lang w:val="en-US" w:eastAsia="zh-CN"/>
        </w:rPr>
        <w:t>2</w:t>
      </w:r>
      <w:r>
        <w:rPr>
          <w:rFonts w:hint="default" w:ascii="Times New Roman" w:hAnsi="Times New Roman" w:cs="Times New Roman"/>
          <w:lang w:eastAsia="zh-CN"/>
        </w:rPr>
        <w:t>.2.4土壤侵蚀原因分析</w:t>
      </w:r>
      <w:bookmarkEnd w:id="52"/>
      <w:bookmarkEnd w:id="53"/>
    </w:p>
    <w:p w14:paraId="68944D45">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雷州市引发土壤侵蚀的原因主要有以下方面：</w:t>
      </w:r>
    </w:p>
    <w:p w14:paraId="3FF4913E">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（1）人为因素分析</w:t>
      </w:r>
    </w:p>
    <w:p w14:paraId="4F847A91">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1）坡地，雷州市为全省的农业大市，耕地分布广泛，农业活动频繁，种植农作物和经济作物耕作采收都是造成水土流失的重要因素。</w:t>
      </w:r>
    </w:p>
    <w:p w14:paraId="540983FD">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2）建设用地，近年来，随着雷州市城区及周边社会经济的发展，境内园区开发、矿产资源开发、房建项目、采石取土等发展迅速，大规模的开发建设也是造成雷州市水土流失的主要原因。</w:t>
      </w:r>
    </w:p>
    <w:p w14:paraId="2AB75FF5">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3）交通运输，主要为修路造成的水土流失，包括改扩建各类公路、新建农村道路等，是造成雷州市人为水土流失。</w:t>
      </w:r>
    </w:p>
    <w:p w14:paraId="2D7C28A3">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（2）自然因素分析</w:t>
      </w:r>
    </w:p>
    <w:p w14:paraId="5B2F6685">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1）林业结构不合理，雷州市林业结构以商品林为主，商品林多种植桉树，其生态质量较低，林下水土流失严重，对水土流失产生潜在威胁。</w:t>
      </w:r>
    </w:p>
    <w:p w14:paraId="06FEA697">
      <w:pPr>
        <w:pStyle w:val="8"/>
        <w:snapToGrid w:val="0"/>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2）雷州市地势平缓，南高北低，境内陆地大部分属平缓台地，少部分为低丘。南部低丘地形区域坡度相对较大，遇到降雨，易诱发水土流失。</w:t>
      </w:r>
      <w:r>
        <w:rPr>
          <w:rFonts w:hint="default" w:ascii="Times New Roman" w:hAnsi="Times New Roman" w:cs="Times New Roman"/>
          <w:sz w:val="24"/>
          <w:lang w:eastAsia="zh-CN"/>
        </w:rPr>
        <w:br w:type="page"/>
      </w:r>
    </w:p>
    <w:bookmarkEnd w:id="46"/>
    <w:p w14:paraId="19B282F1">
      <w:pPr>
        <w:pStyle w:val="6"/>
        <w:numPr>
          <w:ilvl w:val="0"/>
          <w:numId w:val="0"/>
        </w:numPr>
        <w:snapToGrid w:val="0"/>
        <w:spacing w:before="190" w:beforeLines="50" w:after="190" w:afterLines="50"/>
        <w:rPr>
          <w:rFonts w:hint="default" w:ascii="Times New Roman" w:hAnsi="Times New Roman" w:cs="Times New Roman"/>
          <w:sz w:val="30"/>
          <w:szCs w:val="30"/>
        </w:rPr>
      </w:pPr>
      <w:bookmarkStart w:id="54" w:name="_Toc520723965"/>
      <w:bookmarkStart w:id="55" w:name="_Toc15315"/>
      <w:bookmarkStart w:id="56" w:name="_Toc3409"/>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 xml:space="preserve"> 雷州市土壤侵蚀动态变化分析</w:t>
      </w:r>
      <w:bookmarkEnd w:id="54"/>
      <w:bookmarkEnd w:id="55"/>
      <w:bookmarkEnd w:id="56"/>
    </w:p>
    <w:p w14:paraId="5B309E25">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将本次调查结果与历次雷州市境内水土流失遥感普查成果对比，掌握雷州市土壤侵蚀动态变化，为水土流失的治理提供一定的依据。</w:t>
      </w:r>
    </w:p>
    <w:p w14:paraId="384ADFB4">
      <w:pPr>
        <w:pStyle w:val="7"/>
        <w:numPr>
          <w:ilvl w:val="0"/>
          <w:numId w:val="0"/>
        </w:numPr>
        <w:snapToGrid w:val="0"/>
        <w:spacing w:before="190" w:beforeLines="50" w:beforeAutospacing="0" w:after="0" w:afterAutospacing="0"/>
        <w:rPr>
          <w:rFonts w:hint="default" w:ascii="Times New Roman" w:hAnsi="Times New Roman" w:cs="Times New Roman"/>
          <w:lang w:eastAsia="zh-CN"/>
        </w:rPr>
      </w:pPr>
      <w:bookmarkStart w:id="57" w:name="_Toc15101"/>
      <w:bookmarkStart w:id="58" w:name="_Toc520723967"/>
      <w:bookmarkStart w:id="59" w:name="_Toc24402"/>
      <w:r>
        <w:rPr>
          <w:rFonts w:hint="default" w:ascii="Times New Roman" w:hAnsi="Times New Roman" w:cs="Times New Roman"/>
          <w:lang w:val="en-US" w:eastAsia="zh-CN"/>
        </w:rPr>
        <w:t>3</w:t>
      </w:r>
      <w:r>
        <w:rPr>
          <w:rFonts w:hint="default" w:ascii="Times New Roman" w:hAnsi="Times New Roman" w:cs="Times New Roman"/>
          <w:lang w:eastAsia="zh-CN"/>
        </w:rPr>
        <w:t>.1 侵蚀面积动态变化</w:t>
      </w:r>
      <w:bookmarkEnd w:id="57"/>
      <w:bookmarkEnd w:id="58"/>
      <w:bookmarkEnd w:id="59"/>
    </w:p>
    <w:p w14:paraId="41BED05F">
      <w:pPr>
        <w:pStyle w:val="51"/>
        <w:spacing w:line="240" w:lineRule="auto"/>
        <w:rPr>
          <w:rFonts w:hint="default" w:ascii="Times New Roman" w:hAnsi="Times New Roman" w:cs="Times New Roman" w:eastAsiaTheme="minorEastAsia"/>
          <w:b/>
          <w:bCs w:val="0"/>
          <w:kern w:val="2"/>
          <w:sz w:val="24"/>
          <w:szCs w:val="24"/>
        </w:rPr>
      </w:pPr>
      <w:r>
        <w:rPr>
          <w:rFonts w:hint="default" w:ascii="Times New Roman" w:hAnsi="Times New Roman" w:cs="Times New Roman" w:eastAsiaTheme="minorEastAsia"/>
          <w:b/>
          <w:bCs w:val="0"/>
          <w:kern w:val="2"/>
          <w:sz w:val="24"/>
          <w:szCs w:val="24"/>
        </w:rPr>
        <w:t>表</w:t>
      </w:r>
      <w:r>
        <w:rPr>
          <w:rFonts w:hint="default" w:ascii="Times New Roman" w:hAnsi="Times New Roman" w:cs="Times New Roman" w:eastAsiaTheme="minorEastAsia"/>
          <w:b/>
          <w:bCs w:val="0"/>
          <w:kern w:val="2"/>
          <w:sz w:val="24"/>
          <w:szCs w:val="24"/>
          <w:lang w:val="en-US" w:eastAsia="zh-CN"/>
        </w:rPr>
        <w:t>3</w:t>
      </w:r>
      <w:r>
        <w:rPr>
          <w:rFonts w:hint="default" w:ascii="Times New Roman" w:hAnsi="Times New Roman" w:cs="Times New Roman" w:eastAsiaTheme="minorEastAsia"/>
          <w:b/>
          <w:bCs w:val="0"/>
          <w:kern w:val="2"/>
          <w:sz w:val="24"/>
          <w:szCs w:val="24"/>
        </w:rPr>
        <w:t>-1 雷州市历次水土流失调查土壤侵蚀面积统计表</w:t>
      </w:r>
    </w:p>
    <w:tbl>
      <w:tblPr>
        <w:tblStyle w:val="26"/>
        <w:tblW w:w="8336" w:type="dxa"/>
        <w:tblInd w:w="0" w:type="dxa"/>
        <w:tblLayout w:type="fixed"/>
        <w:tblCellMar>
          <w:top w:w="0" w:type="dxa"/>
          <w:left w:w="0" w:type="dxa"/>
          <w:bottom w:w="0" w:type="dxa"/>
          <w:right w:w="0" w:type="dxa"/>
        </w:tblCellMar>
      </w:tblPr>
      <w:tblGrid>
        <w:gridCol w:w="581"/>
        <w:gridCol w:w="3205"/>
        <w:gridCol w:w="627"/>
        <w:gridCol w:w="769"/>
        <w:gridCol w:w="656"/>
        <w:gridCol w:w="844"/>
        <w:gridCol w:w="740"/>
        <w:gridCol w:w="914"/>
      </w:tblGrid>
      <w:tr w14:paraId="2574C37D">
        <w:tblPrEx>
          <w:tblCellMar>
            <w:top w:w="0" w:type="dxa"/>
            <w:left w:w="0" w:type="dxa"/>
            <w:bottom w:w="0" w:type="dxa"/>
            <w:right w:w="0" w:type="dxa"/>
          </w:tblCellMar>
        </w:tblPrEx>
        <w:trPr>
          <w:trHeight w:val="375"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9B071">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时间</w:t>
            </w:r>
          </w:p>
        </w:tc>
        <w:tc>
          <w:tcPr>
            <w:tcW w:w="32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E020A">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项目</w:t>
            </w:r>
          </w:p>
        </w:tc>
        <w:tc>
          <w:tcPr>
            <w:tcW w:w="363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25C8E">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土壤侵蚀强度</w:t>
            </w:r>
          </w:p>
        </w:tc>
        <w:tc>
          <w:tcPr>
            <w:tcW w:w="91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3517C66">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合计</w:t>
            </w:r>
          </w:p>
        </w:tc>
      </w:tr>
      <w:tr w14:paraId="67C89987">
        <w:tblPrEx>
          <w:tblCellMar>
            <w:top w:w="0" w:type="dxa"/>
            <w:left w:w="0" w:type="dxa"/>
            <w:bottom w:w="0" w:type="dxa"/>
            <w:right w:w="0" w:type="dxa"/>
          </w:tblCellMar>
        </w:tblPrEx>
        <w:trPr>
          <w:trHeight w:val="37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DDB08">
            <w:pPr>
              <w:pStyle w:val="48"/>
              <w:spacing w:before="0" w:beforeLines="0"/>
              <w:rPr>
                <w:rFonts w:hint="default" w:ascii="Times New Roman" w:hAnsi="Times New Roman" w:cs="Times New Roman" w:eastAsiaTheme="majorEastAsia"/>
                <w:b/>
                <w:bCs/>
              </w:rPr>
            </w:pPr>
          </w:p>
        </w:tc>
        <w:tc>
          <w:tcPr>
            <w:tcW w:w="32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DD878">
            <w:pPr>
              <w:pStyle w:val="48"/>
              <w:spacing w:before="0" w:beforeLines="0"/>
              <w:rPr>
                <w:rFonts w:hint="default" w:ascii="Times New Roman" w:hAnsi="Times New Roman" w:cs="Times New Roman" w:eastAsiaTheme="majorEastAsia"/>
                <w:b/>
                <w:bCs/>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CF3B8">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轻度</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D9F0F">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中度</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F7B7B">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强烈</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2F666">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极强烈</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637B9">
            <w:pPr>
              <w:pStyle w:val="48"/>
              <w:spacing w:before="0" w:beforeLines="0"/>
              <w:rPr>
                <w:rFonts w:hint="default" w:ascii="Times New Roman" w:hAnsi="Times New Roman" w:cs="Times New Roman" w:eastAsiaTheme="majorEastAsia"/>
                <w:b/>
                <w:bCs/>
              </w:rPr>
            </w:pPr>
            <w:r>
              <w:rPr>
                <w:rFonts w:hint="default" w:ascii="Times New Roman" w:hAnsi="Times New Roman" w:cs="Times New Roman" w:eastAsiaTheme="majorEastAsia"/>
                <w:b/>
                <w:bCs/>
              </w:rPr>
              <w:t>剧烈</w:t>
            </w:r>
          </w:p>
        </w:tc>
        <w:tc>
          <w:tcPr>
            <w:tcW w:w="91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58245">
            <w:pPr>
              <w:pStyle w:val="48"/>
              <w:spacing w:before="0" w:beforeLines="0"/>
              <w:rPr>
                <w:rFonts w:hint="default" w:ascii="Times New Roman" w:hAnsi="Times New Roman" w:cs="Times New Roman" w:eastAsiaTheme="majorEastAsia"/>
                <w:b/>
                <w:bCs/>
              </w:rPr>
            </w:pPr>
          </w:p>
        </w:tc>
      </w:tr>
      <w:tr w14:paraId="6FEE8D57">
        <w:tblPrEx>
          <w:tblCellMar>
            <w:top w:w="0" w:type="dxa"/>
            <w:left w:w="0" w:type="dxa"/>
            <w:bottom w:w="0" w:type="dxa"/>
            <w:right w:w="0" w:type="dxa"/>
          </w:tblCellMar>
        </w:tblPrEx>
        <w:trPr>
          <w:trHeight w:val="37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88DE1">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2011</w:t>
            </w:r>
          </w:p>
        </w:tc>
        <w:tc>
          <w:tcPr>
            <w:tcW w:w="3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9B87F">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第一次水利普查</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8FA99">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91.29</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CF179">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79.49</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7B0A5">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32.12</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D1962">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5.77</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4D3DF">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1.41</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BC100">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210.08</w:t>
            </w:r>
          </w:p>
        </w:tc>
      </w:tr>
      <w:tr w14:paraId="2A434FAF">
        <w:tblPrEx>
          <w:tblCellMar>
            <w:top w:w="0" w:type="dxa"/>
            <w:left w:w="0" w:type="dxa"/>
            <w:bottom w:w="0" w:type="dxa"/>
            <w:right w:w="0" w:type="dxa"/>
          </w:tblCellMar>
        </w:tblPrEx>
        <w:trPr>
          <w:trHeight w:val="39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1B7C8">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2013</w:t>
            </w:r>
          </w:p>
        </w:tc>
        <w:tc>
          <w:tcPr>
            <w:tcW w:w="3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EFDB4">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广东省第四次水土流失遥感普查</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D2EDE">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F42FF">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02E47">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D3A86">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36C63">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78BE9">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13.58</w:t>
            </w:r>
          </w:p>
        </w:tc>
      </w:tr>
      <w:tr w14:paraId="40F57485">
        <w:tblPrEx>
          <w:tblCellMar>
            <w:top w:w="0" w:type="dxa"/>
            <w:left w:w="0" w:type="dxa"/>
            <w:bottom w:w="0" w:type="dxa"/>
            <w:right w:w="0" w:type="dxa"/>
          </w:tblCellMar>
        </w:tblPrEx>
        <w:trPr>
          <w:trHeight w:val="39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B0B68">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2018</w:t>
            </w:r>
          </w:p>
        </w:tc>
        <w:tc>
          <w:tcPr>
            <w:tcW w:w="3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A6352">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广东省第五次水土流失遥感普查</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7D241">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26.25</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B22BA">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0.51</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83C86">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0.15</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1FDF8">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0.02</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ED5E9">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0.01</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25C0C">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26.94</w:t>
            </w:r>
          </w:p>
        </w:tc>
      </w:tr>
      <w:tr w14:paraId="4FB3522E">
        <w:tblPrEx>
          <w:tblCellMar>
            <w:top w:w="0" w:type="dxa"/>
            <w:left w:w="0" w:type="dxa"/>
            <w:bottom w:w="0" w:type="dxa"/>
            <w:right w:w="0" w:type="dxa"/>
          </w:tblCellMar>
        </w:tblPrEx>
        <w:trPr>
          <w:trHeight w:val="604"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5F538">
            <w:pPr>
              <w:pStyle w:val="48"/>
              <w:spacing w:before="0" w:beforeLines="0"/>
              <w:rPr>
                <w:rFonts w:hint="default" w:ascii="Times New Roman" w:hAnsi="Times New Roman" w:cs="Times New Roman" w:eastAsiaTheme="majorEastAsia"/>
                <w:lang w:eastAsia="zh-CN"/>
              </w:rPr>
            </w:pPr>
            <w:r>
              <w:rPr>
                <w:rFonts w:hint="default" w:ascii="Times New Roman" w:hAnsi="Times New Roman" w:cs="Times New Roman" w:eastAsiaTheme="majorEastAsia"/>
              </w:rPr>
              <w:t>202</w:t>
            </w:r>
            <w:r>
              <w:rPr>
                <w:rFonts w:hint="default" w:ascii="Times New Roman" w:hAnsi="Times New Roman" w:cs="Times New Roman" w:eastAsiaTheme="majorEastAsia"/>
                <w:lang w:val="en-US" w:eastAsia="zh-CN"/>
              </w:rPr>
              <w:t>2</w:t>
            </w:r>
          </w:p>
        </w:tc>
        <w:tc>
          <w:tcPr>
            <w:tcW w:w="3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FB96D">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广东省水土流失动态监测成果报告</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500BF">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26.08</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3E40B">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4.20</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AE4F8">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0.89</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DAE99">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0.06</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CF42D">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rPr>
              <w:t>0.18</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0BA48">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36.12</w:t>
            </w:r>
          </w:p>
        </w:tc>
      </w:tr>
      <w:tr w14:paraId="41F5CFA1">
        <w:tblPrEx>
          <w:tblCellMar>
            <w:top w:w="0" w:type="dxa"/>
            <w:left w:w="0" w:type="dxa"/>
            <w:bottom w:w="0" w:type="dxa"/>
            <w:right w:w="0" w:type="dxa"/>
          </w:tblCellMar>
        </w:tblPrEx>
        <w:trPr>
          <w:trHeight w:val="37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A4E4A">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2023</w:t>
            </w:r>
          </w:p>
        </w:tc>
        <w:tc>
          <w:tcPr>
            <w:tcW w:w="3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A01BF">
            <w:pPr>
              <w:pStyle w:val="48"/>
              <w:spacing w:before="0" w:beforeLines="0"/>
              <w:rPr>
                <w:rFonts w:hint="default" w:ascii="Times New Roman" w:hAnsi="Times New Roman" w:cs="Times New Roman" w:eastAsiaTheme="majorEastAsia"/>
              </w:rPr>
            </w:pPr>
            <w:r>
              <w:rPr>
                <w:rFonts w:hint="default" w:ascii="Times New Roman" w:hAnsi="Times New Roman" w:cs="Times New Roman" w:eastAsiaTheme="majorEastAsia"/>
                <w:lang w:val="en-US" w:eastAsia="zh-CN"/>
              </w:rPr>
              <w:t>广东省水土流失动态监测成果报告</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10095">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91.29</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48D4B">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4.60</w:t>
            </w:r>
          </w:p>
        </w:tc>
        <w:tc>
          <w:tcPr>
            <w:tcW w:w="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C24C4">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0.19</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AD42F">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0.03</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4DCB0">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0.00</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1BF42">
            <w:pPr>
              <w:pStyle w:val="48"/>
              <w:spacing w:before="0" w:beforeLines="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96.11</w:t>
            </w:r>
          </w:p>
        </w:tc>
      </w:tr>
    </w:tbl>
    <w:p w14:paraId="6BC573A0">
      <w:pPr>
        <w:pStyle w:val="8"/>
        <w:ind w:firstLine="0"/>
        <w:rPr>
          <w:rFonts w:hint="default" w:ascii="Times New Roman" w:hAnsi="Times New Roman" w:cs="Times New Roman"/>
        </w:rPr>
      </w:pPr>
      <w:r>
        <w:rPr>
          <w:rFonts w:hint="default" w:ascii="Times New Roman" w:hAnsi="Times New Roman" w:cs="Times New Roman"/>
        </w:rPr>
        <w:drawing>
          <wp:inline distT="0" distB="0" distL="114300" distR="114300">
            <wp:extent cx="5275580" cy="2778125"/>
            <wp:effectExtent l="4445" t="4445" r="15875" b="17780"/>
            <wp:docPr id="5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D32998">
      <w:pPr>
        <w:pStyle w:val="51"/>
        <w:snapToGrid w:val="0"/>
        <w:spacing w:line="240" w:lineRule="auto"/>
        <w:rPr>
          <w:rFonts w:hint="default" w:ascii="Times New Roman" w:hAnsi="Times New Roman" w:cs="Times New Roman"/>
          <w:kern w:val="2"/>
          <w:lang w:eastAsia="zh-CN"/>
        </w:rPr>
      </w:pP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3</w:t>
      </w:r>
      <w:r>
        <w:rPr>
          <w:rFonts w:hint="default" w:ascii="Times New Roman" w:hAnsi="Times New Roman" w:cs="Times New Roman" w:eastAsiaTheme="minorEastAsia"/>
          <w:b/>
          <w:sz w:val="24"/>
          <w:szCs w:val="24"/>
        </w:rPr>
        <w:t>-1 雷州市历次水土流失调查土壤侵蚀面积统计图</w:t>
      </w:r>
    </w:p>
    <w:p w14:paraId="7EBBAF80">
      <w:pPr>
        <w:snapToGrid w:val="0"/>
        <w:spacing w:before="190" w:beforeLines="50"/>
        <w:ind w:firstLine="480"/>
        <w:jc w:val="both"/>
        <w:rPr>
          <w:rFonts w:hint="default" w:ascii="Times New Roman" w:hAnsi="Times New Roman" w:cs="Times New Roman"/>
          <w:kern w:val="2"/>
          <w:lang w:eastAsia="zh-CN"/>
        </w:rPr>
      </w:pPr>
      <w:r>
        <w:rPr>
          <w:rFonts w:hint="default" w:ascii="Times New Roman" w:hAnsi="Times New Roman" w:cs="Times New Roman"/>
          <w:kern w:val="2"/>
          <w:lang w:eastAsia="zh-CN"/>
        </w:rPr>
        <w:t>根据表</w:t>
      </w:r>
      <w:r>
        <w:rPr>
          <w:rFonts w:hint="default" w:ascii="Times New Roman" w:hAnsi="Times New Roman" w:cs="Times New Roman"/>
          <w:kern w:val="2"/>
          <w:lang w:val="en-US" w:eastAsia="zh-CN"/>
        </w:rPr>
        <w:t>3</w:t>
      </w:r>
      <w:r>
        <w:rPr>
          <w:rFonts w:hint="default" w:ascii="Times New Roman" w:hAnsi="Times New Roman" w:cs="Times New Roman"/>
          <w:kern w:val="2"/>
          <w:lang w:eastAsia="zh-CN"/>
        </w:rPr>
        <w:t>-1，图</w:t>
      </w:r>
      <w:r>
        <w:rPr>
          <w:rFonts w:hint="default" w:ascii="Times New Roman" w:hAnsi="Times New Roman" w:cs="Times New Roman"/>
          <w:kern w:val="2"/>
          <w:lang w:val="en-US" w:eastAsia="zh-CN"/>
        </w:rPr>
        <w:t>3</w:t>
      </w:r>
      <w:r>
        <w:rPr>
          <w:rFonts w:hint="default" w:ascii="Times New Roman" w:hAnsi="Times New Roman" w:cs="Times New Roman"/>
          <w:kern w:val="2"/>
          <w:lang w:eastAsia="zh-CN"/>
        </w:rPr>
        <w:t>-2，2011年全国第一次水利普查雷州市土壤侵蚀面积为210.87km</w:t>
      </w:r>
      <w:r>
        <w:rPr>
          <w:rFonts w:hint="default" w:ascii="Times New Roman" w:hAnsi="Times New Roman" w:cs="Times New Roman"/>
          <w:kern w:val="2"/>
          <w:vertAlign w:val="superscript"/>
          <w:lang w:eastAsia="zh-CN"/>
        </w:rPr>
        <w:t>2</w:t>
      </w:r>
      <w:r>
        <w:rPr>
          <w:rFonts w:hint="default" w:ascii="Times New Roman" w:hAnsi="Times New Roman" w:cs="Times New Roman"/>
          <w:kern w:val="2"/>
          <w:lang w:eastAsia="zh-CN"/>
        </w:rPr>
        <w:t>，2013年广东省第四次水土流失遥感普查雷州市土壤侵蚀面积为13.58km</w:t>
      </w:r>
      <w:r>
        <w:rPr>
          <w:rFonts w:hint="default" w:ascii="Times New Roman" w:hAnsi="Times New Roman" w:cs="Times New Roman"/>
          <w:kern w:val="2"/>
          <w:vertAlign w:val="superscript"/>
          <w:lang w:eastAsia="zh-CN"/>
        </w:rPr>
        <w:t>2</w:t>
      </w:r>
      <w:r>
        <w:rPr>
          <w:rFonts w:hint="default" w:ascii="Times New Roman" w:hAnsi="Times New Roman" w:cs="Times New Roman"/>
          <w:kern w:val="2"/>
          <w:lang w:eastAsia="zh-CN"/>
        </w:rPr>
        <w:t>，2018年广东省第五次水土流失遥感普查雷州市土壤侵蚀面积为26.94km</w:t>
      </w:r>
      <w:r>
        <w:rPr>
          <w:rFonts w:hint="default" w:ascii="Times New Roman" w:hAnsi="Times New Roman" w:cs="Times New Roman"/>
          <w:kern w:val="2"/>
          <w:vertAlign w:val="superscript"/>
          <w:lang w:eastAsia="zh-CN"/>
        </w:rPr>
        <w:t>2</w:t>
      </w:r>
      <w:r>
        <w:rPr>
          <w:rFonts w:hint="default" w:ascii="Times New Roman" w:hAnsi="Times New Roman" w:cs="Times New Roman"/>
          <w:kern w:val="2"/>
          <w:lang w:eastAsia="zh-CN"/>
        </w:rPr>
        <w:t>，</w:t>
      </w:r>
      <w:r>
        <w:rPr>
          <w:rFonts w:hint="default" w:ascii="Times New Roman" w:hAnsi="Times New Roman" w:cs="Times New Roman"/>
          <w:kern w:val="2"/>
          <w:lang w:val="en-US" w:eastAsia="zh-CN"/>
        </w:rPr>
        <w:t>2022年</w:t>
      </w:r>
      <w:r>
        <w:rPr>
          <w:rFonts w:hint="default" w:ascii="Times New Roman" w:hAnsi="Times New Roman" w:cs="Times New Roman" w:eastAsiaTheme="majorEastAsia"/>
          <w:lang w:val="en-US" w:eastAsia="zh-CN"/>
        </w:rPr>
        <w:t>广东省水土流失动态监测成果报告，</w:t>
      </w:r>
      <w:r>
        <w:rPr>
          <w:rFonts w:hint="default" w:ascii="Times New Roman" w:hAnsi="Times New Roman" w:cs="Times New Roman"/>
          <w:kern w:val="2"/>
          <w:lang w:eastAsia="zh-CN"/>
        </w:rPr>
        <w:t>雷州市土壤侵蚀面积为</w:t>
      </w:r>
      <w:r>
        <w:rPr>
          <w:rFonts w:hint="default" w:ascii="Times New Roman" w:hAnsi="Times New Roman" w:cs="Times New Roman"/>
          <w:kern w:val="2"/>
          <w:lang w:val="en-US" w:eastAsia="zh-CN"/>
        </w:rPr>
        <w:t>36.12</w:t>
      </w:r>
      <w:r>
        <w:rPr>
          <w:rFonts w:hint="default" w:ascii="Times New Roman" w:hAnsi="Times New Roman" w:cs="Times New Roman"/>
          <w:kern w:val="2"/>
          <w:lang w:eastAsia="zh-CN"/>
        </w:rPr>
        <w:t>km</w:t>
      </w:r>
      <w:r>
        <w:rPr>
          <w:rFonts w:hint="default" w:ascii="Times New Roman" w:hAnsi="Times New Roman" w:cs="Times New Roman"/>
          <w:kern w:val="2"/>
          <w:vertAlign w:val="superscript"/>
          <w:lang w:eastAsia="zh-CN"/>
        </w:rPr>
        <w:t>2</w:t>
      </w:r>
      <w:r>
        <w:rPr>
          <w:rFonts w:hint="default" w:ascii="Times New Roman" w:hAnsi="Times New Roman" w:cs="Times New Roman"/>
          <w:kern w:val="2"/>
          <w:lang w:eastAsia="zh-CN"/>
        </w:rPr>
        <w:t>。</w:t>
      </w:r>
      <w:r>
        <w:rPr>
          <w:rFonts w:hint="default" w:ascii="Times New Roman" w:hAnsi="Times New Roman" w:cs="Times New Roman"/>
          <w:kern w:val="2"/>
          <w:lang w:val="en-US" w:eastAsia="zh-CN"/>
        </w:rPr>
        <w:t>2023年</w:t>
      </w:r>
      <w:r>
        <w:rPr>
          <w:rFonts w:hint="default" w:ascii="Times New Roman" w:hAnsi="Times New Roman" w:cs="Times New Roman" w:eastAsiaTheme="majorEastAsia"/>
          <w:lang w:val="en-US" w:eastAsia="zh-CN"/>
        </w:rPr>
        <w:t>广东省水土流失动态监测成果报告，</w:t>
      </w:r>
      <w:r>
        <w:rPr>
          <w:rFonts w:hint="default" w:ascii="Times New Roman" w:hAnsi="Times New Roman" w:cs="Times New Roman"/>
          <w:kern w:val="2"/>
          <w:lang w:eastAsia="zh-CN"/>
        </w:rPr>
        <w:t>雷州市土壤侵蚀面积为</w:t>
      </w:r>
      <w:r>
        <w:rPr>
          <w:rFonts w:hint="default" w:ascii="Times New Roman" w:hAnsi="Times New Roman" w:cs="Times New Roman"/>
          <w:kern w:val="2"/>
          <w:lang w:val="en-US" w:eastAsia="zh-CN"/>
        </w:rPr>
        <w:t>96.11</w:t>
      </w:r>
      <w:r>
        <w:rPr>
          <w:rFonts w:hint="default" w:ascii="Times New Roman" w:hAnsi="Times New Roman" w:cs="Times New Roman"/>
          <w:kern w:val="2"/>
          <w:lang w:eastAsia="zh-CN"/>
        </w:rPr>
        <w:t>km</w:t>
      </w:r>
      <w:r>
        <w:rPr>
          <w:rFonts w:hint="default" w:ascii="Times New Roman" w:hAnsi="Times New Roman" w:cs="Times New Roman"/>
          <w:kern w:val="2"/>
          <w:vertAlign w:val="superscript"/>
          <w:lang w:eastAsia="zh-CN"/>
        </w:rPr>
        <w:t>2</w:t>
      </w:r>
      <w:r>
        <w:rPr>
          <w:rFonts w:hint="default" w:ascii="Times New Roman" w:hAnsi="Times New Roman" w:cs="Times New Roman"/>
          <w:kern w:val="2"/>
          <w:lang w:eastAsia="zh-CN"/>
        </w:rPr>
        <w:t>。</w:t>
      </w:r>
    </w:p>
    <w:p w14:paraId="5AED47EF">
      <w:pPr>
        <w:snapToGrid w:val="0"/>
        <w:ind w:firstLine="480"/>
        <w:jc w:val="both"/>
        <w:rPr>
          <w:rFonts w:hint="default" w:ascii="Times New Roman" w:hAnsi="Times New Roman" w:cs="Times New Roman"/>
          <w:kern w:val="2"/>
          <w:sz w:val="24"/>
          <w:szCs w:val="24"/>
          <w:lang w:eastAsia="zh-CN"/>
        </w:rPr>
      </w:pPr>
      <w:r>
        <w:rPr>
          <w:rFonts w:hint="default" w:ascii="Times New Roman" w:hAnsi="Times New Roman" w:cs="Times New Roman"/>
          <w:kern w:val="2"/>
          <w:sz w:val="24"/>
          <w:szCs w:val="24"/>
          <w:lang w:eastAsia="zh-CN"/>
        </w:rPr>
        <w:t>其中，第一次水利普查采用实地测量与插值法获取的土壤侵蚀数据</w:t>
      </w:r>
      <w:r>
        <w:rPr>
          <w:rFonts w:hint="eastAsia" w:cs="Times New Roman"/>
          <w:kern w:val="2"/>
          <w:sz w:val="24"/>
          <w:szCs w:val="24"/>
          <w:lang w:eastAsia="zh-CN"/>
        </w:rPr>
        <w:t>。</w:t>
      </w:r>
      <w:r>
        <w:rPr>
          <w:rFonts w:hint="default" w:ascii="Times New Roman" w:hAnsi="Times New Roman" w:cs="Times New Roman"/>
          <w:kern w:val="2"/>
          <w:sz w:val="24"/>
          <w:szCs w:val="24"/>
          <w:lang w:eastAsia="zh-CN"/>
        </w:rPr>
        <w:t>广东省第四次水土流失遥感普查基于《土壤侵蚀分类分级标准》，采用土地利用、植被覆盖度和坡度三因子获取的土壤侵蚀数据，而广东省第五次水土流失遥感普查调查</w:t>
      </w:r>
      <w:r>
        <w:rPr>
          <w:rFonts w:hint="default" w:ascii="Times New Roman" w:hAnsi="Times New Roman" w:cs="Times New Roman"/>
          <w:kern w:val="2"/>
          <w:sz w:val="24"/>
          <w:szCs w:val="24"/>
          <w:lang w:val="en-US" w:eastAsia="zh-CN"/>
        </w:rPr>
        <w:t>以后的动态监测</w:t>
      </w:r>
      <w:r>
        <w:rPr>
          <w:rFonts w:hint="default" w:ascii="Times New Roman" w:hAnsi="Times New Roman" w:cs="Times New Roman"/>
          <w:kern w:val="2"/>
          <w:sz w:val="24"/>
          <w:szCs w:val="24"/>
          <w:lang w:eastAsia="zh-CN"/>
        </w:rPr>
        <w:t>均基于七个水土流失因子采用中国土壤流失方程CSLE模型进行侵蚀计算。</w:t>
      </w:r>
    </w:p>
    <w:p w14:paraId="11D543EA">
      <w:pPr>
        <w:pStyle w:val="2"/>
        <w:snapToGrid w:val="0"/>
        <w:ind w:firstLine="480"/>
        <w:rPr>
          <w:rFonts w:hint="default" w:ascii="Times New Roman" w:hAnsi="Times New Roman" w:cs="Times New Roman"/>
          <w:sz w:val="24"/>
          <w:szCs w:val="24"/>
          <w:lang w:eastAsia="zh-CN"/>
        </w:rPr>
      </w:pPr>
      <w:r>
        <w:rPr>
          <w:rFonts w:hint="eastAsia" w:ascii="Times New Roman" w:hAnsi="Times New Roman" w:cs="Times New Roman"/>
          <w:kern w:val="2"/>
          <w:sz w:val="24"/>
          <w:szCs w:val="24"/>
          <w:lang w:val="en-US" w:eastAsia="zh-CN"/>
        </w:rPr>
        <w:t>从图上可以看出，从第一次水土流失遥感调查后，雷州市的土壤侵蚀面积是逐年增加。这主要是调查方法的改变和调查参数的选取，尤其是后2022和2023年两次的侵蚀的调查精度更高，。</w:t>
      </w:r>
      <w:r>
        <w:rPr>
          <w:rFonts w:hint="default" w:ascii="Times New Roman" w:hAnsi="Times New Roman" w:cs="Times New Roman"/>
          <w:kern w:val="2"/>
          <w:sz w:val="24"/>
          <w:szCs w:val="24"/>
          <w:lang w:eastAsia="zh-CN"/>
        </w:rPr>
        <w:t>同上两次水土流失遥感调查成果相比，本次调查雷州市的土壤侵蚀面积</w:t>
      </w:r>
      <w:r>
        <w:rPr>
          <w:rFonts w:hint="default" w:ascii="Times New Roman" w:hAnsi="Times New Roman" w:cs="Times New Roman"/>
          <w:kern w:val="2"/>
          <w:sz w:val="24"/>
          <w:szCs w:val="24"/>
          <w:lang w:val="en-US" w:eastAsia="zh-CN"/>
        </w:rPr>
        <w:t>增加较多</w:t>
      </w:r>
      <w:r>
        <w:rPr>
          <w:rFonts w:hint="eastAsia" w:ascii="Times New Roman" w:hAnsi="Times New Roman" w:cs="Times New Roman"/>
          <w:kern w:val="2"/>
          <w:sz w:val="24"/>
          <w:szCs w:val="24"/>
          <w:lang w:val="en-US" w:eastAsia="zh-CN"/>
        </w:rPr>
        <w:t>。增加的主要是轻度侵蚀，中度侵蚀基本持平，强烈以上的侵蚀面积都是减少的。</w:t>
      </w:r>
    </w:p>
    <w:p w14:paraId="5EE5815C">
      <w:pPr>
        <w:pStyle w:val="7"/>
        <w:numPr>
          <w:ilvl w:val="0"/>
          <w:numId w:val="0"/>
        </w:numPr>
        <w:snapToGrid w:val="0"/>
        <w:spacing w:before="190" w:beforeLines="50" w:beforeAutospacing="0" w:after="0" w:afterAutospacing="0"/>
        <w:rPr>
          <w:rFonts w:hint="default" w:ascii="Times New Roman" w:hAnsi="Times New Roman" w:cs="Times New Roman"/>
          <w:lang w:eastAsia="zh-CN"/>
        </w:rPr>
      </w:pPr>
      <w:bookmarkStart w:id="60" w:name="_Toc520723968"/>
      <w:bookmarkStart w:id="61" w:name="_Toc4560"/>
      <w:bookmarkStart w:id="62" w:name="_Toc29475"/>
      <w:r>
        <w:rPr>
          <w:rFonts w:hint="default" w:ascii="Times New Roman" w:hAnsi="Times New Roman" w:cs="Times New Roman"/>
          <w:lang w:val="en-US" w:eastAsia="zh-CN"/>
        </w:rPr>
        <w:t>3</w:t>
      </w:r>
      <w:r>
        <w:rPr>
          <w:rFonts w:hint="default" w:ascii="Times New Roman" w:hAnsi="Times New Roman" w:cs="Times New Roman"/>
          <w:lang w:eastAsia="zh-CN"/>
        </w:rPr>
        <w:t>.2 侵蚀变化的原因分析</w:t>
      </w:r>
      <w:bookmarkEnd w:id="60"/>
      <w:bookmarkEnd w:id="61"/>
      <w:bookmarkEnd w:id="62"/>
    </w:p>
    <w:p w14:paraId="2B3976A3">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（1）采用的技术手段有所差异引起的误差。</w:t>
      </w:r>
      <w:r>
        <w:rPr>
          <w:rFonts w:hint="default" w:ascii="Times New Roman" w:hAnsi="Times New Roman" w:cs="Times New Roman"/>
          <w:kern w:val="2"/>
          <w:lang w:eastAsia="zh-CN"/>
        </w:rPr>
        <w:t>第一次水利普查采用实地测量与插值法获取的土壤侵蚀数据、广东省第四次水土流失遥感普查基于《土壤侵蚀分类分级标准》，采用土地利用、植被覆盖度和坡度三因子获取的土壤侵蚀数据，而广东省第五次水土流失遥感普查调查</w:t>
      </w:r>
      <w:r>
        <w:rPr>
          <w:rFonts w:hint="default" w:ascii="Times New Roman" w:hAnsi="Times New Roman" w:cs="Times New Roman"/>
          <w:kern w:val="2"/>
          <w:lang w:val="en-US" w:eastAsia="zh-CN"/>
        </w:rPr>
        <w:t>及以后的</w:t>
      </w:r>
      <w:r>
        <w:rPr>
          <w:rFonts w:hint="default" w:ascii="Times New Roman" w:hAnsi="Times New Roman" w:cs="Times New Roman"/>
          <w:kern w:val="2"/>
          <w:lang w:eastAsia="zh-CN"/>
        </w:rPr>
        <w:t>广东省水土流失动态监测均基于中国土壤流失方程进行侵蚀计算，</w:t>
      </w:r>
      <w:r>
        <w:rPr>
          <w:rFonts w:hint="default" w:ascii="Times New Roman" w:hAnsi="Times New Roman" w:cs="Times New Roman"/>
          <w:lang w:eastAsia="zh-CN"/>
        </w:rPr>
        <w:t>考虑因素更全面，调查范围也更广泛。</w:t>
      </w:r>
    </w:p>
    <w:p w14:paraId="2B7E05EC">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（2）本次调查主要采取全色2m、多光谱8m空间分辨率的高分遥感影像，遥感数据精度更高，能识别和提取更为细小的侵蚀图斑。</w:t>
      </w:r>
    </w:p>
    <w:p w14:paraId="7F4B1860">
      <w:pPr>
        <w:snapToGrid w:val="0"/>
        <w:ind w:firstLine="480"/>
        <w:rPr>
          <w:rFonts w:hint="default" w:ascii="Times New Roman" w:hAnsi="Times New Roman" w:cs="Times New Roman"/>
          <w:lang w:eastAsia="zh-CN"/>
        </w:rPr>
      </w:pPr>
      <w:r>
        <w:rPr>
          <w:rFonts w:hint="default" w:ascii="Times New Roman" w:hAnsi="Times New Roman" w:cs="Times New Roman"/>
          <w:lang w:eastAsia="zh-CN"/>
        </w:rPr>
        <w:t>（3）近年来，雷州市高度重视</w:t>
      </w:r>
      <w:r>
        <w:rPr>
          <w:rFonts w:hint="eastAsia" w:cs="Times New Roman"/>
          <w:lang w:val="en-US" w:eastAsia="zh-CN"/>
        </w:rPr>
        <w:t>开发建设项目水土保持全流程工作，减少了强烈以上的侵蚀面积。同事雷州市</w:t>
      </w:r>
      <w:r>
        <w:rPr>
          <w:rFonts w:hint="default" w:ascii="Times New Roman" w:hAnsi="Times New Roman" w:cs="Times New Roman"/>
          <w:lang w:eastAsia="zh-CN"/>
        </w:rPr>
        <w:t>积极在水土流失严重地区开展了多项治理工作，主要包括基本农田改造、水土保持林种植以及其他相关水土保持工作，有效减少了</w:t>
      </w:r>
      <w:r>
        <w:rPr>
          <w:rFonts w:hint="eastAsia" w:cs="Times New Roman"/>
          <w:lang w:val="en-US" w:eastAsia="zh-CN"/>
        </w:rPr>
        <w:t>中度及以上</w:t>
      </w:r>
      <w:r>
        <w:rPr>
          <w:rFonts w:hint="default" w:ascii="Times New Roman" w:hAnsi="Times New Roman" w:cs="Times New Roman"/>
          <w:lang w:eastAsia="zh-CN"/>
        </w:rPr>
        <w:t>水土流失的发生。</w:t>
      </w:r>
    </w:p>
    <w:p w14:paraId="5DD89BDF">
      <w:pPr>
        <w:pStyle w:val="2"/>
        <w:ind w:firstLine="480"/>
        <w:rPr>
          <w:rFonts w:hint="default" w:ascii="Times New Roman" w:hAnsi="Times New Roman" w:cs="Times New Roman"/>
          <w:lang w:eastAsia="zh-CN"/>
        </w:rPr>
        <w:sectPr>
          <w:pgSz w:w="11906" w:h="16838"/>
          <w:pgMar w:top="1440" w:right="1800" w:bottom="1440" w:left="1800" w:header="851" w:footer="992" w:gutter="0"/>
          <w:cols w:space="720" w:num="1"/>
          <w:docGrid w:type="lines" w:linePitch="381" w:charSpace="0"/>
        </w:sectPr>
      </w:pPr>
    </w:p>
    <w:p w14:paraId="140DDB75">
      <w:pPr>
        <w:pStyle w:val="6"/>
        <w:numPr>
          <w:ilvl w:val="0"/>
          <w:numId w:val="0"/>
        </w:numPr>
        <w:spacing w:before="0" w:beforeLines="0" w:after="156" w:afterLines="50"/>
        <w:rPr>
          <w:rFonts w:hint="default" w:ascii="Times New Roman" w:hAnsi="Times New Roman" w:cs="Times New Roman"/>
          <w:sz w:val="30"/>
          <w:szCs w:val="30"/>
        </w:rPr>
      </w:pPr>
      <w:bookmarkStart w:id="63" w:name="_Toc520723969"/>
      <w:bookmarkStart w:id="64" w:name="_Toc15896"/>
      <w:bookmarkStart w:id="65" w:name="_Toc25831"/>
      <w:bookmarkStart w:id="66" w:name="_Toc13446"/>
      <w:bookmarkStart w:id="67" w:name="_Toc7948_WPSOffice_Level1"/>
      <w:bookmarkStart w:id="68" w:name="_Toc16192"/>
      <w:bookmarkStart w:id="69" w:name="_Toc21941_WPSOffice_Level1"/>
      <w:bookmarkStart w:id="70" w:name="_Toc21406"/>
      <w:bookmarkStart w:id="71" w:name="_Toc13435"/>
      <w:r>
        <w:rPr>
          <w:rFonts w:hint="default" w:ascii="Times New Roman" w:hAnsi="Times New Roman" w:cs="Times New Roman"/>
          <w:sz w:val="30"/>
          <w:szCs w:val="30"/>
          <w:lang w:val="en-US" w:eastAsia="zh-CN"/>
        </w:rPr>
        <w:t>4</w:t>
      </w:r>
      <w:r>
        <w:rPr>
          <w:rFonts w:hint="default" w:ascii="Times New Roman" w:hAnsi="Times New Roman" w:cs="Times New Roman"/>
          <w:sz w:val="30"/>
          <w:szCs w:val="30"/>
        </w:rPr>
        <w:t xml:space="preserve"> 结论与建议</w:t>
      </w:r>
      <w:bookmarkEnd w:id="63"/>
      <w:bookmarkEnd w:id="64"/>
      <w:bookmarkEnd w:id="65"/>
    </w:p>
    <w:p w14:paraId="3EBD5CCD">
      <w:pPr>
        <w:pStyle w:val="7"/>
        <w:numPr>
          <w:ilvl w:val="0"/>
          <w:numId w:val="0"/>
        </w:numPr>
        <w:spacing w:before="156" w:beforeLines="50" w:beforeAutospacing="0" w:after="0" w:afterAutospacing="0"/>
        <w:rPr>
          <w:rFonts w:hint="default" w:ascii="Times New Roman" w:hAnsi="Times New Roman" w:cs="Times New Roman"/>
          <w:lang w:eastAsia="zh-CN"/>
        </w:rPr>
      </w:pPr>
      <w:bookmarkStart w:id="72" w:name="_Toc520723970"/>
      <w:bookmarkStart w:id="73" w:name="_Toc24044"/>
      <w:bookmarkStart w:id="74" w:name="_Toc26597"/>
      <w:r>
        <w:rPr>
          <w:rFonts w:hint="default" w:ascii="Times New Roman" w:hAnsi="Times New Roman" w:cs="Times New Roman"/>
          <w:lang w:val="en-US" w:eastAsia="zh-CN"/>
        </w:rPr>
        <w:t>4</w:t>
      </w:r>
      <w:r>
        <w:rPr>
          <w:rFonts w:hint="default" w:ascii="Times New Roman" w:hAnsi="Times New Roman" w:cs="Times New Roman"/>
          <w:lang w:eastAsia="zh-CN"/>
        </w:rPr>
        <w:t>.1 结论</w:t>
      </w:r>
      <w:bookmarkEnd w:id="72"/>
      <w:bookmarkEnd w:id="73"/>
      <w:bookmarkEnd w:id="74"/>
    </w:p>
    <w:p w14:paraId="4C588DC6">
      <w:pPr>
        <w:pStyle w:val="8"/>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雷州市水土流失总面积为</w:t>
      </w:r>
      <w:r>
        <w:rPr>
          <w:rFonts w:hint="default" w:ascii="Times New Roman" w:hAnsi="Times New Roman" w:cs="Times New Roman"/>
          <w:sz w:val="24"/>
          <w:szCs w:val="24"/>
          <w:lang w:val="en-US" w:eastAsia="zh-CN"/>
        </w:rPr>
        <w:t>96.11</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，占雷州市土地总面积的</w:t>
      </w:r>
      <w:r>
        <w:rPr>
          <w:rFonts w:hint="default" w:ascii="Times New Roman" w:hAnsi="Times New Roman" w:cs="Times New Roman"/>
          <w:sz w:val="24"/>
          <w:szCs w:val="24"/>
          <w:lang w:val="en-US" w:eastAsia="zh-CN"/>
        </w:rPr>
        <w:t>3.18</w:t>
      </w:r>
      <w:r>
        <w:rPr>
          <w:rFonts w:hint="default" w:ascii="Times New Roman" w:hAnsi="Times New Roman" w:cs="Times New Roman"/>
          <w:sz w:val="24"/>
          <w:szCs w:val="24"/>
          <w:lang w:eastAsia="zh-CN"/>
        </w:rPr>
        <w:t>%。其中，轻度侵蚀面积为</w:t>
      </w:r>
      <w:r>
        <w:rPr>
          <w:rFonts w:hint="default" w:ascii="Times New Roman" w:hAnsi="Times New Roman" w:cs="Times New Roman"/>
          <w:sz w:val="24"/>
          <w:szCs w:val="24"/>
          <w:lang w:val="en-US" w:eastAsia="zh-CN"/>
        </w:rPr>
        <w:t>91.29</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，占侵蚀总面积的9</w:t>
      </w:r>
      <w:r>
        <w:rPr>
          <w:rFonts w:hint="default" w:ascii="Times New Roman" w:hAnsi="Times New Roman" w:cs="Times New Roman"/>
          <w:sz w:val="24"/>
          <w:szCs w:val="24"/>
          <w:lang w:val="en-US" w:eastAsia="zh-CN"/>
        </w:rPr>
        <w:t>4.98</w:t>
      </w:r>
      <w:r>
        <w:rPr>
          <w:rFonts w:hint="default" w:ascii="Times New Roman" w:hAnsi="Times New Roman" w:cs="Times New Roman"/>
          <w:sz w:val="24"/>
          <w:szCs w:val="24"/>
          <w:lang w:eastAsia="zh-CN"/>
        </w:rPr>
        <w:t>%；中度侵蚀面积为</w:t>
      </w:r>
      <w:r>
        <w:rPr>
          <w:rFonts w:hint="default" w:ascii="Times New Roman" w:hAnsi="Times New Roman" w:cs="Times New Roman"/>
          <w:sz w:val="24"/>
          <w:szCs w:val="24"/>
          <w:lang w:val="en-US" w:eastAsia="zh-CN"/>
        </w:rPr>
        <w:t>4.60</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，占侵蚀总面积的</w:t>
      </w:r>
      <w:r>
        <w:rPr>
          <w:rFonts w:hint="default" w:ascii="Times New Roman" w:hAnsi="Times New Roman" w:cs="Times New Roman"/>
          <w:sz w:val="24"/>
          <w:szCs w:val="24"/>
          <w:lang w:val="en-US" w:eastAsia="zh-CN"/>
        </w:rPr>
        <w:t>4.79</w:t>
      </w:r>
      <w:r>
        <w:rPr>
          <w:rFonts w:hint="default" w:ascii="Times New Roman" w:hAnsi="Times New Roman" w:cs="Times New Roman"/>
          <w:sz w:val="24"/>
          <w:szCs w:val="24"/>
          <w:lang w:eastAsia="zh-CN"/>
        </w:rPr>
        <w:t>%；强烈侵蚀面积为0.</w:t>
      </w:r>
      <w:r>
        <w:rPr>
          <w:rFonts w:hint="default" w:ascii="Times New Roman" w:hAnsi="Times New Roman" w:cs="Times New Roman"/>
          <w:sz w:val="24"/>
          <w:szCs w:val="24"/>
          <w:lang w:val="en-US" w:eastAsia="zh-CN"/>
        </w:rPr>
        <w:t>19</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，占侵蚀总面积的</w:t>
      </w:r>
      <w:r>
        <w:rPr>
          <w:rFonts w:hint="default" w:ascii="Times New Roman" w:hAnsi="Times New Roman" w:cs="Times New Roman"/>
          <w:sz w:val="24"/>
          <w:szCs w:val="24"/>
          <w:lang w:val="en-US" w:eastAsia="zh-CN"/>
        </w:rPr>
        <w:t>0.20</w:t>
      </w:r>
      <w:r>
        <w:rPr>
          <w:rFonts w:hint="default" w:ascii="Times New Roman" w:hAnsi="Times New Roman" w:cs="Times New Roman"/>
          <w:sz w:val="24"/>
          <w:szCs w:val="24"/>
          <w:lang w:eastAsia="zh-CN"/>
        </w:rPr>
        <w:t>%；极强烈侵蚀面积为0.0</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，占侵蚀总面积的0.0</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%；剧烈侵蚀面积为0.</w:t>
      </w:r>
      <w:r>
        <w:rPr>
          <w:rFonts w:hint="default" w:ascii="Times New Roman" w:hAnsi="Times New Roman" w:cs="Times New Roman"/>
          <w:sz w:val="24"/>
          <w:szCs w:val="24"/>
          <w:lang w:val="en-US" w:eastAsia="zh-CN"/>
        </w:rPr>
        <w:t>00</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。总体上看，侵蚀以轻度侵蚀为主，中度侵蚀其次，强烈</w:t>
      </w:r>
      <w:r>
        <w:rPr>
          <w:rFonts w:hint="default" w:ascii="Times New Roman" w:hAnsi="Times New Roman" w:cs="Times New Roman"/>
          <w:sz w:val="24"/>
          <w:szCs w:val="24"/>
          <w:lang w:val="en-US" w:eastAsia="zh-CN"/>
        </w:rPr>
        <w:t>和</w:t>
      </w:r>
      <w:r>
        <w:rPr>
          <w:rFonts w:hint="default" w:ascii="Times New Roman" w:hAnsi="Times New Roman" w:cs="Times New Roman"/>
          <w:sz w:val="24"/>
          <w:szCs w:val="24"/>
          <w:lang w:eastAsia="zh-CN"/>
        </w:rPr>
        <w:t>极强烈面积占比极小，</w:t>
      </w:r>
      <w:r>
        <w:rPr>
          <w:rFonts w:hint="default" w:ascii="Times New Roman" w:hAnsi="Times New Roman" w:cs="Times New Roman"/>
          <w:sz w:val="24"/>
          <w:szCs w:val="24"/>
          <w:lang w:val="en-US" w:eastAsia="zh-CN"/>
        </w:rPr>
        <w:t>没有</w:t>
      </w:r>
      <w:r>
        <w:rPr>
          <w:rFonts w:hint="default" w:ascii="Times New Roman" w:hAnsi="Times New Roman" w:cs="Times New Roman"/>
          <w:sz w:val="24"/>
          <w:szCs w:val="24"/>
          <w:lang w:eastAsia="zh-CN"/>
        </w:rPr>
        <w:t>剧烈侵蚀。</w:t>
      </w:r>
    </w:p>
    <w:p w14:paraId="560EF0D7">
      <w:pPr>
        <w:pStyle w:val="7"/>
        <w:numPr>
          <w:ilvl w:val="0"/>
          <w:numId w:val="0"/>
        </w:numPr>
        <w:spacing w:before="156" w:beforeLines="50" w:beforeAutospacing="0" w:after="0" w:afterAutospacing="0"/>
        <w:rPr>
          <w:rFonts w:hint="default" w:ascii="Times New Roman" w:hAnsi="Times New Roman" w:cs="Times New Roman"/>
          <w:lang w:eastAsia="zh-CN"/>
        </w:rPr>
      </w:pPr>
      <w:bookmarkStart w:id="75" w:name="_Toc520723971"/>
      <w:bookmarkStart w:id="76" w:name="_Toc11161"/>
      <w:bookmarkStart w:id="77" w:name="_Toc30268"/>
      <w:r>
        <w:rPr>
          <w:rFonts w:hint="default" w:ascii="Times New Roman" w:hAnsi="Times New Roman" w:cs="Times New Roman"/>
          <w:lang w:val="en-US" w:eastAsia="zh-CN"/>
        </w:rPr>
        <w:t>4</w:t>
      </w:r>
      <w:r>
        <w:rPr>
          <w:rFonts w:hint="default" w:ascii="Times New Roman" w:hAnsi="Times New Roman" w:cs="Times New Roman"/>
          <w:lang w:eastAsia="zh-CN"/>
        </w:rPr>
        <w:t>.2 建议</w:t>
      </w:r>
      <w:bookmarkEnd w:id="75"/>
      <w:bookmarkEnd w:id="76"/>
      <w:bookmarkEnd w:id="77"/>
    </w:p>
    <w:p w14:paraId="1C9873C1">
      <w:pPr>
        <w:ind w:firstLine="480"/>
        <w:jc w:val="both"/>
        <w:rPr>
          <w:rFonts w:hint="default" w:ascii="Times New Roman" w:hAnsi="Times New Roman" w:cs="Times New Roman"/>
          <w:lang w:eastAsia="zh-CN"/>
        </w:rPr>
      </w:pPr>
      <w:r>
        <w:rPr>
          <w:rFonts w:hint="default" w:ascii="Times New Roman" w:hAnsi="Times New Roman" w:cs="Times New Roman"/>
          <w:lang w:eastAsia="zh-CN"/>
        </w:rPr>
        <w:t>（1）持续逐年开展雷州市水土流失遥感调查工作。为保障中央与地方的协同推进，提升水土流失动态监测工作的可持续性，全面掌握水土流失年度动态变化情况，支撑水土保持目标责任考核，建议雷州市结合规划和该区实际，编制年度工作方案，落实经费以保障地区水土流失动态监测顺利实施。</w:t>
      </w:r>
    </w:p>
    <w:p w14:paraId="7AA5BF02">
      <w:pPr>
        <w:ind w:firstLine="480"/>
        <w:jc w:val="both"/>
        <w:rPr>
          <w:rFonts w:hint="default" w:ascii="Times New Roman" w:hAnsi="Times New Roman" w:cs="Times New Roman"/>
          <w:lang w:eastAsia="zh-CN"/>
        </w:rPr>
      </w:pPr>
      <w:r>
        <w:rPr>
          <w:rFonts w:hint="default" w:ascii="Times New Roman" w:hAnsi="Times New Roman" w:cs="Times New Roman"/>
          <w:lang w:eastAsia="zh-CN"/>
        </w:rPr>
        <w:t>（2）加强</w:t>
      </w:r>
      <w:r>
        <w:rPr>
          <w:rFonts w:hint="default" w:ascii="Times New Roman" w:hAnsi="Times New Roman" w:cs="Times New Roman"/>
          <w:lang w:val="en-US" w:eastAsia="zh-CN"/>
        </w:rPr>
        <w:t>坡地的治理和保护。</w:t>
      </w:r>
      <w:r>
        <w:rPr>
          <w:rFonts w:hint="default" w:ascii="Times New Roman" w:hAnsi="Times New Roman" w:cs="Times New Roman"/>
          <w:lang w:eastAsia="zh-CN"/>
        </w:rPr>
        <w:t>坡地作为耕地资源的重要组成部分，是</w:t>
      </w:r>
      <w:r>
        <w:rPr>
          <w:rFonts w:hint="default" w:ascii="Times New Roman" w:hAnsi="Times New Roman" w:cs="Times New Roman"/>
          <w:lang w:val="en-US" w:eastAsia="zh-CN"/>
        </w:rPr>
        <w:t>雷州市蔬果</w:t>
      </w:r>
      <w:r>
        <w:rPr>
          <w:rFonts w:hint="default" w:ascii="Times New Roman" w:hAnsi="Times New Roman" w:cs="Times New Roman"/>
          <w:lang w:eastAsia="zh-CN"/>
        </w:rPr>
        <w:t>农赖以生存的基本生产用地，关系到农业生产与群众生活，做好坡地水土流失综合治理工作，意义重大。全面总结坡地治理经验和成效，因地制宜，科学确定不同区域、不同坡度坡地的治理模式。禁垦坡度以上坡地要退耕，禁垦坡度以下且农民确需耕作的坡耕地要分类施策，推广先进实用技术。同时，要与小型农田水利工程建设、农村产业结构调整紧密结合，有效发挥坡地综合治理效益。</w:t>
      </w:r>
    </w:p>
    <w:p w14:paraId="73409B01">
      <w:pPr>
        <w:ind w:firstLine="480"/>
        <w:rPr>
          <w:rFonts w:hint="default" w:ascii="Times New Roman" w:hAnsi="Times New Roman" w:cs="Times New Roman"/>
          <w:lang w:eastAsia="zh-CN"/>
        </w:rPr>
      </w:pPr>
      <w:r>
        <w:rPr>
          <w:rFonts w:hint="default" w:ascii="Times New Roman" w:hAnsi="Times New Roman" w:cs="Times New Roman"/>
          <w:lang w:eastAsia="zh-CN"/>
        </w:rPr>
        <w:t>（3）加强全口径水土保持治理工程图斑精细化工作。为进一步提高水土流失动态监测成果的准确性和全面性，更好地反映水土保持治理工作的成效，应全面囊括水利、自然资源、农业等各行业在水土保持治理工作中的成果，实现雷州市全口径水土保持治理工程图斑精细化管理，以便满足水利部、发展改革委、自然资源部、生态环境部、农业农村部、林草局等七部委《关于开展全国水土保持规划实施情况考核评估工作的通知》的要求。</w:t>
      </w:r>
    </w:p>
    <w:p w14:paraId="18A9B312">
      <w:pPr>
        <w:ind w:firstLine="480"/>
        <w:rPr>
          <w:rFonts w:hint="default" w:ascii="Times New Roman" w:hAnsi="Times New Roman" w:cs="Times New Roman"/>
          <w:lang w:eastAsia="zh-CN"/>
        </w:rPr>
        <w:sectPr>
          <w:pgSz w:w="11850" w:h="16783"/>
          <w:pgMar w:top="1440" w:right="1800" w:bottom="1440" w:left="1800" w:header="851" w:footer="992" w:gutter="0"/>
          <w:cols w:space="720" w:num="1"/>
          <w:docGrid w:type="lines" w:linePitch="312" w:charSpace="0"/>
        </w:sectPr>
      </w:pPr>
      <w:r>
        <w:rPr>
          <w:rFonts w:hint="default" w:ascii="Times New Roman" w:hAnsi="Times New Roman" w:cs="Times New Roman"/>
          <w:lang w:eastAsia="zh-CN"/>
        </w:rPr>
        <w:t>（4）加强水土流失遥感调查成果的应用。推动调查成果在水土保持规划、水土流失治理和水土保持生态效益评价、水土保持考核等方面的应用，提升水土流失动态监测成果的应用效益。</w:t>
      </w:r>
      <w:bookmarkEnd w:id="66"/>
      <w:bookmarkEnd w:id="67"/>
      <w:bookmarkEnd w:id="68"/>
      <w:bookmarkEnd w:id="69"/>
      <w:bookmarkEnd w:id="70"/>
      <w:bookmarkEnd w:id="71"/>
    </w:p>
    <w:p w14:paraId="7854DCB8">
      <w:pPr>
        <w:ind w:firstLine="723"/>
        <w:jc w:val="center"/>
        <w:rPr>
          <w:rFonts w:hint="default" w:ascii="Times New Roman" w:hAnsi="Times New Roman" w:cs="Times New Roman"/>
          <w:b/>
          <w:sz w:val="36"/>
          <w:szCs w:val="36"/>
          <w:lang w:eastAsia="zh-CN"/>
        </w:rPr>
      </w:pPr>
    </w:p>
    <w:p w14:paraId="6FB8629D">
      <w:pPr>
        <w:ind w:firstLine="723"/>
        <w:jc w:val="center"/>
        <w:rPr>
          <w:rFonts w:hint="default" w:ascii="Times New Roman" w:hAnsi="Times New Roman" w:cs="Times New Roman"/>
          <w:b/>
          <w:sz w:val="36"/>
          <w:szCs w:val="36"/>
          <w:lang w:eastAsia="zh-CN"/>
        </w:rPr>
      </w:pPr>
    </w:p>
    <w:p w14:paraId="0ADE6A19">
      <w:pPr>
        <w:ind w:firstLine="723"/>
        <w:jc w:val="center"/>
        <w:rPr>
          <w:rFonts w:hint="default" w:ascii="Times New Roman" w:hAnsi="Times New Roman" w:cs="Times New Roman"/>
          <w:b/>
          <w:sz w:val="36"/>
          <w:szCs w:val="36"/>
          <w:lang w:eastAsia="zh-CN"/>
        </w:rPr>
      </w:pPr>
    </w:p>
    <w:p w14:paraId="52A6BF4F">
      <w:pPr>
        <w:ind w:firstLine="723"/>
        <w:jc w:val="center"/>
        <w:rPr>
          <w:rFonts w:hint="default" w:ascii="Times New Roman" w:hAnsi="Times New Roman" w:cs="Times New Roman"/>
          <w:b/>
          <w:sz w:val="36"/>
          <w:szCs w:val="36"/>
          <w:lang w:eastAsia="zh-CN"/>
        </w:rPr>
      </w:pPr>
    </w:p>
    <w:p w14:paraId="4492CF21">
      <w:pPr>
        <w:ind w:firstLine="723"/>
        <w:jc w:val="center"/>
        <w:rPr>
          <w:rFonts w:hint="default" w:ascii="Times New Roman" w:hAnsi="Times New Roman" w:cs="Times New Roman"/>
          <w:b/>
          <w:sz w:val="36"/>
          <w:szCs w:val="36"/>
          <w:lang w:eastAsia="zh-CN"/>
        </w:rPr>
      </w:pPr>
      <w:r>
        <w:rPr>
          <w:rFonts w:hint="default" w:ascii="Times New Roman" w:hAnsi="Times New Roman" w:cs="Times New Roman"/>
          <w:b/>
          <w:sz w:val="36"/>
          <w:szCs w:val="36"/>
          <w:lang w:eastAsia="zh-CN"/>
        </w:rPr>
        <w:t>雷州市水土保</w:t>
      </w:r>
      <w:r>
        <w:rPr>
          <w:rFonts w:hint="default" w:ascii="Times New Roman" w:hAnsi="Times New Roman" w:cs="Times New Roman"/>
          <w:b/>
          <w:sz w:val="36"/>
          <w:szCs w:val="36"/>
          <w:highlight w:val="none"/>
          <w:lang w:eastAsia="zh-CN"/>
        </w:rPr>
        <w:t>持规划（20</w:t>
      </w:r>
      <w:r>
        <w:rPr>
          <w:rFonts w:hint="default" w:ascii="Times New Roman" w:hAnsi="Times New Roman" w:cs="Times New Roman"/>
          <w:b/>
          <w:sz w:val="36"/>
          <w:szCs w:val="36"/>
          <w:highlight w:val="none"/>
          <w:lang w:val="en-US" w:eastAsia="zh-CN"/>
        </w:rPr>
        <w:t>24-</w:t>
      </w:r>
      <w:r>
        <w:rPr>
          <w:rFonts w:hint="default" w:ascii="Times New Roman" w:hAnsi="Times New Roman" w:cs="Times New Roman"/>
          <w:b/>
          <w:sz w:val="36"/>
          <w:szCs w:val="36"/>
          <w:highlight w:val="none"/>
          <w:lang w:eastAsia="zh-CN"/>
        </w:rPr>
        <w:t>203</w:t>
      </w:r>
      <w:r>
        <w:rPr>
          <w:rFonts w:hint="default" w:ascii="Times New Roman" w:hAnsi="Times New Roman" w:cs="Times New Roman"/>
          <w:b/>
          <w:sz w:val="36"/>
          <w:szCs w:val="36"/>
          <w:highlight w:val="none"/>
          <w:lang w:val="en-US" w:eastAsia="zh-CN"/>
        </w:rPr>
        <w:t>5</w:t>
      </w:r>
      <w:r>
        <w:rPr>
          <w:rFonts w:hint="default" w:ascii="Times New Roman" w:hAnsi="Times New Roman" w:cs="Times New Roman"/>
          <w:b/>
          <w:sz w:val="36"/>
          <w:szCs w:val="36"/>
          <w:highlight w:val="none"/>
          <w:lang w:eastAsia="zh-CN"/>
        </w:rPr>
        <w:t>年）</w:t>
      </w:r>
    </w:p>
    <w:p w14:paraId="59237E3F">
      <w:pPr>
        <w:pStyle w:val="6"/>
        <w:numPr>
          <w:ilvl w:val="0"/>
          <w:numId w:val="0"/>
        </w:numPr>
        <w:spacing w:before="240" w:after="240"/>
        <w:ind w:left="425"/>
        <w:jc w:val="center"/>
        <w:rPr>
          <w:rFonts w:hint="default" w:ascii="Times New Roman" w:hAnsi="Times New Roman" w:cs="Times New Roman"/>
        </w:rPr>
      </w:pPr>
      <w:bookmarkStart w:id="135" w:name="_GoBack"/>
      <w:bookmarkEnd w:id="135"/>
      <w:bookmarkStart w:id="78" w:name="_Toc25780"/>
      <w:r>
        <w:rPr>
          <w:rFonts w:hint="default" w:ascii="Times New Roman" w:hAnsi="Times New Roman" w:cs="Times New Roman"/>
        </w:rPr>
        <w:t>专题二、水土保持区划划分成果报告</w:t>
      </w:r>
      <w:bookmarkEnd w:id="78"/>
    </w:p>
    <w:p w14:paraId="224580E8">
      <w:pPr>
        <w:pStyle w:val="2"/>
        <w:ind w:firstLine="480"/>
        <w:rPr>
          <w:rFonts w:hint="default" w:ascii="Times New Roman" w:hAnsi="Times New Roman" w:cs="Times New Roman"/>
          <w:lang w:eastAsia="zh-CN"/>
        </w:rPr>
      </w:pPr>
    </w:p>
    <w:p w14:paraId="04400504">
      <w:pPr>
        <w:pStyle w:val="2"/>
        <w:ind w:firstLine="480"/>
        <w:rPr>
          <w:rFonts w:hint="default" w:ascii="Times New Roman" w:hAnsi="Times New Roman" w:cs="Times New Roman"/>
          <w:lang w:eastAsia="zh-CN"/>
        </w:rPr>
      </w:pPr>
    </w:p>
    <w:p w14:paraId="47057E18">
      <w:pPr>
        <w:pStyle w:val="2"/>
        <w:ind w:firstLine="480"/>
        <w:rPr>
          <w:rFonts w:hint="default" w:ascii="Times New Roman" w:hAnsi="Times New Roman" w:cs="Times New Roman"/>
          <w:lang w:eastAsia="zh-CN"/>
        </w:rPr>
      </w:pPr>
    </w:p>
    <w:p w14:paraId="479F805E">
      <w:pPr>
        <w:pStyle w:val="2"/>
        <w:ind w:firstLine="480"/>
        <w:rPr>
          <w:rFonts w:hint="default" w:ascii="Times New Roman" w:hAnsi="Times New Roman" w:cs="Times New Roman"/>
          <w:lang w:eastAsia="zh-CN"/>
        </w:rPr>
      </w:pPr>
    </w:p>
    <w:p w14:paraId="361998E6">
      <w:pPr>
        <w:pStyle w:val="2"/>
        <w:ind w:firstLine="480"/>
        <w:rPr>
          <w:rFonts w:hint="default" w:ascii="Times New Roman" w:hAnsi="Times New Roman" w:cs="Times New Roman"/>
          <w:lang w:eastAsia="zh-CN"/>
        </w:rPr>
      </w:pPr>
    </w:p>
    <w:p w14:paraId="5B8AACCF">
      <w:pPr>
        <w:pStyle w:val="2"/>
        <w:ind w:firstLine="480"/>
        <w:rPr>
          <w:rFonts w:hint="default" w:ascii="Times New Roman" w:hAnsi="Times New Roman" w:cs="Times New Roman"/>
          <w:lang w:eastAsia="zh-CN"/>
        </w:rPr>
      </w:pPr>
    </w:p>
    <w:p w14:paraId="12985F0B">
      <w:pPr>
        <w:pStyle w:val="2"/>
        <w:ind w:firstLine="480"/>
        <w:rPr>
          <w:rFonts w:hint="default" w:ascii="Times New Roman" w:hAnsi="Times New Roman" w:cs="Times New Roman"/>
          <w:lang w:eastAsia="zh-CN"/>
        </w:rPr>
      </w:pPr>
    </w:p>
    <w:p w14:paraId="4EC948C9">
      <w:pPr>
        <w:pStyle w:val="2"/>
        <w:ind w:firstLine="480"/>
        <w:rPr>
          <w:rFonts w:hint="default" w:ascii="Times New Roman" w:hAnsi="Times New Roman" w:cs="Times New Roman"/>
          <w:lang w:eastAsia="zh-CN"/>
        </w:rPr>
      </w:pPr>
    </w:p>
    <w:p w14:paraId="1E7ED237">
      <w:pPr>
        <w:pStyle w:val="2"/>
        <w:ind w:firstLine="480"/>
        <w:rPr>
          <w:rFonts w:hint="default" w:ascii="Times New Roman" w:hAnsi="Times New Roman" w:cs="Times New Roman"/>
          <w:lang w:eastAsia="zh-CN"/>
        </w:rPr>
      </w:pPr>
    </w:p>
    <w:p w14:paraId="2A945328">
      <w:pPr>
        <w:pStyle w:val="2"/>
        <w:ind w:firstLine="480"/>
        <w:rPr>
          <w:rFonts w:hint="default" w:ascii="Times New Roman" w:hAnsi="Times New Roman" w:cs="Times New Roman"/>
          <w:lang w:eastAsia="zh-CN"/>
        </w:rPr>
      </w:pPr>
    </w:p>
    <w:p w14:paraId="0520D49C">
      <w:pPr>
        <w:pStyle w:val="2"/>
        <w:ind w:firstLine="480"/>
        <w:rPr>
          <w:rFonts w:hint="default" w:ascii="Times New Roman" w:hAnsi="Times New Roman" w:cs="Times New Roman"/>
          <w:lang w:eastAsia="zh-CN"/>
        </w:rPr>
      </w:pPr>
    </w:p>
    <w:p w14:paraId="0F555613">
      <w:pPr>
        <w:pStyle w:val="2"/>
        <w:ind w:firstLine="480"/>
        <w:rPr>
          <w:rFonts w:hint="default" w:ascii="Times New Roman" w:hAnsi="Times New Roman" w:cs="Times New Roman"/>
          <w:lang w:eastAsia="zh-CN"/>
        </w:rPr>
      </w:pPr>
    </w:p>
    <w:p w14:paraId="0074EF13">
      <w:pPr>
        <w:pStyle w:val="2"/>
        <w:ind w:firstLine="480"/>
        <w:rPr>
          <w:rFonts w:hint="default" w:ascii="Times New Roman" w:hAnsi="Times New Roman" w:cs="Times New Roman"/>
          <w:lang w:eastAsia="zh-CN"/>
        </w:rPr>
      </w:pPr>
    </w:p>
    <w:p w14:paraId="7739AFC5">
      <w:pPr>
        <w:pStyle w:val="2"/>
        <w:ind w:firstLine="480"/>
        <w:rPr>
          <w:rFonts w:hint="default" w:ascii="Times New Roman" w:hAnsi="Times New Roman" w:cs="Times New Roman"/>
          <w:lang w:eastAsia="zh-CN"/>
        </w:rPr>
      </w:pPr>
    </w:p>
    <w:p w14:paraId="343B9215">
      <w:pPr>
        <w:pStyle w:val="2"/>
        <w:ind w:firstLine="480"/>
        <w:rPr>
          <w:rFonts w:hint="default" w:ascii="Times New Roman" w:hAnsi="Times New Roman" w:cs="Times New Roman"/>
          <w:lang w:eastAsia="zh-CN"/>
        </w:rPr>
      </w:pPr>
    </w:p>
    <w:p w14:paraId="0429C972">
      <w:pPr>
        <w:pStyle w:val="2"/>
        <w:ind w:firstLine="480"/>
        <w:rPr>
          <w:rFonts w:hint="default" w:ascii="Times New Roman" w:hAnsi="Times New Roman" w:cs="Times New Roman"/>
          <w:lang w:eastAsia="zh-CN"/>
        </w:rPr>
      </w:pPr>
    </w:p>
    <w:p w14:paraId="09B5E6AF">
      <w:pPr>
        <w:pStyle w:val="2"/>
        <w:ind w:firstLine="480"/>
        <w:rPr>
          <w:rFonts w:hint="default" w:ascii="Times New Roman" w:hAnsi="Times New Roman" w:cs="Times New Roman"/>
          <w:lang w:eastAsia="zh-CN"/>
        </w:rPr>
      </w:pPr>
    </w:p>
    <w:p w14:paraId="122BBB52">
      <w:pPr>
        <w:pStyle w:val="2"/>
        <w:ind w:firstLine="480"/>
        <w:rPr>
          <w:rFonts w:hint="default" w:ascii="Times New Roman" w:hAnsi="Times New Roman" w:cs="Times New Roman"/>
          <w:lang w:eastAsia="zh-CN"/>
        </w:rPr>
      </w:pPr>
    </w:p>
    <w:p w14:paraId="5A3F6077">
      <w:pPr>
        <w:pStyle w:val="2"/>
        <w:ind w:firstLine="1405" w:firstLineChars="500"/>
        <w:rPr>
          <w:rFonts w:hint="default" w:ascii="Times New Roman" w:hAnsi="Times New Roman" w:cs="Times New Roman"/>
          <w:b/>
          <w:sz w:val="28"/>
          <w:szCs w:val="30"/>
          <w:lang w:eastAsia="zh-CN"/>
        </w:rPr>
      </w:pPr>
      <w:r>
        <w:rPr>
          <w:rFonts w:hint="default" w:ascii="Times New Roman" w:hAnsi="Times New Roman" w:cs="Times New Roman"/>
          <w:b/>
          <w:sz w:val="28"/>
          <w:szCs w:val="30"/>
          <w:lang w:eastAsia="zh-CN"/>
        </w:rPr>
        <w:t>委托单位：雷州市水务局</w:t>
      </w:r>
    </w:p>
    <w:p w14:paraId="42BED394">
      <w:pPr>
        <w:pStyle w:val="2"/>
        <w:ind w:firstLine="1405" w:firstLineChars="500"/>
        <w:rPr>
          <w:rFonts w:hint="default" w:ascii="Times New Roman" w:hAnsi="Times New Roman" w:cs="Times New Roman"/>
          <w:b/>
          <w:sz w:val="28"/>
          <w:szCs w:val="30"/>
          <w:lang w:eastAsia="zh-CN"/>
        </w:rPr>
      </w:pPr>
      <w:r>
        <w:rPr>
          <w:rFonts w:hint="default" w:ascii="Times New Roman" w:hAnsi="Times New Roman" w:cs="Times New Roman"/>
          <w:b/>
          <w:sz w:val="28"/>
          <w:szCs w:val="30"/>
          <w:lang w:eastAsia="zh-CN"/>
        </w:rPr>
        <w:t>编制单位：广东河海工程咨询有限公司</w:t>
      </w:r>
    </w:p>
    <w:p w14:paraId="7CE1AFCD">
      <w:pPr>
        <w:pStyle w:val="2"/>
        <w:ind w:firstLine="480"/>
        <w:rPr>
          <w:rFonts w:hint="default" w:ascii="Times New Roman" w:hAnsi="Times New Roman" w:cs="Times New Roman"/>
          <w:lang w:eastAsia="zh-CN"/>
        </w:rPr>
      </w:pPr>
      <w:r>
        <w:rPr>
          <w:rFonts w:hint="default" w:ascii="Times New Roman" w:hAnsi="Times New Roman" w:cs="Times New Roman"/>
          <w:lang w:eastAsia="zh-CN"/>
        </w:rPr>
        <w:br w:type="page"/>
      </w:r>
    </w:p>
    <w:p w14:paraId="5ADFD257">
      <w:pPr>
        <w:pStyle w:val="6"/>
        <w:numPr>
          <w:ilvl w:val="0"/>
          <w:numId w:val="5"/>
        </w:numPr>
        <w:spacing w:before="120" w:beforeLines="50" w:after="120" w:afterLines="50"/>
        <w:ind w:left="0" w:hanging="357"/>
        <w:rPr>
          <w:rFonts w:hint="default" w:ascii="Times New Roman" w:hAnsi="Times New Roman" w:cs="Times New Roman"/>
          <w:sz w:val="30"/>
          <w:szCs w:val="30"/>
        </w:rPr>
      </w:pPr>
      <w:bookmarkStart w:id="79" w:name="_Toc520723973"/>
      <w:bookmarkStart w:id="80" w:name="_Toc28295"/>
      <w:r>
        <w:rPr>
          <w:rFonts w:hint="default" w:ascii="Times New Roman" w:hAnsi="Times New Roman" w:cs="Times New Roman"/>
          <w:sz w:val="30"/>
          <w:szCs w:val="30"/>
        </w:rPr>
        <w:t>区划目的及原则</w:t>
      </w:r>
      <w:bookmarkEnd w:id="79"/>
      <w:bookmarkEnd w:id="80"/>
    </w:p>
    <w:p w14:paraId="799AEA49">
      <w:pPr>
        <w:pStyle w:val="7"/>
        <w:numPr>
          <w:ilvl w:val="0"/>
          <w:numId w:val="0"/>
        </w:numPr>
        <w:spacing w:before="120" w:beforeLines="50" w:beforeAutospacing="0" w:after="0" w:afterAutospacing="0"/>
        <w:rPr>
          <w:rFonts w:hint="default" w:ascii="Times New Roman" w:hAnsi="Times New Roman" w:cs="Times New Roman"/>
          <w:lang w:eastAsia="zh-CN"/>
        </w:rPr>
      </w:pPr>
      <w:bookmarkStart w:id="81" w:name="_Toc471822158"/>
      <w:bookmarkStart w:id="82" w:name="_Toc520723974"/>
      <w:bookmarkStart w:id="83" w:name="_Toc11344"/>
      <w:r>
        <w:rPr>
          <w:rFonts w:hint="default" w:ascii="Times New Roman" w:hAnsi="Times New Roman" w:cs="Times New Roman"/>
          <w:lang w:eastAsia="zh-CN"/>
        </w:rPr>
        <w:t>1.1 区划目的</w:t>
      </w:r>
      <w:bookmarkEnd w:id="81"/>
      <w:bookmarkEnd w:id="82"/>
      <w:bookmarkEnd w:id="83"/>
    </w:p>
    <w:p w14:paraId="2BDCA30B">
      <w:pPr>
        <w:pStyle w:val="64"/>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根据雷州市具体情况和实际需要，在省级和市级区划基础上进一步划分，提出雷州市水土保持区划，并明确水土保持、水土流失防治方向及防治模式。</w:t>
      </w:r>
    </w:p>
    <w:p w14:paraId="28CDABAA">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根据区域水土流失特点、社会经济发展状况及防治需要，系统分析水土流失及其防治现状，制定科学完整的水土保持区划方案，为本次规划的分区防治方案、布局、重点项目布局与规划方案的制定提供决策依据。</w:t>
      </w:r>
    </w:p>
    <w:p w14:paraId="766D1215">
      <w:pPr>
        <w:pStyle w:val="7"/>
        <w:numPr>
          <w:ilvl w:val="0"/>
          <w:numId w:val="0"/>
        </w:numPr>
        <w:spacing w:before="120" w:beforeLines="50" w:beforeAutospacing="0" w:after="0" w:afterAutospacing="0"/>
        <w:rPr>
          <w:rFonts w:hint="default" w:ascii="Times New Roman" w:hAnsi="Times New Roman" w:cs="Times New Roman"/>
          <w:lang w:eastAsia="zh-CN"/>
        </w:rPr>
      </w:pPr>
      <w:bookmarkStart w:id="84" w:name="_Toc4190"/>
      <w:r>
        <w:rPr>
          <w:rFonts w:hint="default" w:ascii="Times New Roman" w:hAnsi="Times New Roman" w:cs="Times New Roman"/>
          <w:lang w:eastAsia="zh-CN"/>
        </w:rPr>
        <w:t>1.2 本区在上位区划中的情况</w:t>
      </w:r>
      <w:bookmarkEnd w:id="84"/>
    </w:p>
    <w:p w14:paraId="2DF47221">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雷州市在全国水土保持区划中属于华南沿海丘陵台地人居环境维护区，在全省四级区划中，雷州市在广东省水土保持区划中属于西部沿海丘陵台地蓄水保水区；雷州市在湛江市水土保持区划中属于南部平原台地蓄水保水和农业防护区。</w:t>
      </w:r>
    </w:p>
    <w:p w14:paraId="2E2DC3DA">
      <w:pPr>
        <w:pStyle w:val="7"/>
        <w:numPr>
          <w:ilvl w:val="0"/>
          <w:numId w:val="0"/>
        </w:numPr>
        <w:spacing w:before="120" w:beforeLines="50" w:beforeAutospacing="0" w:after="0" w:afterAutospacing="0"/>
        <w:rPr>
          <w:rFonts w:hint="default" w:ascii="Times New Roman" w:hAnsi="Times New Roman" w:cs="Times New Roman"/>
          <w:lang w:eastAsia="zh-CN"/>
        </w:rPr>
      </w:pPr>
      <w:bookmarkStart w:id="85" w:name="_Toc471822159"/>
      <w:bookmarkStart w:id="86" w:name="_Toc520723975"/>
      <w:bookmarkStart w:id="87" w:name="_Toc15974"/>
      <w:r>
        <w:rPr>
          <w:rFonts w:hint="default" w:ascii="Times New Roman" w:hAnsi="Times New Roman" w:cs="Times New Roman"/>
          <w:lang w:eastAsia="zh-CN"/>
        </w:rPr>
        <w:t>1.3区划原则</w:t>
      </w:r>
      <w:bookmarkEnd w:id="85"/>
      <w:bookmarkEnd w:id="86"/>
      <w:bookmarkEnd w:id="87"/>
    </w:p>
    <w:p w14:paraId="51E88E00">
      <w:pPr>
        <w:ind w:firstLine="360" w:firstLineChars="150"/>
        <w:jc w:val="both"/>
        <w:rPr>
          <w:rFonts w:hint="default" w:ascii="Times New Roman" w:hAnsi="Times New Roman" w:cs="Times New Roman"/>
          <w:szCs w:val="28"/>
          <w:lang w:eastAsia="zh-CN"/>
        </w:rPr>
      </w:pPr>
      <w:r>
        <w:rPr>
          <w:rFonts w:hint="default" w:ascii="Times New Roman" w:hAnsi="Times New Roman" w:cs="Times New Roman"/>
          <w:szCs w:val="28"/>
          <w:lang w:eastAsia="zh-CN"/>
        </w:rPr>
        <w:t>（1）与上位区区划成果相衔接原则</w:t>
      </w:r>
    </w:p>
    <w:p w14:paraId="350F22FF">
      <w:pPr>
        <w:ind w:firstLine="480"/>
        <w:jc w:val="both"/>
        <w:rPr>
          <w:rFonts w:hint="default" w:ascii="Times New Roman" w:hAnsi="Times New Roman" w:cs="Times New Roman"/>
          <w:szCs w:val="28"/>
          <w:lang w:eastAsia="zh-CN"/>
        </w:rPr>
      </w:pPr>
      <w:r>
        <w:rPr>
          <w:rFonts w:hint="default" w:ascii="Times New Roman" w:hAnsi="Times New Roman" w:cs="Times New Roman"/>
          <w:szCs w:val="28"/>
          <w:lang w:eastAsia="zh-CN"/>
        </w:rPr>
        <w:t>遵循全省区划成果，在湛江市五级分区的基础上，进一步划分六级区，形成县级区划体系。</w:t>
      </w:r>
    </w:p>
    <w:p w14:paraId="78822BF0">
      <w:pPr>
        <w:ind w:firstLine="360" w:firstLineChars="150"/>
        <w:jc w:val="both"/>
        <w:rPr>
          <w:rFonts w:hint="default" w:ascii="Times New Roman" w:hAnsi="Times New Roman" w:cs="Times New Roman"/>
          <w:lang w:eastAsia="zh-CN"/>
        </w:rPr>
      </w:pPr>
      <w:r>
        <w:rPr>
          <w:rFonts w:hint="default" w:ascii="Times New Roman" w:hAnsi="Times New Roman" w:cs="Times New Roman"/>
          <w:lang w:eastAsia="zh-CN"/>
        </w:rPr>
        <w:t>（2）区内相似性和区间差异性原则</w:t>
      </w:r>
    </w:p>
    <w:p w14:paraId="6AED88EC">
      <w:pPr>
        <w:ind w:firstLine="480"/>
        <w:jc w:val="both"/>
        <w:rPr>
          <w:rFonts w:hint="default" w:ascii="Times New Roman" w:hAnsi="Times New Roman" w:cs="Times New Roman"/>
          <w:lang w:eastAsia="zh-CN"/>
        </w:rPr>
      </w:pPr>
      <w:r>
        <w:rPr>
          <w:rFonts w:hint="default" w:ascii="Times New Roman" w:hAnsi="Times New Roman" w:cs="Times New Roman"/>
          <w:lang w:eastAsia="zh-CN"/>
        </w:rPr>
        <w:t>综合把握区域自然社会条件、水土流失特点等特征，突出区内的相似性和区间的差异性，做到区内差异性最小，而区间差异性最大。</w:t>
      </w:r>
    </w:p>
    <w:p w14:paraId="1305EF42">
      <w:pPr>
        <w:ind w:firstLine="360" w:firstLineChars="150"/>
        <w:jc w:val="both"/>
        <w:rPr>
          <w:rFonts w:hint="default" w:ascii="Times New Roman" w:hAnsi="Times New Roman" w:cs="Times New Roman"/>
          <w:lang w:eastAsia="zh-CN"/>
        </w:rPr>
      </w:pPr>
      <w:r>
        <w:rPr>
          <w:rFonts w:hint="default" w:ascii="Times New Roman" w:hAnsi="Times New Roman" w:cs="Times New Roman"/>
          <w:lang w:eastAsia="zh-CN"/>
        </w:rPr>
        <w:t>（3）主导因素和综合性相结合原则</w:t>
      </w:r>
    </w:p>
    <w:p w14:paraId="50EBD39A">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水土保持影响因素众多，既要考虑影响分异的主导因素，又要考虑各因素之间的作用和关系，做到主导因素与综合性相结合。</w:t>
      </w:r>
    </w:p>
    <w:p w14:paraId="7FD6A0EE">
      <w:pPr>
        <w:ind w:firstLine="360" w:firstLineChars="150"/>
        <w:jc w:val="both"/>
        <w:rPr>
          <w:rFonts w:hint="default" w:ascii="Times New Roman" w:hAnsi="Times New Roman" w:cs="Times New Roman"/>
          <w:lang w:eastAsia="zh-CN"/>
        </w:rPr>
      </w:pPr>
      <w:r>
        <w:rPr>
          <w:rFonts w:hint="default" w:ascii="Times New Roman" w:hAnsi="Times New Roman" w:cs="Times New Roman"/>
          <w:lang w:eastAsia="zh-CN"/>
        </w:rPr>
        <w:t>（4）保持行政区划完整、连片原则</w:t>
      </w:r>
    </w:p>
    <w:p w14:paraId="3B70D937">
      <w:pPr>
        <w:ind w:firstLine="480"/>
        <w:jc w:val="both"/>
        <w:rPr>
          <w:rFonts w:hint="default" w:ascii="Times New Roman" w:hAnsi="Times New Roman" w:cs="Times New Roman"/>
          <w:lang w:eastAsia="zh-CN"/>
        </w:rPr>
      </w:pPr>
      <w:r>
        <w:rPr>
          <w:rFonts w:hint="default" w:ascii="Times New Roman" w:hAnsi="Times New Roman" w:cs="Times New Roman"/>
          <w:lang w:eastAsia="zh-CN"/>
        </w:rPr>
        <w:t>尽量与行政区协调，保持镇（区）一级行政区界限的完整性，并使同一分区集中连片，便于水土流失防治工程的实施和水土保持监督管理。</w:t>
      </w:r>
    </w:p>
    <w:p w14:paraId="4D6FE366">
      <w:pPr>
        <w:pStyle w:val="2"/>
        <w:ind w:firstLine="480"/>
        <w:rPr>
          <w:rFonts w:hint="default" w:ascii="Times New Roman" w:hAnsi="Times New Roman" w:cs="Times New Roman"/>
          <w:lang w:eastAsia="zh-CN"/>
        </w:rPr>
      </w:pPr>
    </w:p>
    <w:p w14:paraId="3C4ABEC9">
      <w:pPr>
        <w:pStyle w:val="2"/>
        <w:ind w:firstLine="480"/>
        <w:rPr>
          <w:rFonts w:hint="default" w:ascii="Times New Roman" w:hAnsi="Times New Roman" w:cs="Times New Roman"/>
          <w:lang w:eastAsia="zh-CN"/>
        </w:rPr>
      </w:pPr>
      <w:r>
        <w:rPr>
          <w:rFonts w:hint="default" w:ascii="Times New Roman" w:hAnsi="Times New Roman" w:cs="Times New Roman"/>
          <w:lang w:eastAsia="zh-CN"/>
        </w:rPr>
        <w:br w:type="page"/>
      </w:r>
    </w:p>
    <w:p w14:paraId="66738099">
      <w:pPr>
        <w:pStyle w:val="6"/>
        <w:numPr>
          <w:ilvl w:val="0"/>
          <w:numId w:val="5"/>
        </w:numPr>
        <w:spacing w:before="120" w:beforeLines="50" w:after="120" w:afterLines="50"/>
        <w:ind w:left="0" w:hanging="357"/>
        <w:rPr>
          <w:rFonts w:hint="default" w:ascii="Times New Roman" w:hAnsi="Times New Roman" w:cs="Times New Roman"/>
          <w:sz w:val="30"/>
          <w:szCs w:val="30"/>
        </w:rPr>
      </w:pPr>
      <w:bookmarkStart w:id="88" w:name="_Toc520723976"/>
      <w:bookmarkStart w:id="89" w:name="_Toc20071"/>
      <w:r>
        <w:rPr>
          <w:rFonts w:hint="default" w:ascii="Times New Roman" w:hAnsi="Times New Roman" w:cs="Times New Roman"/>
          <w:sz w:val="30"/>
          <w:szCs w:val="30"/>
        </w:rPr>
        <w:t>区划指标体系</w:t>
      </w:r>
      <w:bookmarkEnd w:id="88"/>
      <w:bookmarkEnd w:id="89"/>
    </w:p>
    <w:p w14:paraId="6712FCFF">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在收集有关专业区划成果的基础上，通过实地调查，根据影响水土流失发生发展的主要因子和综合因子，采用专家评分法，确定以下5类15个因子作为该类型区划分的定量指标和定性指标。由于各类因子对水土流失与治理所起作用的大小不同，分别确定了不同的权重系数。见</w:t>
      </w:r>
      <w:r>
        <w:rPr>
          <w:rFonts w:hint="eastAsia" w:cs="Times New Roman"/>
          <w:lang w:val="en-US" w:eastAsia="zh-CN"/>
        </w:rPr>
        <w:t>雷州</w:t>
      </w:r>
      <w:r>
        <w:rPr>
          <w:rFonts w:hint="default" w:ascii="Times New Roman" w:hAnsi="Times New Roman" w:cs="Times New Roman"/>
          <w:lang w:eastAsia="zh-CN"/>
        </w:rPr>
        <w:t>市水土保持区划指标体系结构图1-1。</w:t>
      </w:r>
    </w:p>
    <w:p w14:paraId="2A2F8BA7">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（1）主导类指标</w:t>
      </w:r>
    </w:p>
    <w:p w14:paraId="081A8F0B">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主导类指标为地貌特征因子，权重为3.0，因子包括：核心指标x</w:t>
      </w:r>
      <w:r>
        <w:rPr>
          <w:rFonts w:hint="default" w:ascii="Times New Roman" w:hAnsi="Times New Roman" w:cs="Times New Roman"/>
          <w:position w:val="-5"/>
          <w:lang w:eastAsia="zh-CN"/>
        </w:rPr>
        <w:t>1</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特征地貌；辅助指标3个，即x</w:t>
      </w:r>
      <w:r>
        <w:rPr>
          <w:rFonts w:hint="default" w:ascii="Times New Roman" w:hAnsi="Times New Roman" w:cs="Times New Roman"/>
          <w:position w:val="-5"/>
          <w:lang w:eastAsia="zh-CN"/>
        </w:rPr>
        <w:t>2</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平均海拔（m），x</w:t>
      </w:r>
      <w:r>
        <w:rPr>
          <w:rFonts w:hint="default" w:ascii="Times New Roman" w:hAnsi="Times New Roman" w:cs="Times New Roman"/>
          <w:position w:val="-5"/>
          <w:lang w:eastAsia="zh-CN"/>
        </w:rPr>
        <w:t>3</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相对高差（m），x</w:t>
      </w:r>
      <w:r>
        <w:rPr>
          <w:rFonts w:hint="default" w:ascii="Times New Roman" w:hAnsi="Times New Roman" w:cs="Times New Roman"/>
          <w:position w:val="-5"/>
          <w:lang w:eastAsia="zh-CN"/>
        </w:rPr>
        <w:t>4</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沟壑密度（km/km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）。以上数据系从万分之一地形图中量算。</w:t>
      </w:r>
    </w:p>
    <w:p w14:paraId="49EABBEC">
      <w:pPr>
        <w:pStyle w:val="66"/>
        <w:numPr>
          <w:ilvl w:val="0"/>
          <w:numId w:val="3"/>
        </w:numPr>
        <w:snapToGrid w:val="0"/>
        <w:jc w:val="both"/>
        <w:rPr>
          <w:rFonts w:hint="default" w:ascii="Times New Roman" w:hAnsi="Times New Roman" w:cs="Times New Roman"/>
          <w:lang w:eastAsia="zh-CN"/>
        </w:rPr>
      </w:pPr>
      <w:r>
        <w:rPr>
          <w:rFonts w:hint="default" w:ascii="Times New Roman" w:hAnsi="Times New Roman" w:cs="Times New Roman"/>
          <w:lang w:eastAsia="zh-CN"/>
        </w:rPr>
        <w:t>综合类指标</w:t>
      </w:r>
    </w:p>
    <w:p w14:paraId="131A2FAB">
      <w:pPr>
        <w:pStyle w:val="66"/>
        <w:snapToGrid w:val="0"/>
        <w:ind w:left="420" w:firstLine="0"/>
        <w:jc w:val="both"/>
        <w:rPr>
          <w:rFonts w:hint="default" w:ascii="Times New Roman" w:hAnsi="Times New Roman" w:cs="Times New Roman"/>
          <w:lang w:eastAsia="zh-CN"/>
        </w:rPr>
      </w:pPr>
      <w:r>
        <w:rPr>
          <w:rFonts w:hint="default" w:ascii="Times New Roman" w:hAnsi="Times New Roman" w:cs="Times New Roman"/>
          <w:lang w:eastAsia="zh-CN"/>
        </w:rPr>
        <w:t>综合类指标包括水土流失特征、社会经济特征、土地利用特征、水土流失防</w:t>
      </w:r>
    </w:p>
    <w:p w14:paraId="1E910DAA">
      <w:pPr>
        <w:snapToGrid w:val="0"/>
        <w:jc w:val="both"/>
        <w:rPr>
          <w:rFonts w:hint="default" w:ascii="Times New Roman" w:hAnsi="Times New Roman" w:cs="Times New Roman"/>
          <w:lang w:eastAsia="zh-CN"/>
        </w:rPr>
      </w:pPr>
      <w:r>
        <w:rPr>
          <w:rFonts w:hint="default" w:ascii="Times New Roman" w:hAnsi="Times New Roman" w:cs="Times New Roman"/>
          <w:lang w:eastAsia="zh-CN"/>
        </w:rPr>
        <w:t>治需求因子等4类，总权重为2.0，包括每类权重0.5。分别为：</w:t>
      </w:r>
    </w:p>
    <w:p w14:paraId="31E631A4">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水土流失特征因子，核心指标x</w:t>
      </w:r>
      <w:r>
        <w:rPr>
          <w:rFonts w:hint="default" w:ascii="Times New Roman" w:hAnsi="Times New Roman" w:cs="Times New Roman"/>
          <w:position w:val="-5"/>
          <w:lang w:eastAsia="zh-CN"/>
        </w:rPr>
        <w:t>5</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土壤侵蚀敏感系数（采用湛江市环境保护规划（2006-2020）中所划分的土壤侵蚀敏感区等级及各街镇的侵蚀敏感性得分）；辅助指标2个包括：x</w:t>
      </w:r>
      <w:r>
        <w:rPr>
          <w:rFonts w:hint="default" w:ascii="Times New Roman" w:hAnsi="Times New Roman" w:cs="Times New Roman"/>
          <w:position w:val="-5"/>
          <w:lang w:eastAsia="zh-CN"/>
        </w:rPr>
        <w:t>6</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中度以上水土流失面积比（％）（数据采用两区划分成果），x</w:t>
      </w:r>
      <w:r>
        <w:rPr>
          <w:rFonts w:hint="default" w:ascii="Times New Roman" w:hAnsi="Times New Roman" w:cs="Times New Roman"/>
          <w:position w:val="-5"/>
          <w:lang w:eastAsia="zh-CN"/>
        </w:rPr>
        <w:t>7</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水土流失面积比（％）（数据采用两区划分成果）。</w:t>
      </w:r>
    </w:p>
    <w:p w14:paraId="43E8C7A8">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社会经济特征因子，核心指标x</w:t>
      </w:r>
      <w:r>
        <w:rPr>
          <w:rFonts w:hint="default" w:ascii="Times New Roman" w:hAnsi="Times New Roman" w:cs="Times New Roman"/>
          <w:position w:val="-5"/>
          <w:lang w:eastAsia="zh-CN"/>
        </w:rPr>
        <w:t>8</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人类活动扰动强度（％）（系指2005~2010年各街镇建设用地面积占其总面积的比例）；辅助指标2个包括：x</w:t>
      </w:r>
      <w:r>
        <w:rPr>
          <w:rFonts w:hint="default" w:ascii="Times New Roman" w:hAnsi="Times New Roman" w:cs="Times New Roman"/>
          <w:position w:val="-5"/>
          <w:lang w:eastAsia="zh-CN"/>
        </w:rPr>
        <w:t>9</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人口密度（人/km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），x</w:t>
      </w:r>
      <w:r>
        <w:rPr>
          <w:rFonts w:hint="default" w:ascii="Times New Roman" w:hAnsi="Times New Roman" w:cs="Times New Roman"/>
          <w:position w:val="-5"/>
          <w:lang w:eastAsia="zh-CN"/>
        </w:rPr>
        <w:t>10</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人均GDP（元）。以上数据来自统计资料。</w:t>
      </w:r>
    </w:p>
    <w:p w14:paraId="0F670949">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土地利用特征因子，核心指标x</w:t>
      </w:r>
      <w:r>
        <w:rPr>
          <w:rFonts w:hint="default" w:ascii="Times New Roman" w:hAnsi="Times New Roman" w:cs="Times New Roman"/>
          <w:position w:val="-5"/>
          <w:lang w:eastAsia="zh-CN"/>
        </w:rPr>
        <w:t>11</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坡耕地比（％）；辅助指标2个包括：x</w:t>
      </w:r>
      <w:r>
        <w:rPr>
          <w:rFonts w:hint="default" w:ascii="Times New Roman" w:hAnsi="Times New Roman" w:cs="Times New Roman"/>
          <w:position w:val="-5"/>
          <w:lang w:eastAsia="zh-CN"/>
        </w:rPr>
        <w:t>12</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植被覆盖率（％），x</w:t>
      </w:r>
      <w:r>
        <w:rPr>
          <w:rFonts w:hint="default" w:ascii="Times New Roman" w:hAnsi="Times New Roman" w:cs="Times New Roman"/>
          <w:position w:val="-5"/>
          <w:lang w:eastAsia="zh-CN"/>
        </w:rPr>
        <w:t>13</w:t>
      </w:r>
      <w:r>
        <w:rPr>
          <w:rFonts w:hint="default" w:ascii="Times New Roman" w:hAnsi="Times New Roman" w:cs="Times New Roman"/>
          <w:position w:val="14"/>
          <w:lang w:eastAsia="zh-CN"/>
        </w:rPr>
        <w:t>′</w:t>
      </w:r>
      <w:r>
        <w:rPr>
          <w:rFonts w:hint="default" w:ascii="Times New Roman" w:hAnsi="Times New Roman" w:cs="Times New Roman"/>
        </w:rPr>
        <w:fldChar w:fldCharType="begin"/>
      </w:r>
      <w:r>
        <w:rPr>
          <w:rFonts w:hint="default" w:ascii="Times New Roman" w:hAnsi="Times New Roman" w:cs="Times New Roman"/>
          <w:lang w:eastAsia="zh-CN"/>
        </w:rPr>
        <w:instrText xml:space="preserve">symbol 151 \f "Times New Roman" \s 14</w:instrText>
      </w:r>
      <w:r>
        <w:rPr>
          <w:rFonts w:hint="default" w:ascii="Times New Roman" w:hAnsi="Times New Roman" w:cs="Times New Roman"/>
        </w:rPr>
        <w:fldChar w:fldCharType="end"/>
      </w:r>
      <w:r>
        <w:rPr>
          <w:rFonts w:hint="default" w:ascii="Times New Roman" w:hAnsi="Times New Roman" w:cs="Times New Roman"/>
          <w:lang w:eastAsia="zh-CN"/>
        </w:rPr>
        <w:t>耕垦指数。以上数据来自土地利用总体规划资料。</w:t>
      </w:r>
    </w:p>
    <w:p w14:paraId="44E8510C">
      <w:pPr>
        <w:snapToGrid w:val="0"/>
        <w:ind w:firstLine="480"/>
        <w:jc w:val="both"/>
        <w:rPr>
          <w:rFonts w:hint="default" w:ascii="Times New Roman" w:hAnsi="Times New Roman" w:cs="Times New Roman"/>
          <w:kern w:val="2"/>
          <w:lang w:eastAsia="zh-CN"/>
        </w:rPr>
      </w:pPr>
      <w:r>
        <w:rPr>
          <w:rFonts w:hint="default" w:ascii="Times New Roman" w:hAnsi="Times New Roman" w:cs="Times New Roman"/>
          <w:kern w:val="2"/>
          <w:lang w:eastAsia="zh-CN"/>
        </w:rPr>
        <w:t>水土流失防治需求因子，核心指标x</w:t>
      </w:r>
      <w:r>
        <w:rPr>
          <w:rFonts w:hint="default" w:ascii="Times New Roman" w:hAnsi="Times New Roman" w:cs="Times New Roman"/>
          <w:kern w:val="2"/>
          <w:position w:val="-5"/>
          <w:lang w:eastAsia="zh-CN"/>
        </w:rPr>
        <w:t>14</w:t>
      </w:r>
      <w:r>
        <w:rPr>
          <w:rFonts w:hint="default" w:ascii="Times New Roman" w:hAnsi="Times New Roman" w:cs="Times New Roman"/>
          <w:kern w:val="2"/>
          <w:position w:val="14"/>
          <w:lang w:eastAsia="zh-CN"/>
        </w:rPr>
        <w:t>′</w:t>
      </w:r>
      <w:r>
        <w:rPr>
          <w:rFonts w:hint="default" w:ascii="Times New Roman" w:hAnsi="Times New Roman" w:cs="Times New Roman"/>
          <w:kern w:val="2"/>
        </w:rPr>
        <w:fldChar w:fldCharType="begin"/>
      </w:r>
      <w:r>
        <w:rPr>
          <w:rFonts w:hint="default" w:ascii="Times New Roman" w:hAnsi="Times New Roman" w:cs="Times New Roman"/>
          <w:kern w:val="2"/>
          <w:lang w:eastAsia="zh-CN"/>
        </w:rPr>
        <w:instrText xml:space="preserve">symbol 151 \f "Times New Roman" \s 14</w:instrText>
      </w:r>
      <w:r>
        <w:rPr>
          <w:rFonts w:hint="default" w:ascii="Times New Roman" w:hAnsi="Times New Roman" w:cs="Times New Roman"/>
          <w:kern w:val="2"/>
        </w:rPr>
        <w:fldChar w:fldCharType="end"/>
      </w:r>
      <w:r>
        <w:rPr>
          <w:rFonts w:hint="default" w:ascii="Times New Roman" w:hAnsi="Times New Roman" w:cs="Times New Roman"/>
          <w:kern w:val="2"/>
          <w:lang w:eastAsia="zh-CN"/>
        </w:rPr>
        <w:t>防治特点，即人为水土流失防治和自然侵蚀防治的比例，分别占重点预防保区、重点治理区的比例。辅助指标x</w:t>
      </w:r>
      <w:r>
        <w:rPr>
          <w:rFonts w:hint="default" w:ascii="Times New Roman" w:hAnsi="Times New Roman" w:cs="Times New Roman"/>
          <w:kern w:val="2"/>
          <w:position w:val="-5"/>
          <w:lang w:eastAsia="zh-CN"/>
        </w:rPr>
        <w:t>15</w:t>
      </w:r>
      <w:r>
        <w:rPr>
          <w:rFonts w:hint="default" w:ascii="Times New Roman" w:hAnsi="Times New Roman" w:cs="Times New Roman"/>
          <w:kern w:val="2"/>
          <w:position w:val="14"/>
          <w:lang w:eastAsia="zh-CN"/>
        </w:rPr>
        <w:t>′</w:t>
      </w:r>
      <w:r>
        <w:rPr>
          <w:rFonts w:hint="default" w:ascii="Times New Roman" w:hAnsi="Times New Roman" w:cs="Times New Roman"/>
          <w:kern w:val="2"/>
        </w:rPr>
        <w:fldChar w:fldCharType="begin"/>
      </w:r>
      <w:r>
        <w:rPr>
          <w:rFonts w:hint="default" w:ascii="Times New Roman" w:hAnsi="Times New Roman" w:cs="Times New Roman"/>
          <w:kern w:val="2"/>
          <w:lang w:eastAsia="zh-CN"/>
        </w:rPr>
        <w:instrText xml:space="preserve">symbol 151 \f "Times New Roman" \s 14</w:instrText>
      </w:r>
      <w:r>
        <w:rPr>
          <w:rFonts w:hint="default" w:ascii="Times New Roman" w:hAnsi="Times New Roman" w:cs="Times New Roman"/>
          <w:kern w:val="2"/>
        </w:rPr>
        <w:fldChar w:fldCharType="end"/>
      </w:r>
      <w:r>
        <w:rPr>
          <w:rFonts w:hint="default" w:ascii="Times New Roman" w:hAnsi="Times New Roman" w:cs="Times New Roman"/>
          <w:kern w:val="2"/>
          <w:lang w:eastAsia="zh-CN"/>
        </w:rPr>
        <w:t>防治需求，即水土保持主要功能。前者根据两区划分资料分析，后者根据实地勘察辨识，结合其它规划综合分析评定。</w:t>
      </w:r>
    </w:p>
    <w:p w14:paraId="4DA449D4">
      <w:pPr>
        <w:ind w:firstLine="480"/>
        <w:jc w:val="both"/>
        <w:rPr>
          <w:rFonts w:hint="default" w:ascii="Times New Roman" w:hAnsi="Times New Roman" w:cs="Times New Roman"/>
          <w:lang w:eastAsia="zh-CN"/>
        </w:rPr>
      </w:pPr>
      <w:r>
        <w:rPr>
          <w:rFonts w:hint="default" w:ascii="Times New Roman" w:hAnsi="Times New Roman" w:cs="Times New Roman"/>
          <w:lang w:eastAsia="zh-CN"/>
        </w:rPr>
        <mc:AlternateContent>
          <mc:Choice Requires="wpg">
            <w:drawing>
              <wp:anchor distT="0" distB="0" distL="114300" distR="114300" simplePos="0" relativeHeight="251661312" behindDoc="0" locked="0" layoutInCell="1" allowOverlap="1">
                <wp:simplePos x="0" y="0"/>
                <wp:positionH relativeFrom="column">
                  <wp:posOffset>2736850</wp:posOffset>
                </wp:positionH>
                <wp:positionV relativeFrom="paragraph">
                  <wp:posOffset>170180</wp:posOffset>
                </wp:positionV>
                <wp:extent cx="2998470" cy="6183630"/>
                <wp:effectExtent l="0" t="0" r="12065" b="26670"/>
                <wp:wrapNone/>
                <wp:docPr id="39" name="组合 39"/>
                <wp:cNvGraphicFramePr/>
                <a:graphic xmlns:a="http://schemas.openxmlformats.org/drawingml/2006/main">
                  <a:graphicData uri="http://schemas.microsoft.com/office/word/2010/wordprocessingGroup">
                    <wpg:wgp>
                      <wpg:cNvGrpSpPr/>
                      <wpg:grpSpPr>
                        <a:xfrm>
                          <a:off x="0" y="0"/>
                          <a:ext cx="2998358" cy="6183668"/>
                          <a:chOff x="6184" y="1906"/>
                          <a:chExt cx="4016" cy="8663"/>
                        </a:xfrm>
                      </wpg:grpSpPr>
                      <wpg:grpSp>
                        <wpg:cNvPr id="40" name="Group 30"/>
                        <wpg:cNvGrpSpPr/>
                        <wpg:grpSpPr>
                          <a:xfrm>
                            <a:off x="6261" y="9333"/>
                            <a:ext cx="2976" cy="1236"/>
                            <a:chOff x="6792" y="10055"/>
                            <a:chExt cx="2976" cy="1236"/>
                          </a:xfrm>
                        </wpg:grpSpPr>
                        <wps:wsp>
                          <wps:cNvPr id="41" name="文本框 2"/>
                          <wps:cNvSpPr txBox="1">
                            <a:spLocks noChangeArrowheads="1"/>
                          </wps:cNvSpPr>
                          <wps:spPr bwMode="auto">
                            <a:xfrm>
                              <a:off x="7105" y="10055"/>
                              <a:ext cx="1251" cy="505"/>
                            </a:xfrm>
                            <a:prstGeom prst="rect">
                              <a:avLst/>
                            </a:prstGeom>
                            <a:solidFill>
                              <a:srgbClr val="FFFFFF"/>
                            </a:solidFill>
                            <a:ln w="9525">
                              <a:solidFill>
                                <a:srgbClr val="000000"/>
                              </a:solidFill>
                              <a:miter lim="800000"/>
                            </a:ln>
                          </wps:spPr>
                          <wps:txbx>
                            <w:txbxContent>
                              <w:p w14:paraId="40D30C19">
                                <w:pPr>
                                  <w:rPr>
                                    <w:sz w:val="21"/>
                                    <w:szCs w:val="21"/>
                                  </w:rPr>
                                </w:pPr>
                                <w:r>
                                  <w:rPr>
                                    <w:rFonts w:hint="eastAsia"/>
                                    <w:sz w:val="21"/>
                                    <w:szCs w:val="21"/>
                                  </w:rPr>
                                  <w:t>核心指标</w:t>
                                </w:r>
                              </w:p>
                            </w:txbxContent>
                          </wps:txbx>
                          <wps:bodyPr rot="0" vert="horz" wrap="square" lIns="91440" tIns="45720" rIns="91440" bIns="45720" anchor="t" anchorCtr="0" upright="1">
                            <a:spAutoFit/>
                          </wps:bodyPr>
                        </wps:wsp>
                        <wps:wsp>
                          <wps:cNvPr id="42" name="文本框 2"/>
                          <wps:cNvSpPr txBox="1">
                            <a:spLocks noChangeArrowheads="1"/>
                          </wps:cNvSpPr>
                          <wps:spPr bwMode="auto">
                            <a:xfrm>
                              <a:off x="7096" y="10786"/>
                              <a:ext cx="1238" cy="505"/>
                            </a:xfrm>
                            <a:prstGeom prst="rect">
                              <a:avLst/>
                            </a:prstGeom>
                            <a:solidFill>
                              <a:srgbClr val="FFFFFF"/>
                            </a:solidFill>
                            <a:ln w="9525">
                              <a:solidFill>
                                <a:srgbClr val="000000"/>
                              </a:solidFill>
                              <a:miter lim="800000"/>
                            </a:ln>
                          </wps:spPr>
                          <wps:txbx>
                            <w:txbxContent>
                              <w:p w14:paraId="3FECF2C1">
                                <w:pPr>
                                  <w:rPr>
                                    <w:sz w:val="21"/>
                                    <w:szCs w:val="21"/>
                                  </w:rPr>
                                </w:pPr>
                                <w:r>
                                  <w:rPr>
                                    <w:rFonts w:hint="eastAsia"/>
                                    <w:sz w:val="21"/>
                                    <w:szCs w:val="21"/>
                                  </w:rPr>
                                  <w:t>辅助指标</w:t>
                                </w:r>
                              </w:p>
                            </w:txbxContent>
                          </wps:txbx>
                          <wps:bodyPr rot="0" vert="horz" wrap="square" lIns="91440" tIns="45720" rIns="91440" bIns="45720" anchor="t" anchorCtr="0" upright="1">
                            <a:spAutoFit/>
                          </wps:bodyPr>
                        </wps:wsp>
                        <wps:wsp>
                          <wps:cNvPr id="43" name="AutoShape 33"/>
                          <wps:cNvSpPr/>
                          <wps:spPr bwMode="auto">
                            <a:xfrm>
                              <a:off x="6792" y="10216"/>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g:grpSp>
                          <wpg:cNvPr id="44" name="Group 34"/>
                          <wpg:cNvGrpSpPr/>
                          <wpg:grpSpPr>
                            <a:xfrm>
                              <a:off x="8373" y="10064"/>
                              <a:ext cx="1313" cy="462"/>
                              <a:chOff x="8934" y="4881"/>
                              <a:chExt cx="2181" cy="462"/>
                            </a:xfrm>
                          </wpg:grpSpPr>
                          <wps:wsp>
                            <wps:cNvPr id="45" name="文本框 2"/>
                            <wps:cNvSpPr txBox="1">
                              <a:spLocks noChangeArrowheads="1"/>
                            </wps:cNvSpPr>
                            <wps:spPr bwMode="auto">
                              <a:xfrm>
                                <a:off x="9272" y="4881"/>
                                <a:ext cx="1843" cy="462"/>
                              </a:xfrm>
                              <a:prstGeom prst="rect">
                                <a:avLst/>
                              </a:prstGeom>
                              <a:solidFill>
                                <a:srgbClr val="FFFFFF"/>
                              </a:solidFill>
                              <a:ln w="9525">
                                <a:solidFill>
                                  <a:srgbClr val="FFFFFF"/>
                                </a:solidFill>
                                <a:miter lim="800000"/>
                              </a:ln>
                            </wps:spPr>
                            <wps:txbx>
                              <w:txbxContent>
                                <w:p w14:paraId="7017B817">
                                  <w:pPr>
                                    <w:ind w:firstLine="360"/>
                                    <w:rPr>
                                      <w:rFonts w:ascii="华文楷体" w:hAnsi="华文楷体" w:eastAsia="华文楷体"/>
                                      <w:sz w:val="18"/>
                                      <w:szCs w:val="18"/>
                                    </w:rPr>
                                  </w:pPr>
                                  <w:r>
                                    <w:rPr>
                                      <w:rFonts w:hint="eastAsia" w:ascii="华文楷体" w:hAnsi="华文楷体" w:eastAsia="华文楷体"/>
                                      <w:sz w:val="18"/>
                                      <w:szCs w:val="18"/>
                                    </w:rPr>
                                    <w:t>防治特点</w:t>
                                  </w:r>
                                </w:p>
                              </w:txbxContent>
                            </wps:txbx>
                            <wps:bodyPr rot="0" vert="horz" wrap="square" lIns="91440" tIns="45720" rIns="91440" bIns="45720" anchor="t" anchorCtr="0" upright="1">
                              <a:noAutofit/>
                            </wps:bodyPr>
                          </wps:wsp>
                          <wps:wsp>
                            <wps:cNvPr id="46" name="AutoShape 36"/>
                            <wps:cNvCnPr>
                              <a:cxnSpLocks noChangeShapeType="1"/>
                            </wps:cNvCnPr>
                            <wps:spPr bwMode="auto">
                              <a:xfrm>
                                <a:off x="8934" y="5099"/>
                                <a:ext cx="451" cy="0"/>
                              </a:xfrm>
                              <a:prstGeom prst="straightConnector1">
                                <a:avLst/>
                              </a:prstGeom>
                              <a:noFill/>
                              <a:ln w="9525">
                                <a:solidFill>
                                  <a:srgbClr val="000000"/>
                                </a:solidFill>
                                <a:round/>
                                <a:tailEnd type="triangle" w="med" len="med"/>
                              </a:ln>
                            </wps:spPr>
                            <wps:bodyPr/>
                          </wps:wsp>
                        </wpg:grpSp>
                        <wpg:grpSp>
                          <wpg:cNvPr id="47" name="Group 37"/>
                          <wpg:cNvGrpSpPr/>
                          <wpg:grpSpPr>
                            <a:xfrm>
                              <a:off x="8356" y="10756"/>
                              <a:ext cx="1412" cy="462"/>
                              <a:chOff x="8934" y="4881"/>
                              <a:chExt cx="2181" cy="462"/>
                            </a:xfrm>
                          </wpg:grpSpPr>
                          <wps:wsp>
                            <wps:cNvPr id="48" name="文本框 2"/>
                            <wps:cNvSpPr txBox="1">
                              <a:spLocks noChangeArrowheads="1"/>
                            </wps:cNvSpPr>
                            <wps:spPr bwMode="auto">
                              <a:xfrm>
                                <a:off x="9272" y="4881"/>
                                <a:ext cx="1843" cy="462"/>
                              </a:xfrm>
                              <a:prstGeom prst="rect">
                                <a:avLst/>
                              </a:prstGeom>
                              <a:solidFill>
                                <a:srgbClr val="FFFFFF"/>
                              </a:solidFill>
                              <a:ln w="9525">
                                <a:solidFill>
                                  <a:srgbClr val="FFFFFF"/>
                                </a:solidFill>
                                <a:miter lim="800000"/>
                              </a:ln>
                            </wps:spPr>
                            <wps:txbx>
                              <w:txbxContent>
                                <w:p w14:paraId="20ADCA86">
                                  <w:pPr>
                                    <w:ind w:firstLine="360"/>
                                    <w:rPr>
                                      <w:rFonts w:ascii="华文楷体" w:hAnsi="华文楷体" w:eastAsia="华文楷体"/>
                                      <w:sz w:val="18"/>
                                      <w:szCs w:val="18"/>
                                    </w:rPr>
                                  </w:pPr>
                                  <w:r>
                                    <w:rPr>
                                      <w:rFonts w:hint="eastAsia" w:ascii="华文楷体" w:hAnsi="华文楷体" w:eastAsia="华文楷体"/>
                                      <w:sz w:val="18"/>
                                      <w:szCs w:val="18"/>
                                    </w:rPr>
                                    <w:t>防治需求</w:t>
                                  </w:r>
                                </w:p>
                              </w:txbxContent>
                            </wps:txbx>
                            <wps:bodyPr rot="0" vert="horz" wrap="square" lIns="91440" tIns="45720" rIns="91440" bIns="45720" anchor="t" anchorCtr="0" upright="1">
                              <a:noAutofit/>
                            </wps:bodyPr>
                          </wps:wsp>
                          <wps:wsp>
                            <wps:cNvPr id="50" name="AutoShape 39"/>
                            <wps:cNvCnPr>
                              <a:cxnSpLocks noChangeShapeType="1"/>
                            </wps:cNvCnPr>
                            <wps:spPr bwMode="auto">
                              <a:xfrm>
                                <a:off x="8934" y="5099"/>
                                <a:ext cx="451" cy="0"/>
                              </a:xfrm>
                              <a:prstGeom prst="straightConnector1">
                                <a:avLst/>
                              </a:prstGeom>
                              <a:noFill/>
                              <a:ln w="9525">
                                <a:solidFill>
                                  <a:srgbClr val="000000"/>
                                </a:solidFill>
                                <a:round/>
                                <a:tailEnd type="triangle" w="med" len="med"/>
                              </a:ln>
                            </wps:spPr>
                            <wps:bodyPr/>
                          </wps:wsp>
                        </wpg:grpSp>
                      </wpg:grpSp>
                      <wpg:grpSp>
                        <wpg:cNvPr id="51" name="Group 40"/>
                        <wpg:cNvGrpSpPr/>
                        <wpg:grpSpPr>
                          <a:xfrm>
                            <a:off x="6235" y="7449"/>
                            <a:ext cx="3445" cy="1514"/>
                            <a:chOff x="6792" y="8363"/>
                            <a:chExt cx="3445" cy="1514"/>
                          </a:xfrm>
                        </wpg:grpSpPr>
                        <wps:wsp>
                          <wps:cNvPr id="52" name="文本框 2"/>
                          <wps:cNvSpPr txBox="1">
                            <a:spLocks noChangeArrowheads="1"/>
                          </wps:cNvSpPr>
                          <wps:spPr bwMode="auto">
                            <a:xfrm>
                              <a:off x="7010" y="8363"/>
                              <a:ext cx="1251" cy="505"/>
                            </a:xfrm>
                            <a:prstGeom prst="rect">
                              <a:avLst/>
                            </a:prstGeom>
                            <a:solidFill>
                              <a:srgbClr val="FFFFFF"/>
                            </a:solidFill>
                            <a:ln w="9525">
                              <a:solidFill>
                                <a:srgbClr val="000000"/>
                              </a:solidFill>
                              <a:miter lim="800000"/>
                            </a:ln>
                          </wps:spPr>
                          <wps:txbx>
                            <w:txbxContent>
                              <w:p w14:paraId="0F87E434">
                                <w:pPr>
                                  <w:rPr>
                                    <w:sz w:val="21"/>
                                    <w:szCs w:val="21"/>
                                  </w:rPr>
                                </w:pPr>
                                <w:r>
                                  <w:rPr>
                                    <w:rFonts w:hint="eastAsia"/>
                                    <w:sz w:val="21"/>
                                    <w:szCs w:val="21"/>
                                  </w:rPr>
                                  <w:t>核心指标</w:t>
                                </w:r>
                              </w:p>
                            </w:txbxContent>
                          </wps:txbx>
                          <wps:bodyPr rot="0" vert="horz" wrap="square" lIns="91440" tIns="45720" rIns="91440" bIns="45720" anchor="t" anchorCtr="0" upright="1">
                            <a:spAutoFit/>
                          </wps:bodyPr>
                        </wps:wsp>
                        <wps:wsp>
                          <wps:cNvPr id="53" name="文本框 2"/>
                          <wps:cNvSpPr txBox="1">
                            <a:spLocks noChangeArrowheads="1"/>
                          </wps:cNvSpPr>
                          <wps:spPr bwMode="auto">
                            <a:xfrm>
                              <a:off x="7045" y="9085"/>
                              <a:ext cx="1236" cy="505"/>
                            </a:xfrm>
                            <a:prstGeom prst="rect">
                              <a:avLst/>
                            </a:prstGeom>
                            <a:solidFill>
                              <a:srgbClr val="FFFFFF"/>
                            </a:solidFill>
                            <a:ln w="9525">
                              <a:solidFill>
                                <a:srgbClr val="000000"/>
                              </a:solidFill>
                              <a:miter lim="800000"/>
                            </a:ln>
                          </wps:spPr>
                          <wps:txbx>
                            <w:txbxContent>
                              <w:p w14:paraId="252FDDBE">
                                <w:pPr>
                                  <w:rPr>
                                    <w:sz w:val="21"/>
                                    <w:szCs w:val="21"/>
                                  </w:rPr>
                                </w:pPr>
                                <w:r>
                                  <w:rPr>
                                    <w:rFonts w:hint="eastAsia"/>
                                    <w:sz w:val="21"/>
                                    <w:szCs w:val="21"/>
                                  </w:rPr>
                                  <w:t>辅助指标</w:t>
                                </w:r>
                              </w:p>
                            </w:txbxContent>
                          </wps:txbx>
                          <wps:bodyPr rot="0" vert="horz" wrap="square" lIns="91440" tIns="45720" rIns="91440" bIns="45720" anchor="t" anchorCtr="0" upright="1">
                            <a:spAutoFit/>
                          </wps:bodyPr>
                        </wps:wsp>
                        <wps:wsp>
                          <wps:cNvPr id="56" name="AutoShape 43"/>
                          <wps:cNvSpPr/>
                          <wps:spPr bwMode="auto">
                            <a:xfrm>
                              <a:off x="6792" y="8503"/>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g:grpSp>
                          <wpg:cNvPr id="58" name="Group 44"/>
                          <wpg:cNvGrpSpPr/>
                          <wpg:grpSpPr>
                            <a:xfrm>
                              <a:off x="8356" y="8834"/>
                              <a:ext cx="1776" cy="1043"/>
                              <a:chOff x="9024" y="7224"/>
                              <a:chExt cx="1776" cy="1043"/>
                            </a:xfrm>
                          </wpg:grpSpPr>
                          <wps:wsp>
                            <wps:cNvPr id="59" name="文本框 2"/>
                            <wps:cNvSpPr txBox="1">
                              <a:spLocks noChangeArrowheads="1"/>
                            </wps:cNvSpPr>
                            <wps:spPr bwMode="auto">
                              <a:xfrm>
                                <a:off x="9237" y="7224"/>
                                <a:ext cx="1563" cy="516"/>
                              </a:xfrm>
                              <a:prstGeom prst="rect">
                                <a:avLst/>
                              </a:prstGeom>
                              <a:solidFill>
                                <a:srgbClr val="FFFFFF"/>
                              </a:solidFill>
                              <a:ln w="9525">
                                <a:solidFill>
                                  <a:srgbClr val="FFFFFF"/>
                                </a:solidFill>
                                <a:miter lim="800000"/>
                              </a:ln>
                            </wps:spPr>
                            <wps:txbx>
                              <w:txbxContent>
                                <w:p w14:paraId="6D9AAA40">
                                  <w:pPr>
                                    <w:adjustRightInd w:val="0"/>
                                    <w:snapToGrid w:val="0"/>
                                    <w:ind w:firstLine="360"/>
                                    <w:rPr>
                                      <w:rFonts w:ascii="华文楷体" w:hAnsi="华文楷体" w:eastAsia="华文楷体"/>
                                    </w:rPr>
                                  </w:pPr>
                                  <w:r>
                                    <w:rPr>
                                      <w:rFonts w:hint="eastAsia" w:ascii="华文楷体" w:hAnsi="华文楷体" w:eastAsia="华文楷体"/>
                                      <w:sz w:val="18"/>
                                      <w:szCs w:val="18"/>
                                    </w:rPr>
                                    <w:t>植被覆盖率（%）</w:t>
                                  </w:r>
                                </w:p>
                              </w:txbxContent>
                            </wps:txbx>
                            <wps:bodyPr rot="0" vert="horz" wrap="square" lIns="91440" tIns="45720" rIns="91440" bIns="45720" anchor="t" anchorCtr="0" upright="1">
                              <a:noAutofit/>
                            </wps:bodyPr>
                          </wps:wsp>
                          <wps:wsp>
                            <wps:cNvPr id="60" name="文本框 2"/>
                            <wps:cNvSpPr txBox="1">
                              <a:spLocks noChangeArrowheads="1"/>
                            </wps:cNvSpPr>
                            <wps:spPr bwMode="auto">
                              <a:xfrm>
                                <a:off x="9291" y="7777"/>
                                <a:ext cx="1119" cy="490"/>
                              </a:xfrm>
                              <a:prstGeom prst="rect">
                                <a:avLst/>
                              </a:prstGeom>
                              <a:solidFill>
                                <a:srgbClr val="FFFFFF"/>
                              </a:solidFill>
                              <a:ln w="9525">
                                <a:solidFill>
                                  <a:srgbClr val="FFFFFF"/>
                                </a:solidFill>
                                <a:miter lim="800000"/>
                              </a:ln>
                            </wps:spPr>
                            <wps:txbx>
                              <w:txbxContent>
                                <w:p w14:paraId="56E61747">
                                  <w:pPr>
                                    <w:adjustRightInd w:val="0"/>
                                    <w:snapToGrid w:val="0"/>
                                    <w:ind w:firstLine="360"/>
                                    <w:rPr>
                                      <w:rFonts w:ascii="华文楷体" w:hAnsi="华文楷体" w:eastAsia="华文楷体"/>
                                    </w:rPr>
                                  </w:pPr>
                                  <w:r>
                                    <w:rPr>
                                      <w:rFonts w:hint="eastAsia" w:ascii="华文楷体" w:hAnsi="华文楷体" w:eastAsia="华文楷体"/>
                                      <w:sz w:val="18"/>
                                      <w:szCs w:val="18"/>
                                    </w:rPr>
                                    <w:t>耕垦指数</w:t>
                                  </w:r>
                                </w:p>
                              </w:txbxContent>
                            </wps:txbx>
                            <wps:bodyPr rot="0" vert="horz" wrap="square" lIns="91440" tIns="45720" rIns="91440" bIns="45720" anchor="t" anchorCtr="0" upright="1">
                              <a:noAutofit/>
                            </wps:bodyPr>
                          </wps:wsp>
                          <wps:wsp>
                            <wps:cNvPr id="61" name="AutoShape 47"/>
                            <wps:cNvSpPr/>
                            <wps:spPr bwMode="auto">
                              <a:xfrm>
                                <a:off x="9024" y="7396"/>
                                <a:ext cx="143" cy="629"/>
                              </a:xfrm>
                              <a:prstGeom prst="leftBrace">
                                <a:avLst>
                                  <a:gd name="adj1" fmla="val 36655"/>
                                  <a:gd name="adj2" fmla="val 50000"/>
                                </a:avLst>
                              </a:prstGeom>
                              <a:noFill/>
                              <a:ln w="9525">
                                <a:solidFill>
                                  <a:srgbClr val="000000"/>
                                </a:solidFill>
                                <a:round/>
                              </a:ln>
                            </wps:spPr>
                            <wps:bodyPr rot="0" vert="horz" wrap="square" lIns="91440" tIns="45720" rIns="91440" bIns="45720" anchor="t" anchorCtr="0" upright="1">
                              <a:noAutofit/>
                            </wps:bodyPr>
                          </wps:wsp>
                        </wpg:grpSp>
                        <wpg:grpSp>
                          <wpg:cNvPr id="62" name="Group 48"/>
                          <wpg:cNvGrpSpPr/>
                          <wpg:grpSpPr>
                            <a:xfrm>
                              <a:off x="8281" y="8431"/>
                              <a:ext cx="1956" cy="462"/>
                              <a:chOff x="8934" y="4881"/>
                              <a:chExt cx="2181" cy="462"/>
                            </a:xfrm>
                          </wpg:grpSpPr>
                          <wps:wsp>
                            <wps:cNvPr id="64" name="文本框 2"/>
                            <wps:cNvSpPr txBox="1">
                              <a:spLocks noChangeArrowheads="1"/>
                            </wps:cNvSpPr>
                            <wps:spPr bwMode="auto">
                              <a:xfrm>
                                <a:off x="9272" y="4881"/>
                                <a:ext cx="1843" cy="462"/>
                              </a:xfrm>
                              <a:prstGeom prst="rect">
                                <a:avLst/>
                              </a:prstGeom>
                              <a:solidFill>
                                <a:srgbClr val="FFFFFF"/>
                              </a:solidFill>
                              <a:ln w="9525">
                                <a:solidFill>
                                  <a:srgbClr val="FFFFFF"/>
                                </a:solidFill>
                                <a:miter lim="800000"/>
                              </a:ln>
                            </wps:spPr>
                            <wps:txbx>
                              <w:txbxContent>
                                <w:p w14:paraId="61C2EF1D">
                                  <w:pPr>
                                    <w:ind w:firstLine="360"/>
                                    <w:rPr>
                                      <w:rFonts w:ascii="华文楷体" w:hAnsi="华文楷体" w:eastAsia="华文楷体"/>
                                      <w:sz w:val="18"/>
                                      <w:szCs w:val="18"/>
                                    </w:rPr>
                                  </w:pPr>
                                  <w:r>
                                    <w:rPr>
                                      <w:rFonts w:hint="eastAsia" w:ascii="华文楷体" w:hAnsi="华文楷体" w:eastAsia="华文楷体"/>
                                      <w:sz w:val="18"/>
                                      <w:szCs w:val="18"/>
                                    </w:rPr>
                                    <w:t>坡耕地比（％）</w:t>
                                  </w:r>
                                </w:p>
                              </w:txbxContent>
                            </wps:txbx>
                            <wps:bodyPr rot="0" vert="horz" wrap="square" lIns="91440" tIns="45720" rIns="91440" bIns="45720" anchor="t" anchorCtr="0" upright="1">
                              <a:noAutofit/>
                            </wps:bodyPr>
                          </wps:wsp>
                          <wps:wsp>
                            <wps:cNvPr id="65" name="AutoShape 50"/>
                            <wps:cNvCnPr>
                              <a:cxnSpLocks noChangeShapeType="1"/>
                            </wps:cNvCnPr>
                            <wps:spPr bwMode="auto">
                              <a:xfrm>
                                <a:off x="8934" y="5099"/>
                                <a:ext cx="451" cy="0"/>
                              </a:xfrm>
                              <a:prstGeom prst="straightConnector1">
                                <a:avLst/>
                              </a:prstGeom>
                              <a:noFill/>
                              <a:ln w="9525">
                                <a:solidFill>
                                  <a:srgbClr val="000000"/>
                                </a:solidFill>
                                <a:round/>
                                <a:tailEnd type="triangle" w="med" len="med"/>
                              </a:ln>
                            </wps:spPr>
                            <wps:bodyPr/>
                          </wps:wsp>
                        </wpg:grpSp>
                      </wpg:grpSp>
                      <wpg:grpSp>
                        <wpg:cNvPr id="66" name="Group 51"/>
                        <wpg:cNvGrpSpPr/>
                        <wpg:grpSpPr>
                          <a:xfrm>
                            <a:off x="6184" y="5657"/>
                            <a:ext cx="3852" cy="1662"/>
                            <a:chOff x="6660" y="6568"/>
                            <a:chExt cx="3852" cy="1662"/>
                          </a:xfrm>
                        </wpg:grpSpPr>
                        <wps:wsp>
                          <wps:cNvPr id="67" name="文本框 2"/>
                          <wps:cNvSpPr txBox="1">
                            <a:spLocks noChangeArrowheads="1"/>
                          </wps:cNvSpPr>
                          <wps:spPr bwMode="auto">
                            <a:xfrm>
                              <a:off x="6901" y="6609"/>
                              <a:ext cx="1251" cy="505"/>
                            </a:xfrm>
                            <a:prstGeom prst="rect">
                              <a:avLst/>
                            </a:prstGeom>
                            <a:solidFill>
                              <a:srgbClr val="FFFFFF"/>
                            </a:solidFill>
                            <a:ln w="9525">
                              <a:solidFill>
                                <a:srgbClr val="000000"/>
                              </a:solidFill>
                              <a:miter lim="800000"/>
                            </a:ln>
                          </wps:spPr>
                          <wps:txbx>
                            <w:txbxContent>
                              <w:p w14:paraId="14C62C7C">
                                <w:pPr>
                                  <w:rPr>
                                    <w:sz w:val="21"/>
                                    <w:szCs w:val="21"/>
                                  </w:rPr>
                                </w:pPr>
                                <w:r>
                                  <w:rPr>
                                    <w:rFonts w:hint="eastAsia"/>
                                    <w:sz w:val="21"/>
                                    <w:szCs w:val="21"/>
                                  </w:rPr>
                                  <w:t>核心指标</w:t>
                                </w:r>
                              </w:p>
                            </w:txbxContent>
                          </wps:txbx>
                          <wps:bodyPr rot="0" vert="horz" wrap="square" lIns="91440" tIns="45720" rIns="91440" bIns="45720" anchor="t" anchorCtr="0" upright="1">
                            <a:spAutoFit/>
                          </wps:bodyPr>
                        </wps:wsp>
                        <wps:wsp>
                          <wps:cNvPr id="68" name="文本框 2"/>
                          <wps:cNvSpPr txBox="1">
                            <a:spLocks noChangeArrowheads="1"/>
                          </wps:cNvSpPr>
                          <wps:spPr bwMode="auto">
                            <a:xfrm>
                              <a:off x="6916" y="7385"/>
                              <a:ext cx="1238" cy="505"/>
                            </a:xfrm>
                            <a:prstGeom prst="rect">
                              <a:avLst/>
                            </a:prstGeom>
                            <a:solidFill>
                              <a:srgbClr val="FFFFFF"/>
                            </a:solidFill>
                            <a:ln w="9525">
                              <a:solidFill>
                                <a:srgbClr val="000000"/>
                              </a:solidFill>
                              <a:miter lim="800000"/>
                            </a:ln>
                          </wps:spPr>
                          <wps:txbx>
                            <w:txbxContent>
                              <w:p w14:paraId="7F10E65A">
                                <w:pPr>
                                  <w:rPr>
                                    <w:sz w:val="21"/>
                                    <w:szCs w:val="21"/>
                                  </w:rPr>
                                </w:pPr>
                                <w:r>
                                  <w:rPr>
                                    <w:rFonts w:hint="eastAsia"/>
                                    <w:sz w:val="21"/>
                                    <w:szCs w:val="21"/>
                                  </w:rPr>
                                  <w:t>辅助指标</w:t>
                                </w:r>
                              </w:p>
                            </w:txbxContent>
                          </wps:txbx>
                          <wps:bodyPr rot="0" vert="horz" wrap="square" lIns="91440" tIns="45720" rIns="91440" bIns="45720" anchor="t" anchorCtr="0" upright="1">
                            <a:spAutoFit/>
                          </wps:bodyPr>
                        </wps:wsp>
                        <wps:wsp>
                          <wps:cNvPr id="69" name="AutoShape 54"/>
                          <wps:cNvSpPr/>
                          <wps:spPr bwMode="auto">
                            <a:xfrm>
                              <a:off x="6660" y="6915"/>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g:grpSp>
                          <wpg:cNvPr id="70" name="Group 55"/>
                          <wpg:cNvGrpSpPr/>
                          <wpg:grpSpPr>
                            <a:xfrm>
                              <a:off x="8176" y="6568"/>
                              <a:ext cx="1956" cy="804"/>
                              <a:chOff x="8934" y="4881"/>
                              <a:chExt cx="2181" cy="462"/>
                            </a:xfrm>
                          </wpg:grpSpPr>
                          <wps:wsp>
                            <wps:cNvPr id="71" name="文本框 2"/>
                            <wps:cNvSpPr txBox="1">
                              <a:spLocks noChangeArrowheads="1"/>
                            </wps:cNvSpPr>
                            <wps:spPr bwMode="auto">
                              <a:xfrm>
                                <a:off x="9272" y="4881"/>
                                <a:ext cx="1843" cy="462"/>
                              </a:xfrm>
                              <a:prstGeom prst="rect">
                                <a:avLst/>
                              </a:prstGeom>
                              <a:solidFill>
                                <a:srgbClr val="FFFFFF"/>
                              </a:solidFill>
                              <a:ln w="9525">
                                <a:solidFill>
                                  <a:srgbClr val="FFFFFF"/>
                                </a:solidFill>
                                <a:miter lim="800000"/>
                              </a:ln>
                            </wps:spPr>
                            <wps:txbx>
                              <w:txbxContent>
                                <w:p w14:paraId="59B6532A">
                                  <w:pPr>
                                    <w:rPr>
                                      <w:rFonts w:ascii="华文楷体" w:hAnsi="华文楷体" w:eastAsia="华文楷体"/>
                                      <w:sz w:val="18"/>
                                      <w:szCs w:val="18"/>
                                      <w:lang w:eastAsia="zh-CN"/>
                                    </w:rPr>
                                  </w:pPr>
                                  <w:r>
                                    <w:rPr>
                                      <w:rFonts w:hint="eastAsia" w:ascii="华文楷体" w:hAnsi="华文楷体" w:eastAsia="华文楷体"/>
                                      <w:sz w:val="18"/>
                                      <w:szCs w:val="18"/>
                                      <w:lang w:eastAsia="zh-CN"/>
                                    </w:rPr>
                                    <w:t>人类活动扰动强度（％）</w:t>
                                  </w:r>
                                </w:p>
                              </w:txbxContent>
                            </wps:txbx>
                            <wps:bodyPr rot="0" vert="horz" wrap="square" lIns="91440" tIns="45720" rIns="91440" bIns="45720" anchor="t" anchorCtr="0" upright="1">
                              <a:noAutofit/>
                            </wps:bodyPr>
                          </wps:wsp>
                          <wps:wsp>
                            <wps:cNvPr id="72" name="AutoShape 57"/>
                            <wps:cNvCnPr>
                              <a:cxnSpLocks noChangeShapeType="1"/>
                            </wps:cNvCnPr>
                            <wps:spPr bwMode="auto">
                              <a:xfrm>
                                <a:off x="8934" y="5099"/>
                                <a:ext cx="451" cy="0"/>
                              </a:xfrm>
                              <a:prstGeom prst="straightConnector1">
                                <a:avLst/>
                              </a:prstGeom>
                              <a:noFill/>
                              <a:ln w="9525">
                                <a:solidFill>
                                  <a:srgbClr val="000000"/>
                                </a:solidFill>
                                <a:round/>
                                <a:tailEnd type="triangle" w="med" len="med"/>
                              </a:ln>
                            </wps:spPr>
                            <wps:bodyPr/>
                          </wps:wsp>
                        </wpg:grpSp>
                        <wpg:grpSp>
                          <wpg:cNvPr id="73" name="Group 58"/>
                          <wpg:cNvGrpSpPr/>
                          <wpg:grpSpPr>
                            <a:xfrm>
                              <a:off x="8151" y="7206"/>
                              <a:ext cx="2361" cy="1024"/>
                              <a:chOff x="9024" y="7224"/>
                              <a:chExt cx="1776" cy="1043"/>
                            </a:xfrm>
                          </wpg:grpSpPr>
                          <wps:wsp>
                            <wps:cNvPr id="74" name="文本框 2"/>
                            <wps:cNvSpPr txBox="1">
                              <a:spLocks noChangeArrowheads="1"/>
                            </wps:cNvSpPr>
                            <wps:spPr bwMode="auto">
                              <a:xfrm>
                                <a:off x="9237" y="7224"/>
                                <a:ext cx="1563" cy="516"/>
                              </a:xfrm>
                              <a:prstGeom prst="rect">
                                <a:avLst/>
                              </a:prstGeom>
                              <a:solidFill>
                                <a:srgbClr val="FFFFFF"/>
                              </a:solidFill>
                              <a:ln w="9525">
                                <a:solidFill>
                                  <a:srgbClr val="FFFFFF"/>
                                </a:solidFill>
                                <a:miter lim="800000"/>
                              </a:ln>
                            </wps:spPr>
                            <wps:txbx>
                              <w:txbxContent>
                                <w:p w14:paraId="14D3D6F1">
                                  <w:pPr>
                                    <w:adjustRightInd w:val="0"/>
                                    <w:snapToGrid w:val="0"/>
                                    <w:ind w:firstLine="360"/>
                                    <w:rPr>
                                      <w:rFonts w:ascii="华文楷体" w:hAnsi="华文楷体" w:eastAsia="华文楷体"/>
                                    </w:rPr>
                                  </w:pPr>
                                  <w:r>
                                    <w:rPr>
                                      <w:rFonts w:hint="eastAsia" w:ascii="华文楷体" w:hAnsi="华文楷体" w:eastAsia="华文楷体"/>
                                      <w:sz w:val="18"/>
                                      <w:szCs w:val="18"/>
                                    </w:rPr>
                                    <w:t>人口密度（人km</w:t>
                                  </w:r>
                                  <w:r>
                                    <w:rPr>
                                      <w:rFonts w:hint="eastAsia" w:ascii="华文楷体" w:hAnsi="华文楷体" w:eastAsia="华文楷体"/>
                                      <w:sz w:val="18"/>
                                      <w:szCs w:val="18"/>
                                      <w:vertAlign w:val="superscript"/>
                                    </w:rPr>
                                    <w:t>2</w:t>
                                  </w:r>
                                  <w:r>
                                    <w:rPr>
                                      <w:rFonts w:hint="eastAsia" w:ascii="华文楷体" w:hAnsi="华文楷体" w:eastAsia="华文楷体"/>
                                      <w:sz w:val="18"/>
                                      <w:szCs w:val="18"/>
                                    </w:rPr>
                                    <w:t>）</w:t>
                                  </w:r>
                                </w:p>
                              </w:txbxContent>
                            </wps:txbx>
                            <wps:bodyPr rot="0" vert="horz" wrap="square" lIns="91440" tIns="45720" rIns="91440" bIns="45720" anchor="t" anchorCtr="0" upright="1">
                              <a:noAutofit/>
                            </wps:bodyPr>
                          </wps:wsp>
                          <wps:wsp>
                            <wps:cNvPr id="75" name="文本框 2"/>
                            <wps:cNvSpPr txBox="1">
                              <a:spLocks noChangeArrowheads="1"/>
                            </wps:cNvSpPr>
                            <wps:spPr bwMode="auto">
                              <a:xfrm>
                                <a:off x="9291" y="7777"/>
                                <a:ext cx="1119" cy="490"/>
                              </a:xfrm>
                              <a:prstGeom prst="rect">
                                <a:avLst/>
                              </a:prstGeom>
                              <a:solidFill>
                                <a:srgbClr val="FFFFFF"/>
                              </a:solidFill>
                              <a:ln w="9525">
                                <a:solidFill>
                                  <a:srgbClr val="FFFFFF"/>
                                </a:solidFill>
                                <a:miter lim="800000"/>
                              </a:ln>
                            </wps:spPr>
                            <wps:txbx>
                              <w:txbxContent>
                                <w:p w14:paraId="7535E0FE">
                                  <w:pPr>
                                    <w:adjustRightInd w:val="0"/>
                                    <w:snapToGrid w:val="0"/>
                                    <w:ind w:firstLine="360"/>
                                    <w:rPr>
                                      <w:rFonts w:ascii="华文楷体" w:hAnsi="华文楷体" w:eastAsia="华文楷体"/>
                                    </w:rPr>
                                  </w:pPr>
                                  <w:r>
                                    <w:rPr>
                                      <w:rFonts w:hint="eastAsia" w:ascii="华文楷体" w:hAnsi="华文楷体" w:eastAsia="华文楷体"/>
                                      <w:sz w:val="18"/>
                                      <w:szCs w:val="18"/>
                                    </w:rPr>
                                    <w:t>人均GDP（元）</w:t>
                                  </w:r>
                                </w:p>
                              </w:txbxContent>
                            </wps:txbx>
                            <wps:bodyPr rot="0" vert="horz" wrap="square" lIns="91440" tIns="45720" rIns="91440" bIns="45720" anchor="t" anchorCtr="0" upright="1">
                              <a:noAutofit/>
                            </wps:bodyPr>
                          </wps:wsp>
                          <wps:wsp>
                            <wps:cNvPr id="76" name="AutoShape 61"/>
                            <wps:cNvSpPr/>
                            <wps:spPr bwMode="auto">
                              <a:xfrm>
                                <a:off x="9024" y="7396"/>
                                <a:ext cx="143" cy="629"/>
                              </a:xfrm>
                              <a:prstGeom prst="leftBrace">
                                <a:avLst>
                                  <a:gd name="adj1" fmla="val 36655"/>
                                  <a:gd name="adj2" fmla="val 50000"/>
                                </a:avLst>
                              </a:prstGeom>
                              <a:noFill/>
                              <a:ln w="9525">
                                <a:solidFill>
                                  <a:srgbClr val="000000"/>
                                </a:solidFill>
                                <a:round/>
                              </a:ln>
                            </wps:spPr>
                            <wps:bodyPr rot="0" vert="horz" wrap="square" lIns="91440" tIns="45720" rIns="91440" bIns="45720" anchor="t" anchorCtr="0" upright="1">
                              <a:noAutofit/>
                            </wps:bodyPr>
                          </wps:wsp>
                        </wpg:grpSp>
                      </wpg:grpSp>
                      <wpg:grpSp>
                        <wpg:cNvPr id="80" name="Group 62"/>
                        <wpg:cNvGrpSpPr/>
                        <wpg:grpSpPr>
                          <a:xfrm>
                            <a:off x="6184" y="1906"/>
                            <a:ext cx="3641" cy="1572"/>
                            <a:chOff x="6184" y="1906"/>
                            <a:chExt cx="3641" cy="1572"/>
                          </a:xfrm>
                        </wpg:grpSpPr>
                        <wps:wsp>
                          <wps:cNvPr id="81" name="AutoShape 63"/>
                          <wps:cNvSpPr/>
                          <wps:spPr bwMode="auto">
                            <a:xfrm>
                              <a:off x="7675" y="2569"/>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g:grpSp>
                          <wpg:cNvPr id="82" name="Group 64"/>
                          <wpg:cNvGrpSpPr/>
                          <wpg:grpSpPr>
                            <a:xfrm>
                              <a:off x="6184" y="1906"/>
                              <a:ext cx="3641" cy="1572"/>
                              <a:chOff x="6985" y="2775"/>
                              <a:chExt cx="3641" cy="1572"/>
                            </a:xfrm>
                          </wpg:grpSpPr>
                          <wps:wsp>
                            <wps:cNvPr id="83" name="文本框 2"/>
                            <wps:cNvSpPr txBox="1">
                              <a:spLocks noChangeArrowheads="1"/>
                            </wps:cNvSpPr>
                            <wps:spPr bwMode="auto">
                              <a:xfrm>
                                <a:off x="7260" y="2775"/>
                                <a:ext cx="1155" cy="462"/>
                              </a:xfrm>
                              <a:prstGeom prst="rect">
                                <a:avLst/>
                              </a:prstGeom>
                              <a:solidFill>
                                <a:srgbClr val="FFFFFF"/>
                              </a:solidFill>
                              <a:ln w="9525">
                                <a:solidFill>
                                  <a:srgbClr val="000000"/>
                                </a:solidFill>
                                <a:miter lim="800000"/>
                              </a:ln>
                            </wps:spPr>
                            <wps:txbx>
                              <w:txbxContent>
                                <w:p w14:paraId="09F268DF">
                                  <w:pPr>
                                    <w:rPr>
                                      <w:sz w:val="21"/>
                                      <w:szCs w:val="21"/>
                                    </w:rPr>
                                  </w:pPr>
                                  <w:r>
                                    <w:rPr>
                                      <w:rFonts w:hint="eastAsia"/>
                                      <w:sz w:val="21"/>
                                      <w:szCs w:val="21"/>
                                    </w:rPr>
                                    <w:t>核心指</w:t>
                                  </w:r>
                                  <w:r>
                                    <w:rPr>
                                      <w:rFonts w:hint="eastAsia"/>
                                      <w:sz w:val="21"/>
                                      <w:szCs w:val="21"/>
                                      <w:lang w:eastAsia="zh-CN"/>
                                    </w:rPr>
                                    <w:t>标</w:t>
                                  </w:r>
                                </w:p>
                              </w:txbxContent>
                            </wps:txbx>
                            <wps:bodyPr rot="0" vert="horz" wrap="square" lIns="91440" tIns="45720" rIns="91440" bIns="45720" anchor="t" anchorCtr="0" upright="1">
                              <a:noAutofit/>
                            </wps:bodyPr>
                          </wps:wsp>
                          <wps:wsp>
                            <wps:cNvPr id="84" name="文本框 2"/>
                            <wps:cNvSpPr txBox="1">
                              <a:spLocks noChangeArrowheads="1"/>
                            </wps:cNvSpPr>
                            <wps:spPr bwMode="auto">
                              <a:xfrm>
                                <a:off x="7260" y="3546"/>
                                <a:ext cx="1155" cy="513"/>
                              </a:xfrm>
                              <a:prstGeom prst="rect">
                                <a:avLst/>
                              </a:prstGeom>
                              <a:solidFill>
                                <a:srgbClr val="FFFFFF"/>
                              </a:solidFill>
                              <a:ln w="9525">
                                <a:solidFill>
                                  <a:srgbClr val="000000"/>
                                </a:solidFill>
                                <a:miter lim="800000"/>
                              </a:ln>
                            </wps:spPr>
                            <wps:txbx>
                              <w:txbxContent>
                                <w:p w14:paraId="350298CC">
                                  <w:pPr>
                                    <w:rPr>
                                      <w:sz w:val="21"/>
                                      <w:szCs w:val="21"/>
                                    </w:rPr>
                                  </w:pPr>
                                  <w:r>
                                    <w:rPr>
                                      <w:rFonts w:hint="eastAsia"/>
                                      <w:sz w:val="21"/>
                                      <w:szCs w:val="21"/>
                                    </w:rPr>
                                    <w:t>辅助指标</w:t>
                                  </w:r>
                                </w:p>
                              </w:txbxContent>
                            </wps:txbx>
                            <wps:bodyPr rot="0" vert="horz" wrap="square" lIns="91440" tIns="45720" rIns="91440" bIns="45720" anchor="t" anchorCtr="0" upright="1">
                              <a:noAutofit/>
                            </wps:bodyPr>
                          </wps:wsp>
                          <wps:wsp>
                            <wps:cNvPr id="85" name="文本框 2"/>
                            <wps:cNvSpPr txBox="1">
                              <a:spLocks noChangeArrowheads="1"/>
                            </wps:cNvSpPr>
                            <wps:spPr bwMode="auto">
                              <a:xfrm>
                                <a:off x="8934" y="2884"/>
                                <a:ext cx="1167" cy="462"/>
                              </a:xfrm>
                              <a:prstGeom prst="rect">
                                <a:avLst/>
                              </a:prstGeom>
                              <a:solidFill>
                                <a:srgbClr val="FFFFFF"/>
                              </a:solidFill>
                              <a:ln w="9525">
                                <a:solidFill>
                                  <a:srgbClr val="FFFFFF"/>
                                </a:solidFill>
                                <a:miter lim="800000"/>
                              </a:ln>
                            </wps:spPr>
                            <wps:txbx>
                              <w:txbxContent>
                                <w:p w14:paraId="480425CA">
                                  <w:pPr>
                                    <w:ind w:firstLine="360"/>
                                    <w:rPr>
                                      <w:rFonts w:ascii="华文楷体" w:hAnsi="华文楷体" w:eastAsia="华文楷体"/>
                                      <w:sz w:val="18"/>
                                      <w:szCs w:val="18"/>
                                    </w:rPr>
                                  </w:pPr>
                                  <w:r>
                                    <w:rPr>
                                      <w:rFonts w:hint="eastAsia" w:ascii="华文楷体" w:hAnsi="华文楷体" w:eastAsia="华文楷体"/>
                                      <w:sz w:val="18"/>
                                      <w:szCs w:val="18"/>
                                    </w:rPr>
                                    <w:t>特征地貌</w:t>
                                  </w:r>
                                </w:p>
                              </w:txbxContent>
                            </wps:txbx>
                            <wps:bodyPr rot="0" vert="horz" wrap="square" lIns="91440" tIns="45720" rIns="91440" bIns="45720" anchor="t" anchorCtr="0" upright="1">
                              <a:noAutofit/>
                            </wps:bodyPr>
                          </wps:wsp>
                          <wps:wsp>
                            <wps:cNvPr id="86" name="AutoShape 68"/>
                            <wps:cNvSpPr/>
                            <wps:spPr bwMode="auto">
                              <a:xfrm>
                                <a:off x="6985" y="2955"/>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s:wsp>
                            <wps:cNvPr id="87" name="AutoShape 69"/>
                            <wps:cNvCnPr>
                              <a:cxnSpLocks noChangeShapeType="1"/>
                            </wps:cNvCnPr>
                            <wps:spPr bwMode="auto">
                              <a:xfrm>
                                <a:off x="8483" y="3075"/>
                                <a:ext cx="451" cy="0"/>
                              </a:xfrm>
                              <a:prstGeom prst="straightConnector1">
                                <a:avLst/>
                              </a:prstGeom>
                              <a:noFill/>
                              <a:ln w="9525">
                                <a:solidFill>
                                  <a:srgbClr val="000000"/>
                                </a:solidFill>
                                <a:round/>
                                <a:tailEnd type="triangle" w="med" len="med"/>
                              </a:ln>
                            </wps:spPr>
                            <wps:bodyPr/>
                          </wps:wsp>
                          <wpg:grpSp>
                            <wpg:cNvPr id="88" name="Group 70"/>
                            <wpg:cNvGrpSpPr/>
                            <wpg:grpSpPr>
                              <a:xfrm>
                                <a:off x="8625" y="3237"/>
                                <a:ext cx="2001" cy="1110"/>
                                <a:chOff x="8768" y="3225"/>
                                <a:chExt cx="2001" cy="1110"/>
                              </a:xfrm>
                            </wpg:grpSpPr>
                            <wps:wsp>
                              <wps:cNvPr id="89" name="文本框 2"/>
                              <wps:cNvSpPr txBox="1">
                                <a:spLocks noChangeArrowheads="1"/>
                              </wps:cNvSpPr>
                              <wps:spPr bwMode="auto">
                                <a:xfrm>
                                  <a:off x="8768" y="3225"/>
                                  <a:ext cx="1731" cy="450"/>
                                </a:xfrm>
                                <a:prstGeom prst="rect">
                                  <a:avLst/>
                                </a:prstGeom>
                                <a:solidFill>
                                  <a:srgbClr val="FFFFFF"/>
                                </a:solidFill>
                                <a:ln w="9525">
                                  <a:solidFill>
                                    <a:srgbClr val="FFFFFF"/>
                                  </a:solidFill>
                                  <a:miter lim="800000"/>
                                </a:ln>
                              </wps:spPr>
                              <wps:txbx>
                                <w:txbxContent>
                                  <w:p w14:paraId="4D51F8F7">
                                    <w:pPr>
                                      <w:ind w:firstLine="480"/>
                                      <w:rPr>
                                        <w:rFonts w:ascii="华文楷体" w:hAnsi="华文楷体" w:eastAsia="华文楷体"/>
                                      </w:rPr>
                                    </w:pPr>
                                  </w:p>
                                </w:txbxContent>
                              </wps:txbx>
                              <wps:bodyPr rot="0" vert="horz" wrap="square" lIns="91440" tIns="45720" rIns="91440" bIns="45720" anchor="t" anchorCtr="0" upright="1">
                                <a:noAutofit/>
                              </wps:bodyPr>
                            </wps:wsp>
                            <wps:wsp>
                              <wps:cNvPr id="90" name="文本框 2"/>
                              <wps:cNvSpPr txBox="1">
                                <a:spLocks noChangeArrowheads="1"/>
                              </wps:cNvSpPr>
                              <wps:spPr bwMode="auto">
                                <a:xfrm>
                                  <a:off x="8768" y="3546"/>
                                  <a:ext cx="1536" cy="420"/>
                                </a:xfrm>
                                <a:prstGeom prst="rect">
                                  <a:avLst/>
                                </a:prstGeom>
                                <a:solidFill>
                                  <a:srgbClr val="FFFFFF"/>
                                </a:solidFill>
                                <a:ln w="9525">
                                  <a:solidFill>
                                    <a:srgbClr val="FFFFFF"/>
                                  </a:solidFill>
                                  <a:miter lim="800000"/>
                                </a:ln>
                              </wps:spPr>
                              <wps:txbx>
                                <w:txbxContent>
                                  <w:p w14:paraId="7DA755E1">
                                    <w:pPr>
                                      <w:rPr>
                                        <w:rFonts w:ascii="华文楷体" w:hAnsi="华文楷体" w:eastAsia="华文楷体"/>
                                        <w:lang w:eastAsia="zh-CN"/>
                                      </w:rPr>
                                    </w:pPr>
                                    <w:r>
                                      <w:rPr>
                                        <w:rFonts w:hint="eastAsia" w:ascii="华文楷体" w:hAnsi="华文楷体" w:eastAsia="华文楷体"/>
                                        <w:lang w:eastAsia="zh-CN"/>
                                      </w:rPr>
                                      <w:t>相对高度（m）</w:t>
                                    </w:r>
                                  </w:p>
                                </w:txbxContent>
                              </wps:txbx>
                              <wps:bodyPr rot="0" vert="horz" wrap="square" lIns="91440" tIns="45720" rIns="91440" bIns="45720" anchor="t" anchorCtr="0" upright="1">
                                <a:noAutofit/>
                              </wps:bodyPr>
                            </wps:wsp>
                            <wps:wsp>
                              <wps:cNvPr id="91" name="文本框 2"/>
                              <wps:cNvSpPr txBox="1">
                                <a:spLocks noChangeArrowheads="1"/>
                              </wps:cNvSpPr>
                              <wps:spPr bwMode="auto">
                                <a:xfrm>
                                  <a:off x="8768" y="3873"/>
                                  <a:ext cx="2001" cy="462"/>
                                </a:xfrm>
                                <a:prstGeom prst="rect">
                                  <a:avLst/>
                                </a:prstGeom>
                                <a:solidFill>
                                  <a:srgbClr val="FFFFFF"/>
                                </a:solidFill>
                                <a:ln w="9525">
                                  <a:solidFill>
                                    <a:srgbClr val="FFFFFF"/>
                                  </a:solidFill>
                                  <a:miter lim="800000"/>
                                </a:ln>
                              </wps:spPr>
                              <wps:txbx>
                                <w:txbxContent>
                                  <w:p w14:paraId="730AB199">
                                    <w:pPr>
                                      <w:ind w:firstLine="360"/>
                                      <w:rPr>
                                        <w:rFonts w:ascii="华文楷体" w:hAnsi="华文楷体" w:eastAsia="华文楷体"/>
                                        <w:sz w:val="18"/>
                                        <w:szCs w:val="18"/>
                                      </w:rPr>
                                    </w:pPr>
                                  </w:p>
                                </w:txbxContent>
                              </wps:txbx>
                              <wps:bodyPr rot="0" vert="horz" wrap="square" lIns="91440" tIns="45720" rIns="91440" bIns="45720" anchor="t" anchorCtr="0" upright="1">
                                <a:noAutofit/>
                              </wps:bodyPr>
                            </wps:wsp>
                          </wpg:grpSp>
                        </wpg:grpSp>
                      </wpg:grpSp>
                      <wpg:grpSp>
                        <wpg:cNvPr id="92" name="Group 74"/>
                        <wpg:cNvGrpSpPr/>
                        <wpg:grpSpPr>
                          <a:xfrm>
                            <a:off x="6261" y="3972"/>
                            <a:ext cx="3939" cy="1732"/>
                            <a:chOff x="6129" y="4761"/>
                            <a:chExt cx="3939" cy="1732"/>
                          </a:xfrm>
                        </wpg:grpSpPr>
                        <wps:wsp>
                          <wps:cNvPr id="93" name="文本框 2"/>
                          <wps:cNvSpPr txBox="1">
                            <a:spLocks noChangeArrowheads="1"/>
                          </wps:cNvSpPr>
                          <wps:spPr bwMode="auto">
                            <a:xfrm>
                              <a:off x="6393" y="4764"/>
                              <a:ext cx="1251" cy="505"/>
                            </a:xfrm>
                            <a:prstGeom prst="rect">
                              <a:avLst/>
                            </a:prstGeom>
                            <a:solidFill>
                              <a:srgbClr val="FFFFFF"/>
                            </a:solidFill>
                            <a:ln w="9525">
                              <a:solidFill>
                                <a:srgbClr val="000000"/>
                              </a:solidFill>
                              <a:miter lim="800000"/>
                            </a:ln>
                          </wps:spPr>
                          <wps:txbx>
                            <w:txbxContent>
                              <w:p w14:paraId="01B94004">
                                <w:pPr>
                                  <w:rPr>
                                    <w:sz w:val="21"/>
                                    <w:szCs w:val="21"/>
                                  </w:rPr>
                                </w:pPr>
                                <w:r>
                                  <w:rPr>
                                    <w:rFonts w:hint="eastAsia"/>
                                    <w:sz w:val="21"/>
                                    <w:szCs w:val="21"/>
                                  </w:rPr>
                                  <w:t>核心指标</w:t>
                                </w:r>
                              </w:p>
                            </w:txbxContent>
                          </wps:txbx>
                          <wps:bodyPr rot="0" vert="horz" wrap="square" lIns="91440" tIns="45720" rIns="91440" bIns="45720" anchor="t" anchorCtr="0" upright="1">
                            <a:spAutoFit/>
                          </wps:bodyPr>
                        </wps:wsp>
                        <wps:wsp>
                          <wps:cNvPr id="94" name="文本框 2"/>
                          <wps:cNvSpPr txBox="1">
                            <a:spLocks noChangeArrowheads="1"/>
                          </wps:cNvSpPr>
                          <wps:spPr bwMode="auto">
                            <a:xfrm>
                              <a:off x="6433" y="5497"/>
                              <a:ext cx="1238" cy="505"/>
                            </a:xfrm>
                            <a:prstGeom prst="rect">
                              <a:avLst/>
                            </a:prstGeom>
                            <a:solidFill>
                              <a:srgbClr val="FFFFFF"/>
                            </a:solidFill>
                            <a:ln w="9525">
                              <a:solidFill>
                                <a:srgbClr val="000000"/>
                              </a:solidFill>
                              <a:miter lim="800000"/>
                            </a:ln>
                          </wps:spPr>
                          <wps:txbx>
                            <w:txbxContent>
                              <w:p w14:paraId="470677E9">
                                <w:pPr>
                                  <w:rPr>
                                    <w:sz w:val="21"/>
                                    <w:szCs w:val="21"/>
                                  </w:rPr>
                                </w:pPr>
                                <w:r>
                                  <w:rPr>
                                    <w:rFonts w:hint="eastAsia"/>
                                    <w:sz w:val="21"/>
                                    <w:szCs w:val="21"/>
                                  </w:rPr>
                                  <w:t>辅助指标</w:t>
                                </w:r>
                              </w:p>
                            </w:txbxContent>
                          </wps:txbx>
                          <wps:bodyPr rot="0" vert="horz" wrap="square" lIns="91440" tIns="45720" rIns="91440" bIns="45720" anchor="t" anchorCtr="0" upright="1">
                            <a:spAutoFit/>
                          </wps:bodyPr>
                        </wps:wsp>
                        <wps:wsp>
                          <wps:cNvPr id="95" name="AutoShape 77"/>
                          <wps:cNvSpPr/>
                          <wps:spPr bwMode="auto">
                            <a:xfrm>
                              <a:off x="6129" y="4997"/>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s:wsp>
                          <wps:cNvPr id="96" name="文本框 2"/>
                          <wps:cNvSpPr txBox="1">
                            <a:spLocks noChangeArrowheads="1"/>
                          </wps:cNvSpPr>
                          <wps:spPr bwMode="auto">
                            <a:xfrm>
                              <a:off x="7800" y="5165"/>
                              <a:ext cx="2268" cy="666"/>
                            </a:xfrm>
                            <a:prstGeom prst="rect">
                              <a:avLst/>
                            </a:prstGeom>
                            <a:solidFill>
                              <a:srgbClr val="FFFFFF"/>
                            </a:solidFill>
                            <a:ln w="9525">
                              <a:solidFill>
                                <a:srgbClr val="FFFFFF"/>
                              </a:solidFill>
                              <a:miter lim="800000"/>
                            </a:ln>
                          </wps:spPr>
                          <wps:txbx>
                            <w:txbxContent>
                              <w:p w14:paraId="35DCFDDD">
                                <w:pPr>
                                  <w:adjustRightInd w:val="0"/>
                                  <w:snapToGrid w:val="0"/>
                                  <w:rPr>
                                    <w:rFonts w:ascii="华文楷体" w:hAnsi="华文楷体" w:eastAsia="华文楷体"/>
                                    <w:lang w:eastAsia="zh-CN"/>
                                  </w:rPr>
                                </w:pPr>
                                <w:r>
                                  <w:rPr>
                                    <w:rFonts w:hint="eastAsia" w:ascii="华文楷体" w:hAnsi="华文楷体" w:eastAsia="华文楷体"/>
                                    <w:sz w:val="18"/>
                                    <w:szCs w:val="18"/>
                                    <w:lang w:eastAsia="zh-CN"/>
                                  </w:rPr>
                                  <w:t>中度以上水土流失面积比（％）</w:t>
                                </w:r>
                              </w:p>
                            </w:txbxContent>
                          </wps:txbx>
                          <wps:bodyPr rot="0" vert="horz" wrap="square" lIns="91440" tIns="45720" rIns="91440" bIns="45720" anchor="t" anchorCtr="0" upright="1">
                            <a:noAutofit/>
                          </wps:bodyPr>
                        </wps:wsp>
                        <wps:wsp>
                          <wps:cNvPr id="97" name="文本框 2"/>
                          <wps:cNvSpPr txBox="1">
                            <a:spLocks noChangeArrowheads="1"/>
                          </wps:cNvSpPr>
                          <wps:spPr bwMode="auto">
                            <a:xfrm>
                              <a:off x="7730" y="5752"/>
                              <a:ext cx="1948" cy="741"/>
                            </a:xfrm>
                            <a:prstGeom prst="rect">
                              <a:avLst/>
                            </a:prstGeom>
                            <a:solidFill>
                              <a:srgbClr val="FFFFFF"/>
                            </a:solidFill>
                            <a:ln w="9525">
                              <a:solidFill>
                                <a:srgbClr val="FFFFFF"/>
                              </a:solidFill>
                              <a:miter lim="800000"/>
                            </a:ln>
                          </wps:spPr>
                          <wps:txbx>
                            <w:txbxContent>
                              <w:p w14:paraId="2450943A">
                                <w:pPr>
                                  <w:adjustRightInd w:val="0"/>
                                  <w:snapToGrid w:val="0"/>
                                  <w:ind w:firstLine="360"/>
                                  <w:rPr>
                                    <w:rFonts w:ascii="华文楷体" w:hAnsi="华文楷体" w:eastAsia="华文楷体"/>
                                    <w:lang w:eastAsia="zh-CN"/>
                                  </w:rPr>
                                </w:pPr>
                                <w:r>
                                  <w:rPr>
                                    <w:rFonts w:ascii="华文楷体" w:hAnsi="华文楷体" w:eastAsia="华文楷体"/>
                                    <w:sz w:val="18"/>
                                    <w:szCs w:val="18"/>
                                    <w:lang w:eastAsia="zh-CN"/>
                                  </w:rPr>
                                  <w:t>水土流失面积比例</w:t>
                                </w:r>
                                <w:r>
                                  <w:rPr>
                                    <w:rFonts w:hint="eastAsia" w:ascii="华文楷体" w:hAnsi="华文楷体" w:eastAsia="华文楷体"/>
                                    <w:sz w:val="18"/>
                                    <w:szCs w:val="18"/>
                                    <w:lang w:eastAsia="zh-CN"/>
                                  </w:rPr>
                                  <w:t>（％）</w:t>
                                </w:r>
                              </w:p>
                            </w:txbxContent>
                          </wps:txbx>
                          <wps:bodyPr rot="0" vert="horz" wrap="square" lIns="91440" tIns="45720" rIns="91440" bIns="45720" anchor="t" anchorCtr="0" upright="1">
                            <a:noAutofit/>
                          </wps:bodyPr>
                        </wps:wsp>
                        <wps:wsp>
                          <wps:cNvPr id="98" name="AutoShape 80"/>
                          <wps:cNvSpPr/>
                          <wps:spPr bwMode="auto">
                            <a:xfrm>
                              <a:off x="7699" y="5345"/>
                              <a:ext cx="143" cy="834"/>
                            </a:xfrm>
                            <a:prstGeom prst="leftBrace">
                              <a:avLst>
                                <a:gd name="adj1" fmla="val 48601"/>
                                <a:gd name="adj2" fmla="val 50000"/>
                              </a:avLst>
                            </a:prstGeom>
                            <a:noFill/>
                            <a:ln w="9525">
                              <a:solidFill>
                                <a:srgbClr val="000000"/>
                              </a:solidFill>
                              <a:round/>
                            </a:ln>
                          </wps:spPr>
                          <wps:bodyPr rot="0" vert="horz" wrap="square" lIns="91440" tIns="45720" rIns="91440" bIns="45720" anchor="t" anchorCtr="0" upright="1">
                            <a:noAutofit/>
                          </wps:bodyPr>
                        </wps:wsp>
                        <wpg:grpSp>
                          <wpg:cNvPr id="99" name="Group 81"/>
                          <wpg:cNvGrpSpPr/>
                          <wpg:grpSpPr>
                            <a:xfrm>
                              <a:off x="7655" y="4761"/>
                              <a:ext cx="2170" cy="462"/>
                              <a:chOff x="8934" y="4881"/>
                              <a:chExt cx="2181" cy="462"/>
                            </a:xfrm>
                          </wpg:grpSpPr>
                          <wps:wsp>
                            <wps:cNvPr id="100" name="文本框 2"/>
                            <wps:cNvSpPr txBox="1">
                              <a:spLocks noChangeArrowheads="1"/>
                            </wps:cNvSpPr>
                            <wps:spPr bwMode="auto">
                              <a:xfrm>
                                <a:off x="9272" y="4881"/>
                                <a:ext cx="1843" cy="462"/>
                              </a:xfrm>
                              <a:prstGeom prst="rect">
                                <a:avLst/>
                              </a:prstGeom>
                              <a:solidFill>
                                <a:srgbClr val="FFFFFF"/>
                              </a:solidFill>
                              <a:ln w="9525">
                                <a:solidFill>
                                  <a:srgbClr val="FFFFFF"/>
                                </a:solidFill>
                                <a:miter lim="800000"/>
                              </a:ln>
                            </wps:spPr>
                            <wps:txbx>
                              <w:txbxContent>
                                <w:p w14:paraId="2F36B02B">
                                  <w:pPr>
                                    <w:ind w:firstLine="360"/>
                                    <w:rPr>
                                      <w:rFonts w:ascii="华文楷体" w:hAnsi="华文楷体" w:eastAsia="华文楷体"/>
                                      <w:sz w:val="18"/>
                                      <w:szCs w:val="18"/>
                                    </w:rPr>
                                  </w:pPr>
                                  <w:r>
                                    <w:rPr>
                                      <w:rFonts w:hint="eastAsia" w:ascii="华文楷体" w:hAnsi="华文楷体" w:eastAsia="华文楷体"/>
                                      <w:sz w:val="18"/>
                                      <w:szCs w:val="18"/>
                                    </w:rPr>
                                    <w:t>土壤侵蚀敏感系数</w:t>
                                  </w:r>
                                </w:p>
                              </w:txbxContent>
                            </wps:txbx>
                            <wps:bodyPr rot="0" vert="horz" wrap="square" lIns="91440" tIns="45720" rIns="91440" bIns="45720" anchor="t" anchorCtr="0" upright="1">
                              <a:noAutofit/>
                            </wps:bodyPr>
                          </wps:wsp>
                          <wps:wsp>
                            <wps:cNvPr id="101" name="AutoShape 83"/>
                            <wps:cNvCnPr>
                              <a:cxnSpLocks noChangeShapeType="1"/>
                            </wps:cNvCnPr>
                            <wps:spPr bwMode="auto">
                              <a:xfrm>
                                <a:off x="8934" y="5099"/>
                                <a:ext cx="451" cy="0"/>
                              </a:xfrm>
                              <a:prstGeom prst="straightConnector1">
                                <a:avLst/>
                              </a:prstGeom>
                              <a:noFill/>
                              <a:ln w="9525">
                                <a:solidFill>
                                  <a:srgbClr val="000000"/>
                                </a:solidFill>
                                <a:round/>
                                <a:tailEnd type="triangle" w="med" len="med"/>
                              </a:ln>
                            </wps:spPr>
                            <wps:bodyPr/>
                          </wps:wsp>
                        </wpg:grpSp>
                      </wpg:grpSp>
                    </wpg:wgp>
                  </a:graphicData>
                </a:graphic>
              </wp:anchor>
            </w:drawing>
          </mc:Choice>
          <mc:Fallback>
            <w:pict>
              <v:group id="_x0000_s1026" o:spid="_x0000_s1026" o:spt="203" style="position:absolute;left:0pt;margin-left:215.5pt;margin-top:13.4pt;height:486.9pt;width:236.1pt;z-index:251661312;mso-width-relative:page;mso-height-relative:page;" coordorigin="6184,1906" coordsize="4016,8663" o:gfxdata="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pX2AV9oAAAALAQAADwAAAAAAAAABACAAAAAiAAAAZHJzL2Rvd25yZXYueG1s&#10;UEsBAhQAFAAAAAgAh07iQDiO/16lCgAAbnkAAA4AAAAAAAAAAQAgAAAAKQEAAGRycy9lMm9Eb2Mu&#10;eG1sUEsFBgAAAAAGAAYAWQEAAEAOAAAAAA==&#10;">
                <o:lock v:ext="edit" aspectratio="f"/>
                <v:group id="Group 30" o:spid="_x0000_s1026" o:spt="203" style="position:absolute;left:6261;top:9333;height:1236;width:2976;" coordorigin="6792,10055" coordsize="2976,123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7105;top:10055;height:505;width:1251;" fillcolor="#FFFFFF" filled="t" stroked="t" coordsize="21600,21600" o:gfxdata="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Ex0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40D30C19">
                          <w:pPr>
                            <w:rPr>
                              <w:sz w:val="21"/>
                              <w:szCs w:val="21"/>
                            </w:rPr>
                          </w:pPr>
                          <w:r>
                            <w:rPr>
                              <w:rFonts w:hint="eastAsia"/>
                              <w:sz w:val="21"/>
                              <w:szCs w:val="21"/>
                            </w:rPr>
                            <w:t>核心指标</w:t>
                          </w:r>
                        </w:p>
                      </w:txbxContent>
                    </v:textbox>
                  </v:shape>
                  <v:shape id="文本框 2" o:spid="_x0000_s1026" o:spt="202" type="#_x0000_t202" style="position:absolute;left:7096;top:10786;height:505;width:1238;" fillcolor="#FFFFFF" filled="t" stroked="t" coordsize="21600,21600" o:gfxdata="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vp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3FECF2C1">
                          <w:pPr>
                            <w:rPr>
                              <w:sz w:val="21"/>
                              <w:szCs w:val="21"/>
                            </w:rPr>
                          </w:pPr>
                          <w:r>
                            <w:rPr>
                              <w:rFonts w:hint="eastAsia"/>
                              <w:sz w:val="21"/>
                              <w:szCs w:val="21"/>
                            </w:rPr>
                            <w:t>辅助指标</w:t>
                          </w:r>
                        </w:p>
                      </w:txbxContent>
                    </v:textbox>
                  </v:shape>
                  <v:shape id="AutoShape 33" o:spid="_x0000_s1026" o:spt="87" type="#_x0000_t87" style="position:absolute;left:6792;top:10216;height:834;width:143;" filled="f" stroked="t" coordsize="21600,21600" o:gfxdata="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BJGb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group id="Group 34" o:spid="_x0000_s1026" o:spt="203" style="position:absolute;left:8373;top:10064;height:462;width:1313;" coordorigin="8934,4881" coordsize="2181,46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9272;top:4881;height:462;width:1843;" fillcolor="#FFFFFF" filled="t" stroked="t" coordsize="21600,21600" o:gfxdata="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Gby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7017B817">
                            <w:pPr>
                              <w:ind w:firstLine="360"/>
                              <w:rPr>
                                <w:rFonts w:ascii="华文楷体" w:hAnsi="华文楷体" w:eastAsia="华文楷体"/>
                                <w:sz w:val="18"/>
                                <w:szCs w:val="18"/>
                              </w:rPr>
                            </w:pPr>
                            <w:r>
                              <w:rPr>
                                <w:rFonts w:hint="eastAsia" w:ascii="华文楷体" w:hAnsi="华文楷体" w:eastAsia="华文楷体"/>
                                <w:sz w:val="18"/>
                                <w:szCs w:val="18"/>
                              </w:rPr>
                              <w:t>防治特点</w:t>
                            </w:r>
                          </w:p>
                        </w:txbxContent>
                      </v:textbox>
                    </v:shape>
                    <v:shape id="AutoShape 36" o:spid="_x0000_s1026" o:spt="32" type="#_x0000_t32" style="position:absolute;left:8934;top:5099;height:0;width:451;"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id="Group 37" o:spid="_x0000_s1026" o:spt="203" style="position:absolute;left:8356;top:10756;height:462;width:1412;" coordorigin="8934,4881" coordsize="2181,462"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272;top:4881;height:462;width:1843;" fillcolor="#FFFFFF" filled="t" stroked="t" coordsize="21600,21600" o:gfxdata="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Qu2Ir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w:txbxContent>
                          <w:p w14:paraId="20ADCA86">
                            <w:pPr>
                              <w:ind w:firstLine="360"/>
                              <w:rPr>
                                <w:rFonts w:ascii="华文楷体" w:hAnsi="华文楷体" w:eastAsia="华文楷体"/>
                                <w:sz w:val="18"/>
                                <w:szCs w:val="18"/>
                              </w:rPr>
                            </w:pPr>
                            <w:r>
                              <w:rPr>
                                <w:rFonts w:hint="eastAsia" w:ascii="华文楷体" w:hAnsi="华文楷体" w:eastAsia="华文楷体"/>
                                <w:sz w:val="18"/>
                                <w:szCs w:val="18"/>
                              </w:rPr>
                              <w:t>防治需求</w:t>
                            </w:r>
                          </w:p>
                        </w:txbxContent>
                      </v:textbox>
                    </v:shape>
                    <v:shape id="AutoShape 39" o:spid="_x0000_s1026" o:spt="32" type="#_x0000_t32" style="position:absolute;left:8934;top:5099;height:0;width:451;"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v:group id="Group 40" o:spid="_x0000_s1026" o:spt="203" style="position:absolute;left:6235;top:7449;height:1514;width:3445;" coordorigin="6792,8363" coordsize="3445,151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7010;top:8363;height:505;width:1251;" fillcolor="#FFFFFF" filled="t" stroked="t" coordsize="21600,21600" o:gfxdata="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Ojl7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mso-fit-shape-to-text:t;">
                      <w:txbxContent>
                        <w:p w14:paraId="0F87E434">
                          <w:pPr>
                            <w:rPr>
                              <w:sz w:val="21"/>
                              <w:szCs w:val="21"/>
                            </w:rPr>
                          </w:pPr>
                          <w:r>
                            <w:rPr>
                              <w:rFonts w:hint="eastAsia"/>
                              <w:sz w:val="21"/>
                              <w:szCs w:val="21"/>
                            </w:rPr>
                            <w:t>核心指标</w:t>
                          </w:r>
                        </w:p>
                      </w:txbxContent>
                    </v:textbox>
                  </v:shape>
                  <v:shape id="文本框 2" o:spid="_x0000_s1026" o:spt="202" type="#_x0000_t202" style="position:absolute;left:7045;top:9085;height:505;width:1236;" fillcolor="#FFFFFF" filled="t" stroked="t" coordsize="21600,21600" o:gfxdata="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ac4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252FDDBE">
                          <w:pPr>
                            <w:rPr>
                              <w:sz w:val="21"/>
                              <w:szCs w:val="21"/>
                            </w:rPr>
                          </w:pPr>
                          <w:r>
                            <w:rPr>
                              <w:rFonts w:hint="eastAsia"/>
                              <w:sz w:val="21"/>
                              <w:szCs w:val="21"/>
                            </w:rPr>
                            <w:t>辅助指标</w:t>
                          </w:r>
                        </w:p>
                      </w:txbxContent>
                    </v:textbox>
                  </v:shape>
                  <v:shape id="AutoShape 43" o:spid="_x0000_s1026" o:spt="87" type="#_x0000_t87" style="position:absolute;left:6792;top:8503;height:834;width:143;" filled="f" stroked="t" coordsize="21600,21600" o:gfxdata="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58XL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group id="Group 44" o:spid="_x0000_s1026" o:spt="203" style="position:absolute;left:8356;top:8834;height:1043;width:1776;" coordorigin="9024,7224" coordsize="1776,1043"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文本框 2" o:spid="_x0000_s1026" o:spt="202" type="#_x0000_t202" style="position:absolute;left:9237;top:7224;height:516;width:1563;" fillcolor="#FFFFFF" filled="t" stroked="t" coordsize="21600,21600" o:gfxdata="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ehWS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6D9AAA40">
                            <w:pPr>
                              <w:adjustRightInd w:val="0"/>
                              <w:snapToGrid w:val="0"/>
                              <w:ind w:firstLine="360"/>
                              <w:rPr>
                                <w:rFonts w:ascii="华文楷体" w:hAnsi="华文楷体" w:eastAsia="华文楷体"/>
                              </w:rPr>
                            </w:pPr>
                            <w:r>
                              <w:rPr>
                                <w:rFonts w:hint="eastAsia" w:ascii="华文楷体" w:hAnsi="华文楷体" w:eastAsia="华文楷体"/>
                                <w:sz w:val="18"/>
                                <w:szCs w:val="18"/>
                              </w:rPr>
                              <w:t>植被覆盖率（%）</w:t>
                            </w:r>
                          </w:p>
                        </w:txbxContent>
                      </v:textbox>
                    </v:shape>
                    <v:shape id="文本框 2" o:spid="_x0000_s1026" o:spt="202" type="#_x0000_t202" style="position:absolute;left:9291;top:7777;height:490;width:1119;" fillcolor="#FFFFFF" filled="t" stroked="t" coordsize="21600,21600" o:gfxdata="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I5kS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w:txbxContent>
                          <w:p w14:paraId="56E61747">
                            <w:pPr>
                              <w:adjustRightInd w:val="0"/>
                              <w:snapToGrid w:val="0"/>
                              <w:ind w:firstLine="360"/>
                              <w:rPr>
                                <w:rFonts w:ascii="华文楷体" w:hAnsi="华文楷体" w:eastAsia="华文楷体"/>
                              </w:rPr>
                            </w:pPr>
                            <w:r>
                              <w:rPr>
                                <w:rFonts w:hint="eastAsia" w:ascii="华文楷体" w:hAnsi="华文楷体" w:eastAsia="华文楷体"/>
                                <w:sz w:val="18"/>
                                <w:szCs w:val="18"/>
                              </w:rPr>
                              <w:t>耕垦指数</w:t>
                            </w:r>
                          </w:p>
                        </w:txbxContent>
                      </v:textbox>
                    </v:shape>
                    <v:shape id="AutoShape 47" o:spid="_x0000_s1026" o:spt="87" type="#_x0000_t87" style="position:absolute;left:9024;top:7396;height:629;width:143;" filled="f" stroked="t" coordsize="21600,21600" o:gfxdata="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sulb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group>
                  <v:group id="Group 48" o:spid="_x0000_s1026" o:spt="203" style="position:absolute;left:8281;top:8431;height:462;width:1956;" coordorigin="8934,4881" coordsize="2181,46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9272;top:4881;height:462;width:1843;" fillcolor="#FFFFFF" filled="t" stroked="t" coordsize="21600,21600" o:gfxdata="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BH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w:txbxContent>
                          <w:p w14:paraId="61C2EF1D">
                            <w:pPr>
                              <w:ind w:firstLine="360"/>
                              <w:rPr>
                                <w:rFonts w:ascii="华文楷体" w:hAnsi="华文楷体" w:eastAsia="华文楷体"/>
                                <w:sz w:val="18"/>
                                <w:szCs w:val="18"/>
                              </w:rPr>
                            </w:pPr>
                            <w:r>
                              <w:rPr>
                                <w:rFonts w:hint="eastAsia" w:ascii="华文楷体" w:hAnsi="华文楷体" w:eastAsia="华文楷体"/>
                                <w:sz w:val="18"/>
                                <w:szCs w:val="18"/>
                              </w:rPr>
                              <w:t>坡耕地比（％）</w:t>
                            </w:r>
                          </w:p>
                        </w:txbxContent>
                      </v:textbox>
                    </v:shape>
                    <v:shape id="AutoShape 50" o:spid="_x0000_s1026" o:spt="32" type="#_x0000_t32" style="position:absolute;left:8934;top:5099;height:0;width:451;" filled="f" stroked="t" coordsize="21600,21600"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Group 51" o:spid="_x0000_s1026" o:spt="203" style="position:absolute;left:6184;top:5657;height:1662;width:3852;" coordorigin="6660,6568" coordsize="3852,1662"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文本框 2" o:spid="_x0000_s1026" o:spt="202" type="#_x0000_t202" style="position:absolute;left:6901;top:6609;height:505;width:1251;" fillcolor="#FFFFFF" filled="t" stroked="t" coordsize="21600,21600" o:gfxdata="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FQX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4C62C7C">
                          <w:pPr>
                            <w:rPr>
                              <w:sz w:val="21"/>
                              <w:szCs w:val="21"/>
                            </w:rPr>
                          </w:pPr>
                          <w:r>
                            <w:rPr>
                              <w:rFonts w:hint="eastAsia"/>
                              <w:sz w:val="21"/>
                              <w:szCs w:val="21"/>
                            </w:rPr>
                            <w:t>核心指标</w:t>
                          </w:r>
                        </w:p>
                      </w:txbxContent>
                    </v:textbox>
                  </v:shape>
                  <v:shape id="文本框 2" o:spid="_x0000_s1026" o:spt="202" type="#_x0000_t202" style="position:absolute;left:6916;top:7385;height:505;width:1238;" fillcolor="#FFFFFF" filled="t" stroked="t" coordsize="21600,21600" o:gfxdata="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7EL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14:paraId="7F10E65A">
                          <w:pPr>
                            <w:rPr>
                              <w:sz w:val="21"/>
                              <w:szCs w:val="21"/>
                            </w:rPr>
                          </w:pPr>
                          <w:r>
                            <w:rPr>
                              <w:rFonts w:hint="eastAsia"/>
                              <w:sz w:val="21"/>
                              <w:szCs w:val="21"/>
                            </w:rPr>
                            <w:t>辅助指标</w:t>
                          </w:r>
                        </w:p>
                      </w:txbxContent>
                    </v:textbox>
                  </v:shape>
                  <v:shape id="AutoShape 54" o:spid="_x0000_s1026" o:spt="87" type="#_x0000_t87" style="position:absolute;left:6660;top:6915;height:834;width:143;" filled="f" stroked="t" coordsize="21600,21600" o:gfxdata="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0ik7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group id="Group 55" o:spid="_x0000_s1026" o:spt="203" style="position:absolute;left:8176;top:6568;height:804;width:1956;" coordorigin="8934,4881" coordsize="2181,46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9272;top:4881;height:462;width:1843;" fillcolor="#FFFFFF" filled="t" stroked="t" coordsize="21600,21600" o:gfxdata="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d1QK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59B6532A">
                            <w:pPr>
                              <w:rPr>
                                <w:rFonts w:ascii="华文楷体" w:hAnsi="华文楷体" w:eastAsia="华文楷体"/>
                                <w:sz w:val="18"/>
                                <w:szCs w:val="18"/>
                                <w:lang w:eastAsia="zh-CN"/>
                              </w:rPr>
                            </w:pPr>
                            <w:r>
                              <w:rPr>
                                <w:rFonts w:hint="eastAsia" w:ascii="华文楷体" w:hAnsi="华文楷体" w:eastAsia="华文楷体"/>
                                <w:sz w:val="18"/>
                                <w:szCs w:val="18"/>
                                <w:lang w:eastAsia="zh-CN"/>
                              </w:rPr>
                              <w:t>人类活动扰动强度（％）</w:t>
                            </w:r>
                          </w:p>
                        </w:txbxContent>
                      </v:textbox>
                    </v:shape>
                    <v:shape id="AutoShape 57" o:spid="_x0000_s1026" o:spt="32" type="#_x0000_t32" style="position:absolute;left:8934;top:5099;height:0;width:451;"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Group 58" o:spid="_x0000_s1026" o:spt="203" style="position:absolute;left:8151;top:7206;height:1024;width:2361;" coordorigin="9024,7224" coordsize="1776,1043"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9237;top:7224;height:516;width:1563;" fillcolor="#FFFFFF" filled="t" stroked="t" coordsize="21600,21600" o:gfxdata="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dpq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14D3D6F1">
                            <w:pPr>
                              <w:adjustRightInd w:val="0"/>
                              <w:snapToGrid w:val="0"/>
                              <w:ind w:firstLine="360"/>
                              <w:rPr>
                                <w:rFonts w:ascii="华文楷体" w:hAnsi="华文楷体" w:eastAsia="华文楷体"/>
                              </w:rPr>
                            </w:pPr>
                            <w:r>
                              <w:rPr>
                                <w:rFonts w:hint="eastAsia" w:ascii="华文楷体" w:hAnsi="华文楷体" w:eastAsia="华文楷体"/>
                                <w:sz w:val="18"/>
                                <w:szCs w:val="18"/>
                              </w:rPr>
                              <w:t>人口密度（人km</w:t>
                            </w:r>
                            <w:r>
                              <w:rPr>
                                <w:rFonts w:hint="eastAsia" w:ascii="华文楷体" w:hAnsi="华文楷体" w:eastAsia="华文楷体"/>
                                <w:sz w:val="18"/>
                                <w:szCs w:val="18"/>
                                <w:vertAlign w:val="superscript"/>
                              </w:rPr>
                              <w:t>2</w:t>
                            </w:r>
                            <w:r>
                              <w:rPr>
                                <w:rFonts w:hint="eastAsia" w:ascii="华文楷体" w:hAnsi="华文楷体" w:eastAsia="华文楷体"/>
                                <w:sz w:val="18"/>
                                <w:szCs w:val="18"/>
                              </w:rPr>
                              <w:t>）</w:t>
                            </w:r>
                          </w:p>
                        </w:txbxContent>
                      </v:textbox>
                    </v:shape>
                    <v:shape id="文本框 2" o:spid="_x0000_s1026" o:spt="202" type="#_x0000_t202" style="position:absolute;left:9291;top:7777;height:490;width:1119;" fillcolor="#FFFFFF" filled="t" stroked="t" coordsize="21600,21600" o:gfxdata="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0wG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7535E0FE">
                            <w:pPr>
                              <w:adjustRightInd w:val="0"/>
                              <w:snapToGrid w:val="0"/>
                              <w:ind w:firstLine="360"/>
                              <w:rPr>
                                <w:rFonts w:ascii="华文楷体" w:hAnsi="华文楷体" w:eastAsia="华文楷体"/>
                              </w:rPr>
                            </w:pPr>
                            <w:r>
                              <w:rPr>
                                <w:rFonts w:hint="eastAsia" w:ascii="华文楷体" w:hAnsi="华文楷体" w:eastAsia="华文楷体"/>
                                <w:sz w:val="18"/>
                                <w:szCs w:val="18"/>
                              </w:rPr>
                              <w:t>人均GDP（元）</w:t>
                            </w:r>
                          </w:p>
                        </w:txbxContent>
                      </v:textbox>
                    </v:shape>
                    <v:shape id="AutoShape 61" o:spid="_x0000_s1026" o:spt="87" type="#_x0000_t87" style="position:absolute;left:9024;top:7396;height:629;width:143;" filled="f" stroked="t" coordsize="21600,21600" o:gfxdata="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yA8&#10;wAAAANsAAAAPAAAAAAAAAAEAIAAAACIAAABkcnMvZG93bnJldi54bWxQSwECFAAUAAAACACHTuJA&#10;My8FnjsAAAA5AAAAEAAAAAAAAAABACAAAAAPAQAAZHJzL3NoYXBleG1sLnhtbFBLBQYAAAAABgAG&#10;AFsBAAC5AwAAAAA=&#10;" adj="1799,10800">
                      <v:fill on="f" focussize="0,0"/>
                      <v:stroke color="#000000" joinstyle="round"/>
                      <v:imagedata o:title=""/>
                      <o:lock v:ext="edit" aspectratio="f"/>
                    </v:shape>
                  </v:group>
                </v:group>
                <v:group id="Group 62" o:spid="_x0000_s1026" o:spt="203" style="position:absolute;left:6184;top:1906;height:1572;width:3641;" coordorigin="6184,1906" coordsize="3641,157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AutoShape 63" o:spid="_x0000_s1026" o:spt="87" type="#_x0000_t87" style="position:absolute;left:7675;top:2569;height:834;width:143;" filled="f" stroked="t" coordsize="21600,21600" o:gfxdata="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fIb7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group id="Group 64" o:spid="_x0000_s1026" o:spt="203" style="position:absolute;left:6184;top:1906;height:1572;width:3641;" coordorigin="6985,2775" coordsize="3641,1572"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7260;top:2775;height:462;width:1155;"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9F268DF">
                            <w:pPr>
                              <w:rPr>
                                <w:sz w:val="21"/>
                                <w:szCs w:val="21"/>
                              </w:rPr>
                            </w:pPr>
                            <w:r>
                              <w:rPr>
                                <w:rFonts w:hint="eastAsia"/>
                                <w:sz w:val="21"/>
                                <w:szCs w:val="21"/>
                              </w:rPr>
                              <w:t>核心指</w:t>
                            </w:r>
                            <w:r>
                              <w:rPr>
                                <w:rFonts w:hint="eastAsia"/>
                                <w:sz w:val="21"/>
                                <w:szCs w:val="21"/>
                                <w:lang w:eastAsia="zh-CN"/>
                              </w:rPr>
                              <w:t>标</w:t>
                            </w:r>
                          </w:p>
                        </w:txbxContent>
                      </v:textbox>
                    </v:shape>
                    <v:shape id="文本框 2" o:spid="_x0000_s1026" o:spt="202" type="#_x0000_t202" style="position:absolute;left:7260;top:3546;height:513;width:1155;"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50298CC">
                            <w:pPr>
                              <w:rPr>
                                <w:sz w:val="21"/>
                                <w:szCs w:val="21"/>
                              </w:rPr>
                            </w:pPr>
                            <w:r>
                              <w:rPr>
                                <w:rFonts w:hint="eastAsia"/>
                                <w:sz w:val="21"/>
                                <w:szCs w:val="21"/>
                              </w:rPr>
                              <w:t>辅助指标</w:t>
                            </w:r>
                          </w:p>
                        </w:txbxContent>
                      </v:textbox>
                    </v:shape>
                    <v:shape id="文本框 2" o:spid="_x0000_s1026" o:spt="202" type="#_x0000_t202" style="position:absolute;left:8934;top:2884;height:462;width:1167;" fillcolor="#FFFFFF" filled="t" stroked="t" coordsize="21600,21600" o:gfxdata="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zoya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480425CA">
                            <w:pPr>
                              <w:ind w:firstLine="360"/>
                              <w:rPr>
                                <w:rFonts w:ascii="华文楷体" w:hAnsi="华文楷体" w:eastAsia="华文楷体"/>
                                <w:sz w:val="18"/>
                                <w:szCs w:val="18"/>
                              </w:rPr>
                            </w:pPr>
                            <w:r>
                              <w:rPr>
                                <w:rFonts w:hint="eastAsia" w:ascii="华文楷体" w:hAnsi="华文楷体" w:eastAsia="华文楷体"/>
                                <w:sz w:val="18"/>
                                <w:szCs w:val="18"/>
                              </w:rPr>
                              <w:t>特征地貌</w:t>
                            </w:r>
                          </w:p>
                        </w:txbxContent>
                      </v:textbox>
                    </v:shape>
                    <v:shape id="AutoShape 68" o:spid="_x0000_s1026" o:spt="87" type="#_x0000_t87" style="position:absolute;left:6985;top:2955;height:834;width:143;" filled="f" stroked="t" coordsize="21600,21600" o:gfxdata="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5QG7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shape id="AutoShape 69" o:spid="_x0000_s1026" o:spt="32" type="#_x0000_t32" style="position:absolute;left:8483;top:3075;height:0;width:451;"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Group 70" o:spid="_x0000_s1026" o:spt="203" style="position:absolute;left:8625;top:3237;height:1110;width:2001;" coordorigin="8768,3225" coordsize="2001,1110"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8768;top:3225;height:450;width:1731;" fillcolor="#FFFFFF" filled="t" stroked="t" coordsize="21600,21600" o:gfxdata="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qkjvQAA&#10;ANs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w:txbxContent>
                            <w:p w14:paraId="4D51F8F7">
                              <w:pPr>
                                <w:ind w:firstLine="480"/>
                                <w:rPr>
                                  <w:rFonts w:ascii="华文楷体" w:hAnsi="华文楷体" w:eastAsia="华文楷体"/>
                                </w:rPr>
                              </w:pPr>
                            </w:p>
                          </w:txbxContent>
                        </v:textbox>
                      </v:shape>
                      <v:shape id="文本框 2" o:spid="_x0000_s1026" o:spt="202" type="#_x0000_t202" style="position:absolute;left:8768;top:3546;height:420;width:1536;" fillcolor="#FFFFFF" filled="t" stroked="t" coordsize="21600,21600" o:gfxdata="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2WY7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w:txbxContent>
                            <w:p w14:paraId="7DA755E1">
                              <w:pPr>
                                <w:rPr>
                                  <w:rFonts w:ascii="华文楷体" w:hAnsi="华文楷体" w:eastAsia="华文楷体"/>
                                  <w:lang w:eastAsia="zh-CN"/>
                                </w:rPr>
                              </w:pPr>
                              <w:r>
                                <w:rPr>
                                  <w:rFonts w:hint="eastAsia" w:ascii="华文楷体" w:hAnsi="华文楷体" w:eastAsia="华文楷体"/>
                                  <w:lang w:eastAsia="zh-CN"/>
                                </w:rPr>
                                <w:t>相对高度（m）</w:t>
                              </w:r>
                            </w:p>
                          </w:txbxContent>
                        </v:textbox>
                      </v:shape>
                      <v:shape id="文本框 2" o:spid="_x0000_s1026" o:spt="202" type="#_x0000_t202" style="position:absolute;left:8768;top:3873;height:462;width:2001;" fillcolor="#FFFFFF" filled="t" stroked="t" coordsize="21600,21600" o:gfxdata="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RM/i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730AB199">
                              <w:pPr>
                                <w:ind w:firstLine="360"/>
                                <w:rPr>
                                  <w:rFonts w:ascii="华文楷体" w:hAnsi="华文楷体" w:eastAsia="华文楷体"/>
                                  <w:sz w:val="18"/>
                                  <w:szCs w:val="18"/>
                                </w:rPr>
                              </w:pPr>
                            </w:p>
                          </w:txbxContent>
                        </v:textbox>
                      </v:shape>
                    </v:group>
                  </v:group>
                </v:group>
                <v:group id="Group 74" o:spid="_x0000_s1026" o:spt="203" style="position:absolute;left:6261;top:3972;height:1732;width:3939;" coordorigin="6129,4761" coordsize="3939,173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6393;top:4764;height:505;width:1251;" fillcolor="#FFFFFF" filled="t" stroked="t" coordsize="21600,21600" o:gfxdata="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8me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01B94004">
                          <w:pPr>
                            <w:rPr>
                              <w:sz w:val="21"/>
                              <w:szCs w:val="21"/>
                            </w:rPr>
                          </w:pPr>
                          <w:r>
                            <w:rPr>
                              <w:rFonts w:hint="eastAsia"/>
                              <w:sz w:val="21"/>
                              <w:szCs w:val="21"/>
                            </w:rPr>
                            <w:t>核心指标</w:t>
                          </w:r>
                        </w:p>
                      </w:txbxContent>
                    </v:textbox>
                  </v:shape>
                  <v:shape id="文本框 2" o:spid="_x0000_s1026" o:spt="202" type="#_x0000_t202" style="position:absolute;left:6433;top:5497;height:505;width:1238;" fillcolor="#FFFFFF" filled="t" stroked="t" coordsize="21600,21600" o:gfxdata="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a+D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470677E9">
                          <w:pPr>
                            <w:rPr>
                              <w:sz w:val="21"/>
                              <w:szCs w:val="21"/>
                            </w:rPr>
                          </w:pPr>
                          <w:r>
                            <w:rPr>
                              <w:rFonts w:hint="eastAsia"/>
                              <w:sz w:val="21"/>
                              <w:szCs w:val="21"/>
                            </w:rPr>
                            <w:t>辅助指标</w:t>
                          </w:r>
                        </w:p>
                      </w:txbxContent>
                    </v:textbox>
                  </v:shape>
                  <v:shape id="AutoShape 77" o:spid="_x0000_s1026" o:spt="87" type="#_x0000_t87" style="position:absolute;left:6129;top:4997;height:834;width:143;" filled="f" stroked="t" coordsize="21600,21600" o:gfxdata="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VYsb4A&#10;AADb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shape id="文本框 2" o:spid="_x0000_s1026" o:spt="202" type="#_x0000_t202" style="position:absolute;left:7800;top:5165;height:666;width:2268;" fillcolor="#FFFFFF" filled="t" stroked="t" coordsize="21600,21600" o:gfxdata="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irjLsAAADb&#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14:paraId="35DCFDDD">
                          <w:pPr>
                            <w:adjustRightInd w:val="0"/>
                            <w:snapToGrid w:val="0"/>
                            <w:rPr>
                              <w:rFonts w:ascii="华文楷体" w:hAnsi="华文楷体" w:eastAsia="华文楷体"/>
                              <w:lang w:eastAsia="zh-CN"/>
                            </w:rPr>
                          </w:pPr>
                          <w:r>
                            <w:rPr>
                              <w:rFonts w:hint="eastAsia" w:ascii="华文楷体" w:hAnsi="华文楷体" w:eastAsia="华文楷体"/>
                              <w:sz w:val="18"/>
                              <w:szCs w:val="18"/>
                              <w:lang w:eastAsia="zh-CN"/>
                            </w:rPr>
                            <w:t>中度以上水土流失面积比（％）</w:t>
                          </w:r>
                        </w:p>
                      </w:txbxContent>
                    </v:textbox>
                  </v:shape>
                  <v:shape id="文本框 2" o:spid="_x0000_s1026" o:spt="202" type="#_x0000_t202" style="position:absolute;left:7730;top:5752;height:741;width:1948;" fillcolor="#FFFFFF" filled="t" stroked="t" coordsize="21600,21600" o:gfxdata="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0Dhe8AAAA&#10;2w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2450943A">
                          <w:pPr>
                            <w:adjustRightInd w:val="0"/>
                            <w:snapToGrid w:val="0"/>
                            <w:ind w:firstLine="360"/>
                            <w:rPr>
                              <w:rFonts w:ascii="华文楷体" w:hAnsi="华文楷体" w:eastAsia="华文楷体"/>
                              <w:lang w:eastAsia="zh-CN"/>
                            </w:rPr>
                          </w:pPr>
                          <w:r>
                            <w:rPr>
                              <w:rFonts w:ascii="华文楷体" w:hAnsi="华文楷体" w:eastAsia="华文楷体"/>
                              <w:sz w:val="18"/>
                              <w:szCs w:val="18"/>
                              <w:lang w:eastAsia="zh-CN"/>
                            </w:rPr>
                            <w:t>水土流失面积比例</w:t>
                          </w:r>
                          <w:r>
                            <w:rPr>
                              <w:rFonts w:hint="eastAsia" w:ascii="华文楷体" w:hAnsi="华文楷体" w:eastAsia="华文楷体"/>
                              <w:sz w:val="18"/>
                              <w:szCs w:val="18"/>
                              <w:lang w:eastAsia="zh-CN"/>
                            </w:rPr>
                            <w:t>（％）</w:t>
                          </w:r>
                        </w:p>
                      </w:txbxContent>
                    </v:textbox>
                  </v:shape>
                  <v:shape id="AutoShape 80" o:spid="_x0000_s1026" o:spt="87" type="#_x0000_t87" style="position:absolute;left:7699;top:5345;height:834;width:143;" filled="f" stroked="t" coordsize="21600,21600" o:gfxdata="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T3L7sAAADb&#10;AAAADwAAAAAAAAABACAAAAAiAAAAZHJzL2Rvd25yZXYueG1sUEsBAhQAFAAAAAgAh07iQDMvBZ47&#10;AAAAOQAAABAAAAAAAAAAAQAgAAAACgEAAGRycy9zaGFwZXhtbC54bWxQSwUGAAAAAAYABgBbAQAA&#10;tAMAAAAA&#10;" adj="1799,10800">
                    <v:fill on="f" focussize="0,0"/>
                    <v:stroke color="#000000" joinstyle="round"/>
                    <v:imagedata o:title=""/>
                    <o:lock v:ext="edit" aspectratio="f"/>
                  </v:shape>
                  <v:group id="Group 81" o:spid="_x0000_s1026" o:spt="203" style="position:absolute;left:7655;top:4761;height:462;width:2170;" coordorigin="8934,4881" coordsize="2181,462"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9272;top:4881;height:462;width:1843;" fillcolor="#FFFFFF" filled="t" stroked="t" coordsize="21600,21600" o:gfxdata="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wsevQAA&#10;ANw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w:txbxContent>
                          <w:p w14:paraId="2F36B02B">
                            <w:pPr>
                              <w:ind w:firstLine="360"/>
                              <w:rPr>
                                <w:rFonts w:ascii="华文楷体" w:hAnsi="华文楷体" w:eastAsia="华文楷体"/>
                                <w:sz w:val="18"/>
                                <w:szCs w:val="18"/>
                              </w:rPr>
                            </w:pPr>
                            <w:r>
                              <w:rPr>
                                <w:rFonts w:hint="eastAsia" w:ascii="华文楷体" w:hAnsi="华文楷体" w:eastAsia="华文楷体"/>
                                <w:sz w:val="18"/>
                                <w:szCs w:val="18"/>
                              </w:rPr>
                              <w:t>土壤侵蚀敏感系数</w:t>
                            </w:r>
                          </w:p>
                        </w:txbxContent>
                      </v:textbox>
                    </v:shape>
                    <v:shape id="AutoShape 83" o:spid="_x0000_s1026" o:spt="32" type="#_x0000_t32" style="position:absolute;left:8934;top:5099;height:0;width:451;" filled="f" stroked="t" coordsize="21600,21600" o:gfxdata="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wbJ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v:group>
            </w:pict>
          </mc:Fallback>
        </mc:AlternateContent>
      </w:r>
      <w:r>
        <w:rPr>
          <w:rFonts w:hint="default" w:ascii="Times New Roman" w:hAnsi="Times New Roman" w:cs="Times New Roman"/>
          <w:lang w:eastAsia="zh-CN"/>
        </w:rPr>
        <mc:AlternateContent>
          <mc:Choice Requires="wpg">
            <w:drawing>
              <wp:anchor distT="0" distB="0" distL="114300" distR="114300" simplePos="0" relativeHeight="251660288" behindDoc="0" locked="0" layoutInCell="1" allowOverlap="1">
                <wp:simplePos x="0" y="0"/>
                <wp:positionH relativeFrom="column">
                  <wp:posOffset>-43180</wp:posOffset>
                </wp:positionH>
                <wp:positionV relativeFrom="paragraph">
                  <wp:posOffset>253365</wp:posOffset>
                </wp:positionV>
                <wp:extent cx="2841625" cy="5628640"/>
                <wp:effectExtent l="7620" t="10795" r="8255" b="8890"/>
                <wp:wrapNone/>
                <wp:docPr id="22" name="组合 22"/>
                <wp:cNvGraphicFramePr/>
                <a:graphic xmlns:a="http://schemas.openxmlformats.org/drawingml/2006/main">
                  <a:graphicData uri="http://schemas.microsoft.com/office/word/2010/wordprocessingGroup">
                    <wpg:wgp>
                      <wpg:cNvGrpSpPr/>
                      <wpg:grpSpPr>
                        <a:xfrm>
                          <a:off x="0" y="0"/>
                          <a:ext cx="2841625" cy="5628640"/>
                          <a:chOff x="2402" y="2003"/>
                          <a:chExt cx="3806" cy="7886"/>
                        </a:xfrm>
                      </wpg:grpSpPr>
                      <wpg:grpSp>
                        <wpg:cNvPr id="25" name="Group 17"/>
                        <wpg:cNvGrpSpPr/>
                        <wpg:grpSpPr>
                          <a:xfrm>
                            <a:off x="3013" y="6915"/>
                            <a:ext cx="1046" cy="467"/>
                            <a:chOff x="3013" y="6915"/>
                            <a:chExt cx="1046" cy="467"/>
                          </a:xfrm>
                        </wpg:grpSpPr>
                        <wps:wsp>
                          <wps:cNvPr id="28" name="文本框 2"/>
                          <wps:cNvSpPr txBox="1">
                            <a:spLocks noChangeArrowheads="1"/>
                          </wps:cNvSpPr>
                          <wps:spPr bwMode="auto">
                            <a:xfrm>
                              <a:off x="3013" y="6915"/>
                              <a:ext cx="1046" cy="466"/>
                            </a:xfrm>
                            <a:prstGeom prst="rect">
                              <a:avLst/>
                            </a:prstGeom>
                            <a:solidFill>
                              <a:srgbClr val="FFFFFF"/>
                            </a:solidFill>
                            <a:ln w="9525">
                              <a:solidFill>
                                <a:srgbClr val="FFFFFF"/>
                              </a:solidFill>
                              <a:miter lim="800000"/>
                            </a:ln>
                          </wps:spPr>
                          <wps:txbx>
                            <w:txbxContent>
                              <w:p w14:paraId="76EB55C5">
                                <w:r>
                                  <w:rPr>
                                    <w:rFonts w:hint="eastAsia"/>
                                  </w:rPr>
                                  <w:t>综合类</w:t>
                                </w:r>
                              </w:p>
                            </w:txbxContent>
                          </wps:txbx>
                          <wps:bodyPr rot="0" vert="horz" wrap="square" lIns="91440" tIns="45720" rIns="91440" bIns="45720" anchor="t" anchorCtr="0" upright="1">
                            <a:noAutofit/>
                          </wps:bodyPr>
                        </wps:wsp>
                        <wps:wsp>
                          <wps:cNvPr id="29" name="AutoShape 19"/>
                          <wps:cNvCnPr>
                            <a:cxnSpLocks noChangeShapeType="1"/>
                          </wps:cNvCnPr>
                          <wps:spPr bwMode="auto">
                            <a:xfrm>
                              <a:off x="3092" y="7381"/>
                              <a:ext cx="728" cy="1"/>
                            </a:xfrm>
                            <a:prstGeom prst="straightConnector1">
                              <a:avLst/>
                            </a:prstGeom>
                            <a:noFill/>
                            <a:ln w="9525">
                              <a:solidFill>
                                <a:srgbClr val="000000"/>
                              </a:solidFill>
                              <a:round/>
                              <a:tailEnd type="triangle" w="med" len="med"/>
                            </a:ln>
                          </wps:spPr>
                          <wps:bodyPr/>
                        </wps:wsp>
                      </wpg:grpSp>
                      <wpg:grpSp>
                        <wpg:cNvPr id="30" name="Group 20"/>
                        <wpg:cNvGrpSpPr/>
                        <wpg:grpSpPr>
                          <a:xfrm>
                            <a:off x="2402" y="2003"/>
                            <a:ext cx="3806" cy="7886"/>
                            <a:chOff x="2854" y="2884"/>
                            <a:chExt cx="3806" cy="7886"/>
                          </a:xfrm>
                        </wpg:grpSpPr>
                        <wps:wsp>
                          <wps:cNvPr id="31" name="Oval 21"/>
                          <wps:cNvSpPr>
                            <a:spLocks noChangeArrowheads="1"/>
                          </wps:cNvSpPr>
                          <wps:spPr bwMode="auto">
                            <a:xfrm>
                              <a:off x="2854" y="2884"/>
                              <a:ext cx="690" cy="6765"/>
                            </a:xfrm>
                            <a:prstGeom prst="ellipse">
                              <a:avLst/>
                            </a:prstGeom>
                            <a:solidFill>
                              <a:srgbClr val="FFFFFF"/>
                            </a:solidFill>
                            <a:ln w="9525">
                              <a:solidFill>
                                <a:srgbClr val="000000"/>
                              </a:solidFill>
                              <a:round/>
                            </a:ln>
                          </wps:spPr>
                          <wps:txbx>
                            <w:txbxContent>
                              <w:p w14:paraId="0A843D7B">
                                <w:pPr>
                                  <w:spacing w:line="276" w:lineRule="auto"/>
                                  <w:rPr>
                                    <w:rFonts w:ascii="黑体" w:hAnsi="黑体" w:eastAsia="黑体"/>
                                    <w:lang w:eastAsia="zh-CN"/>
                                  </w:rPr>
                                </w:pPr>
                                <w:r>
                                  <w:rPr>
                                    <w:rFonts w:hint="eastAsia" w:ascii="黑体" w:hAnsi="黑体" w:eastAsia="黑体" w:cs="Arial"/>
                                    <w:lang w:eastAsia="zh-CN"/>
                                  </w:rPr>
                                  <w:t>雷州市水土保持区划指标体系</w:t>
                                </w:r>
                              </w:p>
                            </w:txbxContent>
                          </wps:txbx>
                          <wps:bodyPr rot="0" vert="horz" wrap="square" lIns="91440" tIns="45720" rIns="91440" bIns="45720" anchor="t" anchorCtr="0" upright="1">
                            <a:noAutofit/>
                          </wps:bodyPr>
                        </wps:wsp>
                        <wps:wsp>
                          <wps:cNvPr id="32" name="AutoShape 22"/>
                          <wps:cNvCnPr>
                            <a:cxnSpLocks noChangeShapeType="1"/>
                          </wps:cNvCnPr>
                          <wps:spPr bwMode="auto">
                            <a:xfrm>
                              <a:off x="3705" y="3449"/>
                              <a:ext cx="750" cy="1"/>
                            </a:xfrm>
                            <a:prstGeom prst="straightConnector1">
                              <a:avLst/>
                            </a:prstGeom>
                            <a:noFill/>
                            <a:ln w="9525">
                              <a:solidFill>
                                <a:srgbClr val="000000"/>
                              </a:solidFill>
                              <a:round/>
                              <a:tailEnd type="triangle" w="med" len="med"/>
                            </a:ln>
                          </wps:spPr>
                          <wps:bodyPr/>
                        </wps:wsp>
                        <wps:wsp>
                          <wps:cNvPr id="33" name="Oval 23"/>
                          <wps:cNvSpPr>
                            <a:spLocks noChangeArrowheads="1"/>
                          </wps:cNvSpPr>
                          <wps:spPr bwMode="auto">
                            <a:xfrm>
                              <a:off x="4690" y="3075"/>
                              <a:ext cx="1880" cy="600"/>
                            </a:xfrm>
                            <a:prstGeom prst="ellipse">
                              <a:avLst/>
                            </a:prstGeom>
                            <a:solidFill>
                              <a:srgbClr val="FFFFFF"/>
                            </a:solidFill>
                            <a:ln w="9525">
                              <a:solidFill>
                                <a:srgbClr val="000000"/>
                              </a:solidFill>
                              <a:round/>
                            </a:ln>
                          </wps:spPr>
                          <wps:txbx>
                            <w:txbxContent>
                              <w:p w14:paraId="197087E1">
                                <w:pPr>
                                  <w:ind w:firstLine="199" w:firstLineChars="111"/>
                                </w:pPr>
                                <w:r>
                                  <w:rPr>
                                    <w:rFonts w:hint="eastAsia"/>
                                    <w:sz w:val="18"/>
                                    <w:szCs w:val="18"/>
                                  </w:rPr>
                                  <w:t>地貌特征</w:t>
                                </w:r>
                              </w:p>
                            </w:txbxContent>
                          </wps:txbx>
                          <wps:bodyPr rot="0" vert="horz" wrap="square" lIns="91440" tIns="45720" rIns="91440" bIns="45720" anchor="t" anchorCtr="0" upright="1">
                            <a:noAutofit/>
                          </wps:bodyPr>
                        </wps:wsp>
                        <wps:wsp>
                          <wps:cNvPr id="34" name="Oval 24"/>
                          <wps:cNvSpPr>
                            <a:spLocks noChangeArrowheads="1"/>
                          </wps:cNvSpPr>
                          <wps:spPr bwMode="auto">
                            <a:xfrm>
                              <a:off x="4590" y="6965"/>
                              <a:ext cx="1980" cy="600"/>
                            </a:xfrm>
                            <a:prstGeom prst="ellipse">
                              <a:avLst/>
                            </a:prstGeom>
                            <a:solidFill>
                              <a:srgbClr val="FFFFFF"/>
                            </a:solidFill>
                            <a:ln w="9525">
                              <a:solidFill>
                                <a:srgbClr val="000000"/>
                              </a:solidFill>
                              <a:round/>
                            </a:ln>
                          </wps:spPr>
                          <wps:txbx>
                            <w:txbxContent>
                              <w:p w14:paraId="311843F2">
                                <w:r>
                                  <w:rPr>
                                    <w:rFonts w:hint="eastAsia"/>
                                    <w:sz w:val="18"/>
                                    <w:szCs w:val="18"/>
                                  </w:rPr>
                                  <w:t>社会经济特征</w:t>
                                </w:r>
                              </w:p>
                            </w:txbxContent>
                          </wps:txbx>
                          <wps:bodyPr rot="0" vert="horz" wrap="square" lIns="91440" tIns="45720" rIns="91440" bIns="45720" anchor="t" anchorCtr="0" upright="1">
                            <a:noAutofit/>
                          </wps:bodyPr>
                        </wps:wsp>
                        <wps:wsp>
                          <wps:cNvPr id="35" name="Oval 25"/>
                          <wps:cNvSpPr>
                            <a:spLocks noChangeArrowheads="1"/>
                          </wps:cNvSpPr>
                          <wps:spPr bwMode="auto">
                            <a:xfrm>
                              <a:off x="4695" y="5235"/>
                              <a:ext cx="1965" cy="600"/>
                            </a:xfrm>
                            <a:prstGeom prst="ellipse">
                              <a:avLst/>
                            </a:prstGeom>
                            <a:solidFill>
                              <a:srgbClr val="FFFFFF"/>
                            </a:solidFill>
                            <a:ln w="9525">
                              <a:solidFill>
                                <a:srgbClr val="000000"/>
                              </a:solidFill>
                              <a:round/>
                            </a:ln>
                          </wps:spPr>
                          <wps:txbx>
                            <w:txbxContent>
                              <w:p w14:paraId="4E9CF394">
                                <w:r>
                                  <w:rPr>
                                    <w:rFonts w:hint="eastAsia"/>
                                    <w:sz w:val="18"/>
                                    <w:szCs w:val="18"/>
                                  </w:rPr>
                                  <w:t>水土流失特征</w:t>
                                </w:r>
                              </w:p>
                            </w:txbxContent>
                          </wps:txbx>
                          <wps:bodyPr rot="0" vert="horz" wrap="square" lIns="91440" tIns="45720" rIns="91440" bIns="45720" anchor="t" anchorCtr="0" upright="1">
                            <a:noAutofit/>
                          </wps:bodyPr>
                        </wps:wsp>
                        <wps:wsp>
                          <wps:cNvPr id="36" name="Oval 26"/>
                          <wps:cNvSpPr>
                            <a:spLocks noChangeArrowheads="1"/>
                          </wps:cNvSpPr>
                          <wps:spPr bwMode="auto">
                            <a:xfrm>
                              <a:off x="4690" y="8571"/>
                              <a:ext cx="1965" cy="600"/>
                            </a:xfrm>
                            <a:prstGeom prst="ellipse">
                              <a:avLst/>
                            </a:prstGeom>
                            <a:solidFill>
                              <a:srgbClr val="FFFFFF"/>
                            </a:solidFill>
                            <a:ln w="9525">
                              <a:solidFill>
                                <a:srgbClr val="000000"/>
                              </a:solidFill>
                              <a:round/>
                            </a:ln>
                          </wps:spPr>
                          <wps:txbx>
                            <w:txbxContent>
                              <w:p w14:paraId="68259D67">
                                <w:r>
                                  <w:rPr>
                                    <w:rFonts w:hint="eastAsia"/>
                                    <w:sz w:val="18"/>
                                    <w:szCs w:val="18"/>
                                  </w:rPr>
                                  <w:t>土地利用特征</w:t>
                                </w:r>
                              </w:p>
                            </w:txbxContent>
                          </wps:txbx>
                          <wps:bodyPr rot="0" vert="horz" wrap="square" lIns="91440" tIns="45720" rIns="91440" bIns="45720" anchor="t" anchorCtr="0" upright="1">
                            <a:noAutofit/>
                          </wps:bodyPr>
                        </wps:wsp>
                        <wps:wsp>
                          <wps:cNvPr id="37" name="AutoShape 27"/>
                          <wps:cNvSpPr/>
                          <wps:spPr bwMode="auto">
                            <a:xfrm>
                              <a:off x="4313" y="5493"/>
                              <a:ext cx="377" cy="5277"/>
                            </a:xfrm>
                            <a:prstGeom prst="leftBrace">
                              <a:avLst>
                                <a:gd name="adj1" fmla="val 116645"/>
                                <a:gd name="adj2" fmla="val 51148"/>
                              </a:avLst>
                            </a:prstGeom>
                            <a:noFill/>
                            <a:ln w="9525">
                              <a:solidFill>
                                <a:srgbClr val="000000"/>
                              </a:solidFill>
                              <a:round/>
                            </a:ln>
                          </wps:spPr>
                          <wps:bodyPr rot="0" vert="horz" wrap="square" lIns="91440" tIns="45720" rIns="91440" bIns="45720" anchor="t" anchorCtr="0" upright="1">
                            <a:noAutofit/>
                          </wps:bodyPr>
                        </wps:wsp>
                        <wps:wsp>
                          <wps:cNvPr id="38" name="AutoShape 28"/>
                          <wps:cNvSpPr>
                            <a:spLocks noChangeArrowheads="1"/>
                          </wps:cNvSpPr>
                          <wps:spPr bwMode="auto">
                            <a:xfrm>
                              <a:off x="3544" y="2955"/>
                              <a:ext cx="1065" cy="429"/>
                            </a:xfrm>
                            <a:prstGeom prst="flowChartAlternateProcess">
                              <a:avLst/>
                            </a:prstGeom>
                            <a:solidFill>
                              <a:srgbClr val="FFFFFF"/>
                            </a:solidFill>
                            <a:ln w="9525">
                              <a:solidFill>
                                <a:srgbClr val="FFFFFF"/>
                              </a:solidFill>
                              <a:miter lim="800000"/>
                            </a:ln>
                          </wps:spPr>
                          <wps:txbx>
                            <w:txbxContent>
                              <w:p w14:paraId="2CE43C98">
                                <w:pPr>
                                  <w:rPr>
                                    <w:lang w:eastAsia="zh-CN"/>
                                  </w:rPr>
                                </w:pPr>
                                <w:r>
                                  <w:rPr>
                                    <w:rFonts w:hint="eastAsia"/>
                                    <w:lang w:eastAsia="zh-CN"/>
                                  </w:rPr>
                                  <w:t>主导类</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3.4pt;margin-top:19.95pt;height:443.2pt;width:223.75pt;z-index:251660288;mso-width-relative:page;mso-height-relative:page;" coordorigin="2402,2003" coordsize="3806,7886" o:gfxdata="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kbW6NoAAAAJAQAADwAAAAAAAAABACAAAAAiAAAAZHJzL2Rvd25yZXYueG1s&#10;UEsBAhQAFAAAAAgAh07iQODkOWpNBQAASB4AAA4AAAAAAAAAAQAgAAAAKQEAAGRycy9lMm9Eb2Mu&#10;eG1sUEsFBgAAAAAGAAYAWQEAAOgIAAAAAA==&#10;">
                <o:lock v:ext="edit" aspectratio="f"/>
                <v:group id="Group 17" o:spid="_x0000_s1026" o:spt="203" style="position:absolute;left:3013;top:6915;height:467;width:1046;" coordorigin="3013,6915" coordsize="1046,46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3013;top:6915;height:466;width:1046;" fillcolor="#FFFFFF" filled="t" stroked="t" coordsize="21600,21600" o:gfxdata="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RTgr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w:txbxContent>
                        <w:p w14:paraId="76EB55C5">
                          <w:r>
                            <w:rPr>
                              <w:rFonts w:hint="eastAsia"/>
                            </w:rPr>
                            <w:t>综合类</w:t>
                          </w:r>
                        </w:p>
                      </w:txbxContent>
                    </v:textbox>
                  </v:shape>
                  <v:shape id="AutoShape 19" o:spid="_x0000_s1026" o:spt="32" type="#_x0000_t32" style="position:absolute;left:3092;top:7381;height:1;width:728;"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Group 20" o:spid="_x0000_s1026" o:spt="203" style="position:absolute;left:2402;top:2003;height:7886;width:3806;" coordorigin="2854,2884" coordsize="3806,788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Oval 21" o:spid="_x0000_s1026" o:spt="3" type="#_x0000_t3" style="position:absolute;left:2854;top:2884;height:6765;width:690;" fillcolor="#FFFFFF" filled="t" stroked="t" coordsize="21600,21600" o:gfxdata="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BqC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0A843D7B">
                          <w:pPr>
                            <w:spacing w:line="276" w:lineRule="auto"/>
                            <w:rPr>
                              <w:rFonts w:ascii="黑体" w:hAnsi="黑体" w:eastAsia="黑体"/>
                              <w:lang w:eastAsia="zh-CN"/>
                            </w:rPr>
                          </w:pPr>
                          <w:r>
                            <w:rPr>
                              <w:rFonts w:hint="eastAsia" w:ascii="黑体" w:hAnsi="黑体" w:eastAsia="黑体" w:cs="Arial"/>
                              <w:lang w:eastAsia="zh-CN"/>
                            </w:rPr>
                            <w:t>雷州市水土保持区划指标体系</w:t>
                          </w:r>
                        </w:p>
                      </w:txbxContent>
                    </v:textbox>
                  </v:shape>
                  <v:shape id="AutoShape 22" o:spid="_x0000_s1026" o:spt="32" type="#_x0000_t32" style="position:absolute;left:3705;top:3449;height:1;width:75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Oval 23" o:spid="_x0000_s1026" o:spt="3" type="#_x0000_t3" style="position:absolute;left:4690;top:3075;height:600;width:1880;" fillcolor="#FFFFFF" filled="t" stroked="t" coordsize="21600,21600" o:gfxdata="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z1M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97087E1">
                          <w:pPr>
                            <w:ind w:firstLine="199" w:firstLineChars="111"/>
                          </w:pPr>
                          <w:r>
                            <w:rPr>
                              <w:rFonts w:hint="eastAsia"/>
                              <w:sz w:val="18"/>
                              <w:szCs w:val="18"/>
                            </w:rPr>
                            <w:t>地貌特征</w:t>
                          </w:r>
                        </w:p>
                      </w:txbxContent>
                    </v:textbox>
                  </v:shape>
                  <v:shape id="Oval 24" o:spid="_x0000_s1026" o:spt="3" type="#_x0000_t3" style="position:absolute;left:4590;top:6965;height:600;width:1980;" fillcolor="#FFFFFF" filled="t" stroked="t" coordsize="21600,21600" o:gfxdata="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CpTi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11843F2">
                          <w:r>
                            <w:rPr>
                              <w:rFonts w:hint="eastAsia"/>
                              <w:sz w:val="18"/>
                              <w:szCs w:val="18"/>
                            </w:rPr>
                            <w:t>社会经济特征</w:t>
                          </w:r>
                        </w:p>
                      </w:txbxContent>
                    </v:textbox>
                  </v:shape>
                  <v:shape id="Oval 25" o:spid="_x0000_s1026" o:spt="3" type="#_x0000_t3" style="position:absolute;left:4695;top:5235;height:600;width:1965;" fillcolor="#FFFFFF" filled="t" stroked="t" coordsize="21600,21600" o:gfxdata="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OAK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4E9CF394">
                          <w:r>
                            <w:rPr>
                              <w:rFonts w:hint="eastAsia"/>
                              <w:sz w:val="18"/>
                              <w:szCs w:val="18"/>
                            </w:rPr>
                            <w:t>水土流失特征</w:t>
                          </w:r>
                        </w:p>
                      </w:txbxContent>
                    </v:textbox>
                  </v:shape>
                  <v:shape id="Oval 26" o:spid="_x0000_s1026" o:spt="3" type="#_x0000_t3" style="position:absolute;left:4690;top:8571;height:600;width:1965;" fillcolor="#FFFFFF" filled="t" stroked="t" coordsize="21600,21600" o:gfxdata="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cnt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8259D67">
                          <w:r>
                            <w:rPr>
                              <w:rFonts w:hint="eastAsia"/>
                              <w:sz w:val="18"/>
                              <w:szCs w:val="18"/>
                            </w:rPr>
                            <w:t>土地利用特征</w:t>
                          </w:r>
                        </w:p>
                      </w:txbxContent>
                    </v:textbox>
                  </v:shape>
                  <v:shape id="AutoShape 27" o:spid="_x0000_s1026" o:spt="87" type="#_x0000_t87" style="position:absolute;left:4313;top:5493;height:5277;width:377;" filled="f" stroked="t" coordsize="21600,21600" o:gfxdata="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AqBa/&#10;AAAA2wAAAA8AAAAAAAAAAQAgAAAAIgAAAGRycy9kb3ducmV2LnhtbFBLAQIUABQAAAAIAIdO4kAz&#10;LwWeOwAAADkAAAAQAAAAAAAAAAEAIAAAAA4BAABkcnMvc2hhcGV4bWwueG1sUEsFBgAAAAAGAAYA&#10;WwEAALgDAAAAAA==&#10;" adj="1800,11048">
                    <v:fill on="f" focussize="0,0"/>
                    <v:stroke color="#000000" joinstyle="round"/>
                    <v:imagedata o:title=""/>
                    <o:lock v:ext="edit" aspectratio="f"/>
                  </v:shape>
                  <v:shape id="AutoShape 28" o:spid="_x0000_s1026" o:spt="176" type="#_x0000_t176" style="position:absolute;left:3544;top:2955;height:429;width:1065;" fillcolor="#FFFFFF" filled="t" stroked="t" coordsize="21600,21600" o:gfxdata="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iSZdr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w:txbxContent>
                        <w:p w14:paraId="2CE43C98">
                          <w:pPr>
                            <w:rPr>
                              <w:lang w:eastAsia="zh-CN"/>
                            </w:rPr>
                          </w:pPr>
                          <w:r>
                            <w:rPr>
                              <w:rFonts w:hint="eastAsia"/>
                              <w:lang w:eastAsia="zh-CN"/>
                            </w:rPr>
                            <w:t>主导类</w:t>
                          </w:r>
                        </w:p>
                      </w:txbxContent>
                    </v:textbox>
                  </v:shape>
                </v:group>
              </v:group>
            </w:pict>
          </mc:Fallback>
        </mc:AlternateContent>
      </w:r>
    </w:p>
    <w:p w14:paraId="57803CF9">
      <w:pPr>
        <w:ind w:firstLine="480"/>
        <w:jc w:val="both"/>
        <w:rPr>
          <w:rFonts w:hint="default" w:ascii="Times New Roman" w:hAnsi="Times New Roman" w:cs="Times New Roman"/>
          <w:lang w:eastAsia="zh-CN"/>
        </w:rPr>
      </w:pPr>
    </w:p>
    <w:p w14:paraId="088F07B2">
      <w:pPr>
        <w:ind w:firstLine="480"/>
        <w:jc w:val="both"/>
        <w:rPr>
          <w:rFonts w:hint="default" w:ascii="Times New Roman" w:hAnsi="Times New Roman" w:cs="Times New Roman"/>
          <w:lang w:eastAsia="zh-CN"/>
        </w:rPr>
      </w:pPr>
      <w:r>
        <w:rPr>
          <w:rFonts w:hint="default" w:ascii="Times New Roman" w:hAnsi="Times New Roman" w:cs="Times New Roman"/>
          <w:lang w:eastAsia="zh-CN"/>
        </w:rPr>
        <mc:AlternateContent>
          <mc:Choice Requires="wps">
            <w:drawing>
              <wp:anchor distT="0" distB="0" distL="114300" distR="114300" simplePos="0" relativeHeight="251662336" behindDoc="0" locked="0" layoutInCell="1" allowOverlap="1">
                <wp:simplePos x="0" y="0"/>
                <wp:positionH relativeFrom="column">
                  <wp:posOffset>4018915</wp:posOffset>
                </wp:positionH>
                <wp:positionV relativeFrom="paragraph">
                  <wp:posOffset>19685</wp:posOffset>
                </wp:positionV>
                <wp:extent cx="1252220" cy="319405"/>
                <wp:effectExtent l="0" t="0" r="5080" b="444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252220" cy="319405"/>
                        </a:xfrm>
                        <a:prstGeom prst="rect">
                          <a:avLst/>
                        </a:prstGeom>
                        <a:solidFill>
                          <a:srgbClr val="FFFFFF"/>
                        </a:solidFill>
                        <a:ln>
                          <a:noFill/>
                        </a:ln>
                        <a:effectLst/>
                      </wps:spPr>
                      <wps:txbx>
                        <w:txbxContent>
                          <w:p w14:paraId="6A044711">
                            <w:pPr>
                              <w:ind w:firstLine="360"/>
                              <w:rPr>
                                <w:rFonts w:ascii="华文楷体" w:hAnsi="华文楷体" w:eastAsia="华文楷体"/>
                                <w:sz w:val="18"/>
                                <w:szCs w:val="18"/>
                              </w:rPr>
                            </w:pPr>
                            <w:r>
                              <w:rPr>
                                <w:rFonts w:hint="eastAsia" w:ascii="华文楷体" w:hAnsi="华文楷体" w:eastAsia="华文楷体"/>
                                <w:sz w:val="18"/>
                                <w:szCs w:val="18"/>
                              </w:rPr>
                              <w:t>平均海拔（m）</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6.45pt;margin-top:1.55pt;height:25.15pt;width:98.6pt;z-index:251662336;mso-width-relative:page;mso-height-relative:page;" fillcolor="#FFFFFF" filled="t" stroked="f" coordsize="21600,21600" o:gfxdata="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iaOwNcAAAAIAQAADwAAAAAAAAABACAAAAAiAAAAZHJzL2Rvd25yZXYueG1sUEsB&#10;AhQAFAAAAAgAh07iQMABMTwvAgAATgQAAA4AAAAAAAAAAQAgAAAAJgEAAGRycy9lMm9Eb2MueG1s&#10;UEsFBgAAAAAGAAYAWQEAAMcFAAAAAA==&#10;">
                <v:fill on="t" focussize="0,0"/>
                <v:stroke on="f"/>
                <v:imagedata o:title=""/>
                <o:lock v:ext="edit" aspectratio="f"/>
                <v:textbox>
                  <w:txbxContent>
                    <w:p w14:paraId="6A044711">
                      <w:pPr>
                        <w:ind w:firstLine="360"/>
                        <w:rPr>
                          <w:rFonts w:ascii="华文楷体" w:hAnsi="华文楷体" w:eastAsia="华文楷体"/>
                          <w:sz w:val="18"/>
                          <w:szCs w:val="18"/>
                        </w:rPr>
                      </w:pPr>
                      <w:r>
                        <w:rPr>
                          <w:rFonts w:hint="eastAsia" w:ascii="华文楷体" w:hAnsi="华文楷体" w:eastAsia="华文楷体"/>
                          <w:sz w:val="18"/>
                          <w:szCs w:val="18"/>
                        </w:rPr>
                        <w:t>平均海拔（m）</w:t>
                      </w:r>
                    </w:p>
                  </w:txbxContent>
                </v:textbox>
              </v:shape>
            </w:pict>
          </mc:Fallback>
        </mc:AlternateContent>
      </w:r>
    </w:p>
    <w:p w14:paraId="35448B78">
      <w:pPr>
        <w:spacing w:line="500" w:lineRule="exact"/>
        <w:ind w:firstLine="480"/>
        <w:jc w:val="both"/>
        <w:rPr>
          <w:rFonts w:hint="default" w:ascii="Times New Roman" w:hAnsi="Times New Roman" w:cs="Times New Roman"/>
          <w:lang w:eastAsia="zh-CN"/>
        </w:rPr>
      </w:pPr>
      <w:r>
        <w:rPr>
          <w:rFonts w:hint="default" w:ascii="Times New Roman" w:hAnsi="Times New Roman" w:cs="Times New Roman"/>
          <w:lang w:eastAsia="zh-CN"/>
        </w:rPr>
        <mc:AlternateContent>
          <mc:Choice Requires="wps">
            <w:drawing>
              <wp:anchor distT="0" distB="0" distL="114300" distR="114300" simplePos="0" relativeHeight="251663360" behindDoc="0" locked="0" layoutInCell="1" allowOverlap="1">
                <wp:simplePos x="0" y="0"/>
                <wp:positionH relativeFrom="column">
                  <wp:posOffset>4053840</wp:posOffset>
                </wp:positionH>
                <wp:positionV relativeFrom="paragraph">
                  <wp:posOffset>169545</wp:posOffset>
                </wp:positionV>
                <wp:extent cx="1252220" cy="319405"/>
                <wp:effectExtent l="0" t="635" r="0" b="381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52220" cy="319405"/>
                        </a:xfrm>
                        <a:prstGeom prst="rect">
                          <a:avLst/>
                        </a:prstGeom>
                        <a:solidFill>
                          <a:srgbClr val="FFFFFF"/>
                        </a:solidFill>
                        <a:ln>
                          <a:noFill/>
                        </a:ln>
                        <a:effectLst/>
                      </wps:spPr>
                      <wps:txbx>
                        <w:txbxContent>
                          <w:p w14:paraId="56EA9943">
                            <w:pPr>
                              <w:ind w:firstLine="360"/>
                              <w:rPr>
                                <w:rFonts w:ascii="华文楷体" w:hAnsi="华文楷体" w:eastAsia="华文楷体"/>
                                <w:sz w:val="18"/>
                                <w:szCs w:val="18"/>
                              </w:rPr>
                            </w:pPr>
                            <w:r>
                              <w:rPr>
                                <w:rFonts w:hint="eastAsia" w:ascii="华文楷体" w:hAnsi="华文楷体" w:eastAsia="华文楷体"/>
                                <w:sz w:val="18"/>
                                <w:szCs w:val="18"/>
                              </w:rPr>
                              <w:t>沟壑密度</w:t>
                            </w:r>
                            <w:r>
                              <w:rPr>
                                <w:rFonts w:ascii="华文楷体" w:hAnsi="华文楷体" w:eastAsia="华文楷体"/>
                                <w:sz w:val="18"/>
                                <w:szCs w:val="18"/>
                              </w:rPr>
                              <w:t>(km/km</w:t>
                            </w:r>
                            <w:r>
                              <w:rPr>
                                <w:rFonts w:ascii="华文楷体" w:hAnsi="华文楷体" w:eastAsia="华文楷体"/>
                                <w:sz w:val="18"/>
                                <w:szCs w:val="18"/>
                                <w:vertAlign w:val="superscript"/>
                              </w:rPr>
                              <w:t>2</w:t>
                            </w:r>
                            <w:r>
                              <w:rPr>
                                <w:rFonts w:ascii="华文楷体" w:hAnsi="华文楷体" w:eastAsia="华文楷体"/>
                                <w:sz w:val="18"/>
                                <w:szCs w:val="18"/>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9.2pt;margin-top:13.35pt;height:25.15pt;width:98.6pt;z-index:251663360;mso-width-relative:page;mso-height-relative:page;" fillcolor="#FFFFFF" filled="t" stroked="f" coordsize="21600,21600" o:gfxdata="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TMa/XAAAACQEAAA8AAAAAAAAAAQAgAAAAIgAAAGRycy9kb3ducmV2LnhtbFBL&#10;AQIUABQAAAAIAIdO4kAeeej6MAIAAE4EAAAOAAAAAAAAAAEAIAAAACYBAABkcnMvZTJvRG9jLnht&#10;bFBLBQYAAAAABgAGAFkBAADIBQAAAAA=&#10;">
                <v:fill on="t" focussize="0,0"/>
                <v:stroke on="f"/>
                <v:imagedata o:title=""/>
                <o:lock v:ext="edit" aspectratio="f"/>
                <v:textbox>
                  <w:txbxContent>
                    <w:p w14:paraId="56EA9943">
                      <w:pPr>
                        <w:ind w:firstLine="360"/>
                        <w:rPr>
                          <w:rFonts w:ascii="华文楷体" w:hAnsi="华文楷体" w:eastAsia="华文楷体"/>
                          <w:sz w:val="18"/>
                          <w:szCs w:val="18"/>
                        </w:rPr>
                      </w:pPr>
                      <w:r>
                        <w:rPr>
                          <w:rFonts w:hint="eastAsia" w:ascii="华文楷体" w:hAnsi="华文楷体" w:eastAsia="华文楷体"/>
                          <w:sz w:val="18"/>
                          <w:szCs w:val="18"/>
                        </w:rPr>
                        <w:t>沟壑密度</w:t>
                      </w:r>
                      <w:r>
                        <w:rPr>
                          <w:rFonts w:ascii="华文楷体" w:hAnsi="华文楷体" w:eastAsia="华文楷体"/>
                          <w:sz w:val="18"/>
                          <w:szCs w:val="18"/>
                        </w:rPr>
                        <w:t>(km/km</w:t>
                      </w:r>
                      <w:r>
                        <w:rPr>
                          <w:rFonts w:ascii="华文楷体" w:hAnsi="华文楷体" w:eastAsia="华文楷体"/>
                          <w:sz w:val="18"/>
                          <w:szCs w:val="18"/>
                          <w:vertAlign w:val="superscript"/>
                        </w:rPr>
                        <w:t>2</w:t>
                      </w:r>
                      <w:r>
                        <w:rPr>
                          <w:rFonts w:ascii="华文楷体" w:hAnsi="华文楷体" w:eastAsia="华文楷体"/>
                          <w:sz w:val="18"/>
                          <w:szCs w:val="18"/>
                        </w:rPr>
                        <w:t>)</w:t>
                      </w:r>
                    </w:p>
                  </w:txbxContent>
                </v:textbox>
              </v:shape>
            </w:pict>
          </mc:Fallback>
        </mc:AlternateContent>
      </w:r>
    </w:p>
    <w:p w14:paraId="45C5355C">
      <w:pPr>
        <w:spacing w:line="500" w:lineRule="exact"/>
        <w:ind w:firstLine="480"/>
        <w:jc w:val="both"/>
        <w:rPr>
          <w:rFonts w:hint="default" w:ascii="Times New Roman" w:hAnsi="Times New Roman" w:cs="Times New Roman"/>
          <w:lang w:eastAsia="zh-CN"/>
        </w:rPr>
      </w:pPr>
    </w:p>
    <w:p w14:paraId="54BF6316">
      <w:pPr>
        <w:spacing w:line="500" w:lineRule="exact"/>
        <w:ind w:firstLine="480"/>
        <w:jc w:val="both"/>
        <w:rPr>
          <w:rFonts w:hint="default" w:ascii="Times New Roman" w:hAnsi="Times New Roman" w:cs="Times New Roman"/>
          <w:lang w:eastAsia="zh-CN"/>
        </w:rPr>
      </w:pPr>
    </w:p>
    <w:p w14:paraId="3D06CEBD">
      <w:pPr>
        <w:spacing w:line="500" w:lineRule="exact"/>
        <w:ind w:firstLine="480"/>
        <w:jc w:val="both"/>
        <w:rPr>
          <w:rFonts w:hint="default" w:ascii="Times New Roman" w:hAnsi="Times New Roman" w:cs="Times New Roman"/>
          <w:lang w:eastAsia="zh-CN"/>
        </w:rPr>
      </w:pPr>
    </w:p>
    <w:p w14:paraId="39A5E67A">
      <w:pPr>
        <w:spacing w:line="500" w:lineRule="exact"/>
        <w:ind w:firstLine="480"/>
        <w:jc w:val="both"/>
        <w:rPr>
          <w:rFonts w:hint="default" w:ascii="Times New Roman" w:hAnsi="Times New Roman" w:cs="Times New Roman"/>
          <w:lang w:eastAsia="zh-CN"/>
        </w:rPr>
      </w:pPr>
    </w:p>
    <w:p w14:paraId="417D2E4E">
      <w:pPr>
        <w:spacing w:line="500" w:lineRule="exact"/>
        <w:ind w:firstLine="480"/>
        <w:jc w:val="both"/>
        <w:rPr>
          <w:rFonts w:hint="default" w:ascii="Times New Roman" w:hAnsi="Times New Roman" w:cs="Times New Roman"/>
          <w:lang w:eastAsia="zh-CN"/>
        </w:rPr>
      </w:pPr>
    </w:p>
    <w:p w14:paraId="33F3EFB1">
      <w:pPr>
        <w:spacing w:line="500" w:lineRule="exact"/>
        <w:ind w:firstLine="480"/>
        <w:jc w:val="both"/>
        <w:rPr>
          <w:rFonts w:hint="default" w:ascii="Times New Roman" w:hAnsi="Times New Roman" w:cs="Times New Roman"/>
          <w:lang w:eastAsia="zh-CN"/>
        </w:rPr>
      </w:pPr>
    </w:p>
    <w:p w14:paraId="5E0012D7">
      <w:pPr>
        <w:spacing w:line="500" w:lineRule="exact"/>
        <w:ind w:firstLine="480"/>
        <w:jc w:val="both"/>
        <w:rPr>
          <w:rFonts w:hint="default" w:ascii="Times New Roman" w:hAnsi="Times New Roman" w:cs="Times New Roman"/>
          <w:lang w:eastAsia="zh-CN"/>
        </w:rPr>
      </w:pPr>
    </w:p>
    <w:p w14:paraId="4E76FA2A">
      <w:pPr>
        <w:spacing w:line="500" w:lineRule="exact"/>
        <w:ind w:firstLine="480"/>
        <w:jc w:val="both"/>
        <w:rPr>
          <w:rFonts w:hint="default" w:ascii="Times New Roman" w:hAnsi="Times New Roman" w:cs="Times New Roman"/>
          <w:lang w:eastAsia="zh-CN"/>
        </w:rPr>
      </w:pPr>
    </w:p>
    <w:p w14:paraId="373F4A02">
      <w:pPr>
        <w:spacing w:line="500" w:lineRule="exact"/>
        <w:ind w:firstLine="480"/>
        <w:jc w:val="both"/>
        <w:rPr>
          <w:rFonts w:hint="default" w:ascii="Times New Roman" w:hAnsi="Times New Roman" w:cs="Times New Roman"/>
          <w:lang w:eastAsia="zh-CN"/>
        </w:rPr>
      </w:pPr>
    </w:p>
    <w:p w14:paraId="7B135255">
      <w:pPr>
        <w:spacing w:line="500" w:lineRule="exact"/>
        <w:ind w:firstLine="480"/>
        <w:jc w:val="both"/>
        <w:rPr>
          <w:rFonts w:hint="default" w:ascii="Times New Roman" w:hAnsi="Times New Roman" w:cs="Times New Roman"/>
          <w:lang w:eastAsia="zh-CN"/>
        </w:rPr>
      </w:pPr>
    </w:p>
    <w:p w14:paraId="300CF404">
      <w:pPr>
        <w:spacing w:line="500" w:lineRule="exact"/>
        <w:ind w:firstLine="480"/>
        <w:jc w:val="both"/>
        <w:rPr>
          <w:rFonts w:hint="default" w:ascii="Times New Roman" w:hAnsi="Times New Roman" w:cs="Times New Roman"/>
          <w:lang w:eastAsia="zh-CN"/>
        </w:rPr>
      </w:pPr>
    </w:p>
    <w:p w14:paraId="6150166A">
      <w:pPr>
        <w:spacing w:line="500" w:lineRule="exact"/>
        <w:ind w:firstLine="480"/>
        <w:jc w:val="both"/>
        <w:rPr>
          <w:rFonts w:hint="default" w:ascii="Times New Roman" w:hAnsi="Times New Roman" w:cs="Times New Roman"/>
          <w:lang w:eastAsia="zh-CN"/>
        </w:rPr>
      </w:pPr>
    </w:p>
    <w:p w14:paraId="0D2C9967">
      <w:pPr>
        <w:spacing w:line="500" w:lineRule="exact"/>
        <w:ind w:firstLine="480"/>
        <w:jc w:val="both"/>
        <w:rPr>
          <w:rFonts w:hint="default" w:ascii="Times New Roman" w:hAnsi="Times New Roman" w:cs="Times New Roman"/>
          <w:lang w:eastAsia="zh-CN"/>
        </w:rPr>
      </w:pPr>
    </w:p>
    <w:p w14:paraId="2FCF38F7">
      <w:pPr>
        <w:spacing w:line="500" w:lineRule="exact"/>
        <w:ind w:firstLine="480"/>
        <w:jc w:val="both"/>
        <w:rPr>
          <w:rFonts w:hint="default" w:ascii="Times New Roman" w:hAnsi="Times New Roman" w:cs="Times New Roman"/>
          <w:lang w:eastAsia="zh-CN"/>
        </w:rPr>
      </w:pPr>
    </w:p>
    <w:p w14:paraId="3522C65F">
      <w:pPr>
        <w:spacing w:line="500" w:lineRule="exact"/>
        <w:ind w:firstLine="480"/>
        <w:jc w:val="both"/>
        <w:rPr>
          <w:rFonts w:hint="default" w:ascii="Times New Roman" w:hAnsi="Times New Roman" w:cs="Times New Roman"/>
          <w:lang w:eastAsia="zh-CN"/>
        </w:rPr>
      </w:pPr>
      <w:r>
        <w:rPr>
          <w:rFonts w:hint="default" w:ascii="Times New Roman" w:hAnsi="Times New Roman" w:cs="Times New Roman"/>
          <w:lang w:eastAsia="zh-CN"/>
        </w:rPr>
        <mc:AlternateContent>
          <mc:Choice Requires="wps">
            <w:drawing>
              <wp:anchor distT="0" distB="0" distL="114300" distR="114300" simplePos="0" relativeHeight="251659264" behindDoc="0" locked="0" layoutInCell="1" allowOverlap="1">
                <wp:simplePos x="0" y="0"/>
                <wp:positionH relativeFrom="column">
                  <wp:posOffset>1349375</wp:posOffset>
                </wp:positionH>
                <wp:positionV relativeFrom="paragraph">
                  <wp:posOffset>53975</wp:posOffset>
                </wp:positionV>
                <wp:extent cx="1478280" cy="411480"/>
                <wp:effectExtent l="9525" t="8890" r="7620" b="8255"/>
                <wp:wrapNone/>
                <wp:docPr id="12" name="椭圆 12"/>
                <wp:cNvGraphicFramePr/>
                <a:graphic xmlns:a="http://schemas.openxmlformats.org/drawingml/2006/main">
                  <a:graphicData uri="http://schemas.microsoft.com/office/word/2010/wordprocessingShape">
                    <wps:wsp>
                      <wps:cNvSpPr>
                        <a:spLocks noChangeArrowheads="1"/>
                      </wps:cNvSpPr>
                      <wps:spPr bwMode="auto">
                        <a:xfrm>
                          <a:off x="0" y="0"/>
                          <a:ext cx="1478280" cy="411480"/>
                        </a:xfrm>
                        <a:prstGeom prst="ellipse">
                          <a:avLst/>
                        </a:prstGeom>
                        <a:solidFill>
                          <a:srgbClr val="FFFFFF"/>
                        </a:solidFill>
                        <a:ln w="9525">
                          <a:solidFill>
                            <a:srgbClr val="000000"/>
                          </a:solidFill>
                          <a:round/>
                        </a:ln>
                      </wps:spPr>
                      <wps:txbx>
                        <w:txbxContent>
                          <w:p w14:paraId="1597F60B">
                            <w:r>
                              <w:rPr>
                                <w:rFonts w:hint="eastAsia"/>
                                <w:sz w:val="18"/>
                                <w:szCs w:val="18"/>
                              </w:rPr>
                              <w:t>防治需求特征</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06.25pt;margin-top:4.25pt;height:32.4pt;width:116.4pt;z-index:251659264;mso-width-relative:page;mso-height-relative:page;" fillcolor="#FFFFFF" filled="t" stroked="t" coordsize="21600,21600" o:gfxdata="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V0wn3YAAAACAEAAA8AAAAAAAAAAQAgAAAAIgAAAGRycy9kb3ducmV2&#10;LnhtbFBLAQIUABQAAAAIAIdO4kDSlszCNQIAAHIEAAAOAAAAAAAAAAEAIAAAACcBAABkcnMvZTJv&#10;RG9jLnhtbFBLBQYAAAAABgAGAFkBAADOBQAAAAA=&#10;">
                <v:fill on="t" focussize="0,0"/>
                <v:stroke color="#000000" joinstyle="round"/>
                <v:imagedata o:title=""/>
                <o:lock v:ext="edit" aspectratio="f"/>
                <v:textbox>
                  <w:txbxContent>
                    <w:p w14:paraId="1597F60B">
                      <w:r>
                        <w:rPr>
                          <w:rFonts w:hint="eastAsia"/>
                          <w:sz w:val="18"/>
                          <w:szCs w:val="18"/>
                        </w:rPr>
                        <w:t>防治需求特征</w:t>
                      </w:r>
                    </w:p>
                  </w:txbxContent>
                </v:textbox>
              </v:shape>
            </w:pict>
          </mc:Fallback>
        </mc:AlternateContent>
      </w:r>
    </w:p>
    <w:p w14:paraId="7BFF4E96">
      <w:pPr>
        <w:spacing w:line="500" w:lineRule="exact"/>
        <w:ind w:firstLine="480"/>
        <w:jc w:val="both"/>
        <w:rPr>
          <w:rFonts w:hint="default" w:ascii="Times New Roman" w:hAnsi="Times New Roman" w:cs="Times New Roman"/>
          <w:lang w:eastAsia="zh-CN"/>
        </w:rPr>
      </w:pPr>
    </w:p>
    <w:p w14:paraId="2397F3A4">
      <w:pPr>
        <w:spacing w:line="500" w:lineRule="exact"/>
        <w:ind w:firstLine="480"/>
        <w:jc w:val="center"/>
        <w:rPr>
          <w:rFonts w:hint="default" w:ascii="Times New Roman" w:hAnsi="Times New Roman" w:eastAsia="黑体" w:cs="Times New Roman"/>
          <w:kern w:val="2"/>
          <w:lang w:eastAsia="zh-CN"/>
        </w:rPr>
      </w:pPr>
    </w:p>
    <w:p w14:paraId="1455AE37">
      <w:pPr>
        <w:pStyle w:val="51"/>
        <w:snapToGrid w:val="0"/>
        <w:spacing w:line="240" w:lineRule="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图2-1  雷州市水土保持区划指标体系图</w:t>
      </w:r>
    </w:p>
    <w:p w14:paraId="249E35BD">
      <w:pPr>
        <w:pStyle w:val="8"/>
        <w:ind w:firstLine="480"/>
        <w:rPr>
          <w:rFonts w:hint="default" w:ascii="Times New Roman" w:hAnsi="Times New Roman" w:cs="Times New Roman"/>
          <w:kern w:val="2"/>
          <w:sz w:val="24"/>
          <w:lang w:eastAsia="zh-CN"/>
        </w:rPr>
        <w:sectPr>
          <w:footerReference r:id="rId12" w:type="default"/>
          <w:pgSz w:w="11907" w:h="16840"/>
          <w:pgMar w:top="1418" w:right="1588" w:bottom="1418" w:left="1985" w:header="851" w:footer="992" w:gutter="0"/>
          <w:pgNumType w:start="1"/>
          <w:cols w:space="425" w:num="1"/>
          <w:docGrid w:linePitch="312" w:charSpace="0"/>
        </w:sectPr>
      </w:pPr>
    </w:p>
    <w:p w14:paraId="2007953D">
      <w:pPr>
        <w:pStyle w:val="6"/>
        <w:numPr>
          <w:ilvl w:val="0"/>
          <w:numId w:val="5"/>
        </w:numPr>
        <w:spacing w:before="120" w:beforeLines="50" w:after="120" w:afterLines="50"/>
        <w:ind w:left="0" w:hanging="357"/>
        <w:rPr>
          <w:rFonts w:hint="default" w:ascii="Times New Roman" w:hAnsi="Times New Roman" w:cs="Times New Roman"/>
          <w:sz w:val="30"/>
          <w:szCs w:val="30"/>
        </w:rPr>
      </w:pPr>
      <w:bookmarkStart w:id="90" w:name="_Toc520723977"/>
      <w:bookmarkStart w:id="91" w:name="_Toc5641"/>
      <w:r>
        <w:rPr>
          <w:rFonts w:hint="default" w:ascii="Times New Roman" w:hAnsi="Times New Roman" w:cs="Times New Roman"/>
          <w:sz w:val="30"/>
          <w:szCs w:val="30"/>
        </w:rPr>
        <w:t>区划划分方法</w:t>
      </w:r>
      <w:bookmarkEnd w:id="90"/>
      <w:bookmarkEnd w:id="91"/>
    </w:p>
    <w:p w14:paraId="73B892EC">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本次区划采用模糊聚类定量分析结合定性分析进行决策。</w:t>
      </w:r>
    </w:p>
    <w:p w14:paraId="41AA3014">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（1）样本和指标的确定</w:t>
      </w:r>
    </w:p>
    <w:p w14:paraId="59C926F1">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涉及雷州市所有镇级行政区。以这镇级行政区为样本，系统搜集整理达到区划指标要求的各项数据。</w:t>
      </w:r>
    </w:p>
    <w:p w14:paraId="6581DB4C">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（2）变量统计数据的标准化处理</w:t>
      </w:r>
    </w:p>
    <w:p w14:paraId="00A45D6B">
      <w:pPr>
        <w:ind w:firstLine="480"/>
        <w:jc w:val="both"/>
        <w:rPr>
          <w:rFonts w:hint="default" w:ascii="Times New Roman" w:hAnsi="Times New Roman" w:cs="Times New Roman"/>
          <w:lang w:eastAsia="zh-CN"/>
        </w:rPr>
      </w:pPr>
      <w:r>
        <w:rPr>
          <w:rFonts w:hint="default" w:ascii="Times New Roman" w:hAnsi="Times New Roman" w:cs="Times New Roman"/>
          <w:lang w:eastAsia="zh-CN"/>
        </w:rPr>
        <w:t>为了消除由于各因素量纲不同所造成的影响，全部数据均按以下公式标准化处理。</w:t>
      </w:r>
    </w:p>
    <w:p w14:paraId="6EC26E28">
      <w:pPr>
        <w:autoSpaceDE w:val="0"/>
        <w:autoSpaceDN w:val="0"/>
        <w:ind w:firstLine="840" w:firstLineChars="350"/>
        <w:jc w:val="right"/>
        <w:textAlignment w:val="bottom"/>
        <w:rPr>
          <w:rFonts w:hint="default" w:ascii="Times New Roman" w:hAnsi="Times New Roman" w:cs="Times New Roman"/>
          <w:kern w:val="2"/>
        </w:rPr>
      </w:pPr>
      <w:r>
        <w:rPr>
          <w:rFonts w:hint="default" w:ascii="Times New Roman" w:hAnsi="Times New Roman" w:cs="Times New Roman"/>
          <w:kern w:val="2"/>
          <w:position w:val="-30"/>
          <w:lang w:eastAsia="zh-CN"/>
        </w:rPr>
        <w:drawing>
          <wp:inline distT="0" distB="0" distL="0" distR="0">
            <wp:extent cx="812800" cy="47879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12800" cy="478790"/>
                    </a:xfrm>
                    <a:prstGeom prst="rect">
                      <a:avLst/>
                    </a:prstGeom>
                    <a:noFill/>
                    <a:ln>
                      <a:noFill/>
                    </a:ln>
                  </pic:spPr>
                </pic:pic>
              </a:graphicData>
            </a:graphic>
          </wp:inline>
        </w:drawing>
      </w:r>
      <w:r>
        <w:rPr>
          <w:rFonts w:hint="default" w:ascii="Times New Roman" w:hAnsi="Times New Roman" w:cs="Times New Roman"/>
          <w:kern w:val="2"/>
        </w:rPr>
        <w:t>………………………………（3-1）</w:t>
      </w:r>
    </w:p>
    <w:p w14:paraId="77502163">
      <w:pPr>
        <w:autoSpaceDE w:val="0"/>
        <w:autoSpaceDN w:val="0"/>
        <w:ind w:firstLine="480"/>
        <w:jc w:val="right"/>
        <w:textAlignment w:val="bottom"/>
        <w:rPr>
          <w:rFonts w:hint="default" w:ascii="Times New Roman" w:hAnsi="Times New Roman" w:cs="Times New Roman"/>
          <w:kern w:val="2"/>
        </w:rPr>
      </w:pPr>
      <w:r>
        <w:rPr>
          <w:rFonts w:hint="default" w:ascii="Times New Roman" w:hAnsi="Times New Roman" w:cs="Times New Roman"/>
          <w:kern w:val="2"/>
          <w:position w:val="-26"/>
          <w:lang w:eastAsia="zh-CN"/>
        </w:rPr>
        <w:drawing>
          <wp:inline distT="0" distB="0" distL="0" distR="0">
            <wp:extent cx="1189990" cy="362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89990" cy="362585"/>
                    </a:xfrm>
                    <a:prstGeom prst="rect">
                      <a:avLst/>
                    </a:prstGeom>
                    <a:noFill/>
                    <a:ln>
                      <a:noFill/>
                    </a:ln>
                  </pic:spPr>
                </pic:pic>
              </a:graphicData>
            </a:graphic>
          </wp:inline>
        </w:drawing>
      </w:r>
      <w:r>
        <w:rPr>
          <w:rFonts w:hint="default" w:ascii="Times New Roman" w:hAnsi="Times New Roman" w:cs="Times New Roman"/>
          <w:kern w:val="2"/>
        </w:rPr>
        <w:t>………………………………（3-2）</w:t>
      </w:r>
    </w:p>
    <w:p w14:paraId="3807EF85">
      <w:pPr>
        <w:autoSpaceDE w:val="0"/>
        <w:autoSpaceDN w:val="0"/>
        <w:ind w:firstLine="480"/>
        <w:jc w:val="right"/>
        <w:textAlignment w:val="bottom"/>
        <w:rPr>
          <w:rFonts w:hint="default" w:ascii="Times New Roman" w:hAnsi="Times New Roman" w:cs="Times New Roman"/>
          <w:kern w:val="2"/>
        </w:rPr>
      </w:pPr>
      <w:r>
        <w:rPr>
          <w:rFonts w:hint="default" w:ascii="Times New Roman" w:hAnsi="Times New Roman" w:cs="Times New Roman"/>
          <w:kern w:val="2"/>
          <w:position w:val="-32"/>
          <w:lang w:eastAsia="zh-CN"/>
        </w:rPr>
        <w:drawing>
          <wp:inline distT="0" distB="0" distL="0" distR="0">
            <wp:extent cx="2061210" cy="421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61210" cy="421005"/>
                    </a:xfrm>
                    <a:prstGeom prst="rect">
                      <a:avLst/>
                    </a:prstGeom>
                    <a:noFill/>
                    <a:ln>
                      <a:noFill/>
                    </a:ln>
                  </pic:spPr>
                </pic:pic>
              </a:graphicData>
            </a:graphic>
          </wp:inline>
        </w:drawing>
      </w:r>
      <w:r>
        <w:rPr>
          <w:rFonts w:hint="default" w:ascii="Times New Roman" w:hAnsi="Times New Roman" w:cs="Times New Roman"/>
          <w:kern w:val="2"/>
        </w:rPr>
        <w:t>……………………（3-3）</w:t>
      </w:r>
    </w:p>
    <w:p w14:paraId="6F7337D9">
      <w:pPr>
        <w:ind w:firstLine="480"/>
        <w:jc w:val="both"/>
        <w:rPr>
          <w:rFonts w:hint="default" w:ascii="Times New Roman" w:hAnsi="Times New Roman" w:cs="Times New Roman"/>
          <w:lang w:eastAsia="zh-CN"/>
        </w:rPr>
      </w:pPr>
      <w:r>
        <w:rPr>
          <w:rFonts w:hint="default" w:ascii="Times New Roman" w:hAnsi="Times New Roman" w:cs="Times New Roman"/>
          <w:lang w:eastAsia="zh-CN"/>
        </w:rPr>
        <w:t>（3）建立模糊相似矩阵，获得模糊分类关系</w:t>
      </w:r>
    </w:p>
    <w:p w14:paraId="0B958C4A">
      <w:pPr>
        <w:ind w:firstLine="480"/>
        <w:jc w:val="both"/>
        <w:rPr>
          <w:rFonts w:hint="default" w:ascii="Times New Roman" w:hAnsi="Times New Roman" w:cs="Times New Roman"/>
          <w:lang w:eastAsia="zh-CN"/>
        </w:rPr>
      </w:pPr>
      <w:r>
        <w:rPr>
          <w:rFonts w:hint="default" w:ascii="Times New Roman" w:hAnsi="Times New Roman" w:cs="Times New Roman"/>
          <w:lang w:eastAsia="zh-CN"/>
        </w:rPr>
        <w:t>采用夹角余弦公式计算样本之间相似系矩阵，全部计算用微机完成。</w:t>
      </w:r>
    </w:p>
    <w:p w14:paraId="7A5228B5">
      <w:pPr>
        <w:autoSpaceDE w:val="0"/>
        <w:autoSpaceDN w:val="0"/>
        <w:ind w:firstLine="480"/>
        <w:jc w:val="right"/>
        <w:textAlignment w:val="bottom"/>
        <w:rPr>
          <w:rFonts w:hint="default" w:ascii="Times New Roman" w:hAnsi="Times New Roman" w:cs="Times New Roman"/>
          <w:kern w:val="2"/>
          <w:lang w:eastAsia="zh-CN"/>
        </w:rPr>
      </w:pPr>
      <w:r>
        <w:rPr>
          <w:rFonts w:hint="default" w:ascii="Times New Roman" w:hAnsi="Times New Roman" w:cs="Times New Roman"/>
          <w:kern w:val="2"/>
          <w:position w:val="-66"/>
          <w:lang w:eastAsia="zh-CN"/>
        </w:rPr>
        <w:drawing>
          <wp:inline distT="0" distB="0" distL="0" distR="0">
            <wp:extent cx="2264410" cy="667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64410" cy="667385"/>
                    </a:xfrm>
                    <a:prstGeom prst="rect">
                      <a:avLst/>
                    </a:prstGeom>
                    <a:noFill/>
                    <a:ln>
                      <a:noFill/>
                    </a:ln>
                  </pic:spPr>
                </pic:pic>
              </a:graphicData>
            </a:graphic>
          </wp:inline>
        </w:drawing>
      </w:r>
      <w:r>
        <w:rPr>
          <w:rFonts w:hint="default" w:ascii="Times New Roman" w:hAnsi="Times New Roman" w:cs="Times New Roman"/>
          <w:kern w:val="2"/>
          <w:lang w:eastAsia="zh-CN"/>
        </w:rPr>
        <w:t>………………………（3-4）</w:t>
      </w:r>
    </w:p>
    <w:p w14:paraId="2B2C44F9">
      <w:pPr>
        <w:ind w:firstLine="480"/>
        <w:jc w:val="both"/>
        <w:rPr>
          <w:rFonts w:hint="default" w:ascii="Times New Roman" w:hAnsi="Times New Roman" w:cs="Times New Roman"/>
          <w:lang w:eastAsia="zh-CN"/>
        </w:rPr>
      </w:pPr>
      <w:r>
        <w:rPr>
          <w:rFonts w:hint="default" w:ascii="Times New Roman" w:hAnsi="Times New Roman" w:cs="Times New Roman"/>
          <w:lang w:eastAsia="zh-CN"/>
        </w:rPr>
        <w:t>（4）进行模糊聚类</w:t>
      </w:r>
    </w:p>
    <w:p w14:paraId="3004E689">
      <w:pPr>
        <w:ind w:firstLine="480"/>
        <w:jc w:val="both"/>
        <w:rPr>
          <w:rFonts w:hint="default" w:ascii="Times New Roman" w:hAnsi="Times New Roman" w:cs="Times New Roman"/>
          <w:lang w:eastAsia="zh-CN"/>
        </w:rPr>
      </w:pPr>
      <w:r>
        <w:rPr>
          <w:rFonts w:hint="default" w:ascii="Times New Roman" w:hAnsi="Times New Roman" w:cs="Times New Roman"/>
          <w:lang w:eastAsia="zh-CN"/>
        </w:rPr>
        <w:t>对于满足传递性的模糊相似矩阵进行聚类处理，将类逐渐合并，最后得到聚类谱系图，从而进行合理的分类。</w:t>
      </w:r>
    </w:p>
    <w:p w14:paraId="25EA4313">
      <w:pPr>
        <w:ind w:firstLine="480"/>
        <w:jc w:val="both"/>
        <w:rPr>
          <w:rFonts w:hint="default" w:ascii="Times New Roman" w:hAnsi="Times New Roman" w:cs="Times New Roman"/>
          <w:lang w:eastAsia="zh-CN"/>
        </w:rPr>
      </w:pPr>
      <w:r>
        <w:rPr>
          <w:rFonts w:hint="default" w:ascii="Times New Roman" w:hAnsi="Times New Roman" w:cs="Times New Roman"/>
          <w:lang w:eastAsia="zh-CN"/>
        </w:rPr>
        <w:t>（5）确定分区界限，并进行适当调整</w:t>
      </w:r>
    </w:p>
    <w:p w14:paraId="1CC9F9B9">
      <w:pPr>
        <w:ind w:firstLine="480"/>
        <w:jc w:val="both"/>
        <w:rPr>
          <w:rFonts w:hint="default" w:ascii="Times New Roman" w:hAnsi="Times New Roman" w:cs="Times New Roman"/>
          <w:lang w:eastAsia="zh-CN"/>
        </w:rPr>
      </w:pPr>
      <w:r>
        <w:rPr>
          <w:rFonts w:hint="default" w:ascii="Times New Roman" w:hAnsi="Times New Roman" w:cs="Times New Roman"/>
          <w:lang w:eastAsia="zh-CN"/>
        </w:rPr>
        <w:t>采用定性分区和定量分区相结合的方法进行分区划界，边界的确定应满足镇街行政边界的完整性的要求。以特定地貌单元为分区基础，适当考虑流域边界、水资源分区等，确定分区界限。初步划定分区后，按照雷州市行政区划图，根据区划连续性原则，对初步划分的雷州市水土保持分区进行调整。</w:t>
      </w:r>
    </w:p>
    <w:p w14:paraId="3C5EDE73">
      <w:pPr>
        <w:ind w:firstLine="480"/>
        <w:jc w:val="both"/>
        <w:rPr>
          <w:rFonts w:hint="default" w:ascii="Times New Roman" w:hAnsi="Times New Roman" w:cs="Times New Roman"/>
          <w:lang w:eastAsia="zh-CN"/>
        </w:rPr>
      </w:pPr>
      <w:r>
        <w:rPr>
          <w:rFonts w:hint="default" w:ascii="Times New Roman" w:hAnsi="Times New Roman" w:cs="Times New Roman"/>
          <w:lang w:eastAsia="zh-CN"/>
        </w:rPr>
        <w:t>（6）确定各区水土保持主导功能</w:t>
      </w:r>
    </w:p>
    <w:p w14:paraId="2ED8D2A8">
      <w:pPr>
        <w:ind w:firstLine="480"/>
        <w:jc w:val="both"/>
        <w:rPr>
          <w:rFonts w:hint="default" w:ascii="Times New Roman" w:hAnsi="Times New Roman" w:cs="Times New Roman"/>
          <w:lang w:eastAsia="zh-CN"/>
        </w:rPr>
      </w:pPr>
      <w:r>
        <w:rPr>
          <w:rFonts w:hint="default" w:ascii="Times New Roman" w:hAnsi="Times New Roman" w:cs="Times New Roman"/>
          <w:lang w:eastAsia="zh-CN"/>
        </w:rPr>
        <w:t>根据《全国水土保持区划导则（试行）》，水土保持基础功能分为水源涵养、土壤保持、蓄水保水、防风固沙、生态维护、防灾减灾、农田防护、水质维护、拦沙减沙和人居环境维护（改善）10类，见表3-1。各区水土保持主导功能的确定采用定性方法，即结合地形地貌、水土流失、土地利用、社会经济、水土保持防治需求等特征，统筹考虑</w:t>
      </w:r>
      <w:r>
        <w:rPr>
          <w:rFonts w:hint="default" w:ascii="Times New Roman" w:hAnsi="Times New Roman" w:cs="Times New Roman"/>
          <w:color w:val="auto"/>
        </w:rPr>
        <w:t>雷州市国土空间总体规划（2021</w:t>
      </w:r>
      <w:r>
        <w:rPr>
          <w:rFonts w:hint="default" w:ascii="Times New Roman" w:hAnsi="Times New Roman" w:cs="Times New Roman"/>
          <w:color w:val="auto"/>
          <w:lang w:val="en-US" w:eastAsia="zh-CN"/>
        </w:rPr>
        <w:t>-</w:t>
      </w:r>
      <w:r>
        <w:rPr>
          <w:rFonts w:hint="default" w:ascii="Times New Roman" w:hAnsi="Times New Roman" w:cs="Times New Roman"/>
          <w:color w:val="auto"/>
        </w:rPr>
        <w:t>2035年）</w:t>
      </w:r>
      <w:r>
        <w:rPr>
          <w:rFonts w:hint="default" w:ascii="Times New Roman" w:hAnsi="Times New Roman" w:cs="Times New Roman"/>
          <w:lang w:eastAsia="zh-CN"/>
        </w:rPr>
        <w:t>及生态环境等专业规划中的有关功能区划成果，综合评价水土保持防治方向，取水土保持基础功能中的一或二种功能作为雷州市水土保持分区的主导基础功能。</w:t>
      </w:r>
    </w:p>
    <w:p w14:paraId="0C89B714">
      <w:pPr>
        <w:ind w:firstLine="480"/>
        <w:jc w:val="both"/>
        <w:rPr>
          <w:rFonts w:hint="default" w:ascii="Times New Roman" w:hAnsi="Times New Roman" w:cs="Times New Roman"/>
          <w:lang w:eastAsia="zh-CN"/>
        </w:rPr>
      </w:pPr>
      <w:r>
        <w:rPr>
          <w:rFonts w:hint="default" w:ascii="Times New Roman" w:hAnsi="Times New Roman" w:cs="Times New Roman"/>
          <w:lang w:eastAsia="zh-CN"/>
        </w:rPr>
        <w:t>（7）分区命名</w:t>
      </w:r>
    </w:p>
    <w:p w14:paraId="28219D93">
      <w:pPr>
        <w:ind w:firstLine="480"/>
        <w:jc w:val="both"/>
        <w:rPr>
          <w:rFonts w:hint="default" w:ascii="Times New Roman" w:hAnsi="Times New Roman" w:cs="Times New Roman"/>
          <w:lang w:eastAsia="zh-CN"/>
        </w:rPr>
      </w:pPr>
      <w:r>
        <w:rPr>
          <w:rFonts w:hint="default" w:ascii="Times New Roman" w:hAnsi="Times New Roman" w:cs="Times New Roman"/>
          <w:lang w:eastAsia="zh-CN"/>
        </w:rPr>
        <w:t>雷州市水土保持分区名命：采用“地理位置＋地貌特征＋水土保持主导功能”三因素命名。水土保持基础功能分类见表</w:t>
      </w:r>
      <w:r>
        <w:rPr>
          <w:rFonts w:hint="default" w:ascii="Times New Roman" w:hAnsi="Times New Roman" w:cs="Times New Roman"/>
          <w:lang w:val="en-US" w:eastAsia="zh-CN"/>
        </w:rPr>
        <w:t>3</w:t>
      </w:r>
      <w:r>
        <w:rPr>
          <w:rFonts w:hint="default" w:ascii="Times New Roman" w:hAnsi="Times New Roman" w:cs="Times New Roman"/>
          <w:lang w:eastAsia="zh-CN"/>
        </w:rPr>
        <w:t>-1。</w:t>
      </w:r>
    </w:p>
    <w:p w14:paraId="476D86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kern w:val="2"/>
          <w:sz w:val="24"/>
          <w:szCs w:val="24"/>
          <w:lang w:eastAsia="zh-CN"/>
        </w:rPr>
      </w:pPr>
      <w:r>
        <w:rPr>
          <w:rFonts w:hint="default" w:ascii="Times New Roman" w:hAnsi="Times New Roman" w:cs="Times New Roman" w:eastAsiaTheme="minorEastAsia"/>
          <w:b/>
          <w:kern w:val="2"/>
          <w:sz w:val="24"/>
          <w:szCs w:val="24"/>
          <w:lang w:eastAsia="zh-CN"/>
        </w:rPr>
        <w:t>表</w:t>
      </w:r>
      <w:r>
        <w:rPr>
          <w:rFonts w:hint="default" w:ascii="Times New Roman" w:hAnsi="Times New Roman" w:cs="Times New Roman" w:eastAsiaTheme="minorEastAsia"/>
          <w:b/>
          <w:kern w:val="2"/>
          <w:sz w:val="24"/>
          <w:szCs w:val="24"/>
          <w:lang w:val="en-US" w:eastAsia="zh-CN"/>
        </w:rPr>
        <w:t>3</w:t>
      </w:r>
      <w:r>
        <w:rPr>
          <w:rFonts w:hint="default" w:ascii="Times New Roman" w:hAnsi="Times New Roman" w:cs="Times New Roman" w:eastAsiaTheme="minorEastAsia"/>
          <w:b/>
          <w:kern w:val="2"/>
          <w:sz w:val="24"/>
          <w:szCs w:val="24"/>
          <w:lang w:eastAsia="zh-CN"/>
        </w:rPr>
        <w:t>-1  水土保持基础功能分类</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190"/>
        <w:gridCol w:w="2540"/>
        <w:gridCol w:w="2005"/>
      </w:tblGrid>
      <w:tr w14:paraId="472A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475" w:type="pct"/>
            <w:shd w:val="clear" w:color="auto" w:fill="auto"/>
            <w:vAlign w:val="center"/>
          </w:tcPr>
          <w:p w14:paraId="73473E2B">
            <w:pPr>
              <w:pStyle w:val="65"/>
              <w:spacing w:line="280" w:lineRule="exact"/>
              <w:jc w:val="left"/>
              <w:rPr>
                <w:rFonts w:hint="default" w:ascii="Times New Roman" w:hAnsi="Times New Roman" w:cs="Times New Roman"/>
                <w:b/>
                <w:szCs w:val="21"/>
              </w:rPr>
            </w:pPr>
            <w:r>
              <w:rPr>
                <w:rFonts w:hint="default" w:ascii="Times New Roman" w:hAnsi="Times New Roman" w:cs="Times New Roman"/>
                <w:b/>
                <w:szCs w:val="21"/>
              </w:rPr>
              <w:t>基础</w:t>
            </w:r>
          </w:p>
          <w:p w14:paraId="4843056D">
            <w:pPr>
              <w:pStyle w:val="65"/>
              <w:spacing w:line="280" w:lineRule="exact"/>
              <w:jc w:val="left"/>
              <w:rPr>
                <w:rFonts w:hint="default" w:ascii="Times New Roman" w:hAnsi="Times New Roman" w:cs="Times New Roman"/>
                <w:b/>
                <w:szCs w:val="21"/>
              </w:rPr>
            </w:pPr>
            <w:r>
              <w:rPr>
                <w:rFonts w:hint="default" w:ascii="Times New Roman" w:hAnsi="Times New Roman" w:cs="Times New Roman"/>
                <w:b/>
                <w:szCs w:val="21"/>
              </w:rPr>
              <w:t>功能</w:t>
            </w:r>
          </w:p>
        </w:tc>
        <w:tc>
          <w:tcPr>
            <w:tcW w:w="1866" w:type="pct"/>
            <w:shd w:val="clear" w:color="auto" w:fill="auto"/>
            <w:vAlign w:val="center"/>
          </w:tcPr>
          <w:p w14:paraId="1BD1F75F">
            <w:pPr>
              <w:pStyle w:val="65"/>
              <w:spacing w:line="280" w:lineRule="exact"/>
              <w:ind w:firstLine="482"/>
              <w:rPr>
                <w:rFonts w:hint="default" w:ascii="Times New Roman" w:hAnsi="Times New Roman" w:cs="Times New Roman"/>
                <w:b/>
                <w:szCs w:val="21"/>
              </w:rPr>
            </w:pPr>
            <w:r>
              <w:rPr>
                <w:rFonts w:hint="default" w:ascii="Times New Roman" w:hAnsi="Times New Roman" w:cs="Times New Roman"/>
                <w:b/>
                <w:szCs w:val="21"/>
              </w:rPr>
              <w:t>定义</w:t>
            </w:r>
          </w:p>
        </w:tc>
        <w:tc>
          <w:tcPr>
            <w:tcW w:w="1486" w:type="pct"/>
            <w:shd w:val="clear" w:color="auto" w:fill="auto"/>
            <w:vAlign w:val="center"/>
          </w:tcPr>
          <w:p w14:paraId="498BA6AD">
            <w:pPr>
              <w:pStyle w:val="65"/>
              <w:spacing w:line="280" w:lineRule="exact"/>
              <w:ind w:firstLine="482"/>
              <w:rPr>
                <w:rFonts w:hint="default" w:ascii="Times New Roman" w:hAnsi="Times New Roman" w:cs="Times New Roman"/>
                <w:b/>
                <w:szCs w:val="21"/>
              </w:rPr>
            </w:pPr>
            <w:r>
              <w:rPr>
                <w:rFonts w:hint="default" w:ascii="Times New Roman" w:hAnsi="Times New Roman" w:cs="Times New Roman"/>
                <w:b/>
                <w:szCs w:val="21"/>
              </w:rPr>
              <w:t>重要体现区域</w:t>
            </w:r>
          </w:p>
        </w:tc>
        <w:tc>
          <w:tcPr>
            <w:tcW w:w="1173" w:type="pct"/>
            <w:shd w:val="clear" w:color="auto" w:fill="auto"/>
            <w:vAlign w:val="center"/>
          </w:tcPr>
          <w:p w14:paraId="381D3137">
            <w:pPr>
              <w:pStyle w:val="65"/>
              <w:spacing w:line="280" w:lineRule="exact"/>
              <w:ind w:firstLine="482"/>
              <w:rPr>
                <w:rFonts w:hint="default" w:ascii="Times New Roman" w:hAnsi="Times New Roman" w:cs="Times New Roman"/>
                <w:b/>
                <w:szCs w:val="21"/>
              </w:rPr>
            </w:pPr>
            <w:r>
              <w:rPr>
                <w:rFonts w:hint="default" w:ascii="Times New Roman" w:hAnsi="Times New Roman" w:cs="Times New Roman"/>
                <w:b/>
                <w:szCs w:val="21"/>
              </w:rPr>
              <w:t>辅助指标</w:t>
            </w:r>
          </w:p>
        </w:tc>
      </w:tr>
      <w:tr w14:paraId="251B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6AC88B87">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土壤</w:t>
            </w:r>
          </w:p>
          <w:p w14:paraId="2BA5465D">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保持</w:t>
            </w:r>
          </w:p>
        </w:tc>
        <w:tc>
          <w:tcPr>
            <w:tcW w:w="1866" w:type="pct"/>
            <w:shd w:val="clear" w:color="auto" w:fill="auto"/>
            <w:vAlign w:val="center"/>
          </w:tcPr>
          <w:p w14:paraId="26FC1283">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水土保持设施发挥的保持土壤资源、维护和提高土地生产力的功能</w:t>
            </w:r>
          </w:p>
        </w:tc>
        <w:tc>
          <w:tcPr>
            <w:tcW w:w="1486" w:type="pct"/>
            <w:shd w:val="clear" w:color="auto" w:fill="auto"/>
            <w:vAlign w:val="center"/>
          </w:tcPr>
          <w:p w14:paraId="4B2799E8">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山地丘陵综合农业生产区</w:t>
            </w:r>
          </w:p>
        </w:tc>
        <w:tc>
          <w:tcPr>
            <w:tcW w:w="1173" w:type="pct"/>
            <w:shd w:val="clear" w:color="auto" w:fill="auto"/>
            <w:vAlign w:val="center"/>
          </w:tcPr>
          <w:p w14:paraId="78E68F49">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耕地面积比例/大于15度土地面积比例</w:t>
            </w:r>
          </w:p>
        </w:tc>
      </w:tr>
      <w:tr w14:paraId="5F3A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034BE16F">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蓄水</w:t>
            </w:r>
          </w:p>
          <w:p w14:paraId="61689F59">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保水</w:t>
            </w:r>
          </w:p>
        </w:tc>
        <w:tc>
          <w:tcPr>
            <w:tcW w:w="1866" w:type="pct"/>
            <w:shd w:val="clear" w:color="auto" w:fill="auto"/>
            <w:vAlign w:val="center"/>
          </w:tcPr>
          <w:p w14:paraId="2584BFA7">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水土保持设施发挥的集蓄利用降水和地表水径流以及保持土壤水分的功能</w:t>
            </w:r>
          </w:p>
        </w:tc>
        <w:tc>
          <w:tcPr>
            <w:tcW w:w="1486" w:type="pct"/>
            <w:shd w:val="clear" w:color="auto" w:fill="auto"/>
            <w:vAlign w:val="center"/>
          </w:tcPr>
          <w:p w14:paraId="78F47A0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干旱缺水地区及季节性缺水严重地区</w:t>
            </w:r>
          </w:p>
        </w:tc>
        <w:tc>
          <w:tcPr>
            <w:tcW w:w="1173" w:type="pct"/>
            <w:shd w:val="clear" w:color="auto" w:fill="auto"/>
            <w:vAlign w:val="center"/>
          </w:tcPr>
          <w:p w14:paraId="64254A1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降水量/旱地面积比例/地面起伏度</w:t>
            </w:r>
          </w:p>
        </w:tc>
      </w:tr>
      <w:tr w14:paraId="5752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7D5E42B9">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拦沙</w:t>
            </w:r>
          </w:p>
          <w:p w14:paraId="36B5E532">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减沙</w:t>
            </w:r>
          </w:p>
        </w:tc>
        <w:tc>
          <w:tcPr>
            <w:tcW w:w="1866" w:type="pct"/>
            <w:shd w:val="clear" w:color="auto" w:fill="auto"/>
            <w:vAlign w:val="center"/>
          </w:tcPr>
          <w:p w14:paraId="2B36F68A">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水土保持设施发挥的拦截和减少入江（河、湖、库）泥沙的功能</w:t>
            </w:r>
          </w:p>
        </w:tc>
        <w:tc>
          <w:tcPr>
            <w:tcW w:w="1486" w:type="pct"/>
            <w:shd w:val="clear" w:color="auto" w:fill="auto"/>
            <w:vAlign w:val="center"/>
          </w:tcPr>
          <w:p w14:paraId="527D7B5C">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多沙粗砂区及河流输沙量大的地区</w:t>
            </w:r>
          </w:p>
        </w:tc>
        <w:tc>
          <w:tcPr>
            <w:tcW w:w="1173" w:type="pct"/>
            <w:shd w:val="clear" w:color="auto" w:fill="auto"/>
            <w:vAlign w:val="center"/>
          </w:tcPr>
          <w:p w14:paraId="2CF2811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土壤侵蚀模数</w:t>
            </w:r>
          </w:p>
        </w:tc>
      </w:tr>
      <w:tr w14:paraId="2B0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0F0FA35C">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水源</w:t>
            </w:r>
          </w:p>
          <w:p w14:paraId="72E16F2B">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涵养</w:t>
            </w:r>
          </w:p>
        </w:tc>
        <w:tc>
          <w:tcPr>
            <w:tcW w:w="1866" w:type="pct"/>
            <w:shd w:val="clear" w:color="auto" w:fill="auto"/>
            <w:vAlign w:val="center"/>
          </w:tcPr>
          <w:p w14:paraId="6A53315D">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水土保持设施发挥或蕴藏的调节径流、保护与改善水质的功能</w:t>
            </w:r>
          </w:p>
        </w:tc>
        <w:tc>
          <w:tcPr>
            <w:tcW w:w="1486" w:type="pct"/>
            <w:shd w:val="clear" w:color="auto" w:fill="auto"/>
            <w:vAlign w:val="center"/>
          </w:tcPr>
          <w:p w14:paraId="6C89856D">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江河湖泊的源头、供水水库上游地区以及国家已划定水源涵养区</w:t>
            </w:r>
          </w:p>
        </w:tc>
        <w:tc>
          <w:tcPr>
            <w:tcW w:w="1173" w:type="pct"/>
            <w:shd w:val="clear" w:color="auto" w:fill="auto"/>
            <w:vAlign w:val="center"/>
          </w:tcPr>
          <w:p w14:paraId="2D4A8938">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林草植被覆盖率/人口密度</w:t>
            </w:r>
          </w:p>
        </w:tc>
      </w:tr>
      <w:tr w14:paraId="5EF3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2314574B">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水质</w:t>
            </w:r>
          </w:p>
          <w:p w14:paraId="09F5244E">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维护</w:t>
            </w:r>
          </w:p>
        </w:tc>
        <w:tc>
          <w:tcPr>
            <w:tcW w:w="1866" w:type="pct"/>
            <w:shd w:val="clear" w:color="auto" w:fill="auto"/>
            <w:vAlign w:val="center"/>
          </w:tcPr>
          <w:p w14:paraId="03732D72">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水土保持设施发挥或蕴藏的减轻面源污染、有利于维护水质的功能</w:t>
            </w:r>
          </w:p>
        </w:tc>
        <w:tc>
          <w:tcPr>
            <w:tcW w:w="1486" w:type="pct"/>
            <w:shd w:val="clear" w:color="auto" w:fill="auto"/>
            <w:vAlign w:val="center"/>
          </w:tcPr>
          <w:p w14:paraId="23D164A4">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河湖水网、饮用水源地周边面源污染较重地区</w:t>
            </w:r>
          </w:p>
        </w:tc>
        <w:tc>
          <w:tcPr>
            <w:tcW w:w="1173" w:type="pct"/>
            <w:shd w:val="clear" w:color="auto" w:fill="auto"/>
            <w:vAlign w:val="center"/>
          </w:tcPr>
          <w:p w14:paraId="0B183670">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耕地面积比例/人口密度</w:t>
            </w:r>
          </w:p>
        </w:tc>
      </w:tr>
      <w:tr w14:paraId="4B1C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73CEEF84">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防风</w:t>
            </w:r>
          </w:p>
          <w:p w14:paraId="212B5177">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固沙</w:t>
            </w:r>
          </w:p>
        </w:tc>
        <w:tc>
          <w:tcPr>
            <w:tcW w:w="1866" w:type="pct"/>
            <w:shd w:val="clear" w:color="auto" w:fill="auto"/>
            <w:vAlign w:val="center"/>
          </w:tcPr>
          <w:p w14:paraId="170E686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水土保持设施减小风速和控制沙地风蚀的功能</w:t>
            </w:r>
          </w:p>
        </w:tc>
        <w:tc>
          <w:tcPr>
            <w:tcW w:w="1486" w:type="pct"/>
            <w:shd w:val="clear" w:color="auto" w:fill="auto"/>
            <w:vAlign w:val="center"/>
          </w:tcPr>
          <w:p w14:paraId="52F0069E">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绿洲防护区及风沙区</w:t>
            </w:r>
          </w:p>
        </w:tc>
        <w:tc>
          <w:tcPr>
            <w:tcW w:w="1173" w:type="pct"/>
            <w:shd w:val="clear" w:color="auto" w:fill="auto"/>
            <w:vAlign w:val="center"/>
          </w:tcPr>
          <w:p w14:paraId="15DE41B9">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大风日数/林草植被覆盖率/中度以上风蚀面积比例</w:t>
            </w:r>
          </w:p>
        </w:tc>
      </w:tr>
      <w:tr w14:paraId="4D44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0985F2D5">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生态维护</w:t>
            </w:r>
          </w:p>
        </w:tc>
        <w:tc>
          <w:tcPr>
            <w:tcW w:w="1866" w:type="pct"/>
            <w:shd w:val="clear" w:color="auto" w:fill="auto"/>
            <w:vAlign w:val="center"/>
          </w:tcPr>
          <w:p w14:paraId="247F592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水土保持设施在维护森林、草原、湿地等生态系统功能方面所发挥的作用</w:t>
            </w:r>
          </w:p>
        </w:tc>
        <w:tc>
          <w:tcPr>
            <w:tcW w:w="1486" w:type="pct"/>
            <w:shd w:val="clear" w:color="auto" w:fill="auto"/>
            <w:vAlign w:val="center"/>
          </w:tcPr>
          <w:p w14:paraId="3D180C52">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森林、草原、湿地</w:t>
            </w:r>
          </w:p>
        </w:tc>
        <w:tc>
          <w:tcPr>
            <w:tcW w:w="1173" w:type="pct"/>
            <w:shd w:val="clear" w:color="auto" w:fill="auto"/>
            <w:vAlign w:val="center"/>
          </w:tcPr>
          <w:p w14:paraId="5C0D28A3">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林草植被覆盖率/人口密度/各类保护区面积比例</w:t>
            </w:r>
          </w:p>
        </w:tc>
      </w:tr>
      <w:tr w14:paraId="12B8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5BBE67D3">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防灾</w:t>
            </w:r>
          </w:p>
          <w:p w14:paraId="4D592F49">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减灾</w:t>
            </w:r>
          </w:p>
        </w:tc>
        <w:tc>
          <w:tcPr>
            <w:tcW w:w="1866" w:type="pct"/>
            <w:shd w:val="clear" w:color="auto" w:fill="auto"/>
            <w:vAlign w:val="center"/>
          </w:tcPr>
          <w:p w14:paraId="4ACC1F2C">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水土保持设施发挥或蕴藏的减轻山洪、泥石流、滑坡等山地灾害的功能</w:t>
            </w:r>
          </w:p>
        </w:tc>
        <w:tc>
          <w:tcPr>
            <w:tcW w:w="1486" w:type="pct"/>
            <w:shd w:val="clear" w:color="auto" w:fill="auto"/>
            <w:vAlign w:val="center"/>
          </w:tcPr>
          <w:p w14:paraId="196B6D06">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山洪、泥石流、滑坡易发区及工矿集中区</w:t>
            </w:r>
          </w:p>
        </w:tc>
        <w:tc>
          <w:tcPr>
            <w:tcW w:w="1173" w:type="pct"/>
            <w:shd w:val="clear" w:color="auto" w:fill="auto"/>
            <w:vAlign w:val="center"/>
          </w:tcPr>
          <w:p w14:paraId="30161111">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灾害易发区面积比例/工矿区面积比例</w:t>
            </w:r>
          </w:p>
        </w:tc>
      </w:tr>
      <w:tr w14:paraId="0AFA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3B6851B3">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农田</w:t>
            </w:r>
          </w:p>
          <w:p w14:paraId="381250C2">
            <w:pPr>
              <w:pStyle w:val="65"/>
              <w:spacing w:line="280" w:lineRule="exact"/>
              <w:jc w:val="left"/>
              <w:rPr>
                <w:rFonts w:hint="default" w:ascii="Times New Roman" w:hAnsi="Times New Roman" w:cs="Times New Roman"/>
                <w:szCs w:val="21"/>
              </w:rPr>
            </w:pPr>
            <w:r>
              <w:rPr>
                <w:rFonts w:hint="default" w:ascii="Times New Roman" w:hAnsi="Times New Roman" w:cs="Times New Roman"/>
                <w:szCs w:val="21"/>
              </w:rPr>
              <w:t>防护</w:t>
            </w:r>
          </w:p>
        </w:tc>
        <w:tc>
          <w:tcPr>
            <w:tcW w:w="1866" w:type="pct"/>
            <w:shd w:val="clear" w:color="auto" w:fill="auto"/>
            <w:vAlign w:val="center"/>
          </w:tcPr>
          <w:p w14:paraId="7CACA17E">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水土保持设施在平原和绿洲农业区发挥的改善农田小气候、减轻风沙、干旱等自然灾害的功能</w:t>
            </w:r>
          </w:p>
        </w:tc>
        <w:tc>
          <w:tcPr>
            <w:tcW w:w="1486" w:type="pct"/>
            <w:shd w:val="clear" w:color="auto" w:fill="auto"/>
            <w:vAlign w:val="center"/>
          </w:tcPr>
          <w:p w14:paraId="5566FDA8">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平原地区的粮食主产区</w:t>
            </w:r>
          </w:p>
        </w:tc>
        <w:tc>
          <w:tcPr>
            <w:tcW w:w="1173" w:type="pct"/>
            <w:shd w:val="clear" w:color="auto" w:fill="auto"/>
            <w:vAlign w:val="center"/>
          </w:tcPr>
          <w:p w14:paraId="23C8FDD8">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耕地面积比例/平原面积比例</w:t>
            </w:r>
          </w:p>
        </w:tc>
      </w:tr>
      <w:tr w14:paraId="152D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pct"/>
            <w:shd w:val="clear" w:color="auto" w:fill="auto"/>
            <w:vAlign w:val="center"/>
          </w:tcPr>
          <w:p w14:paraId="710FBF97">
            <w:pPr>
              <w:pStyle w:val="65"/>
              <w:spacing w:line="280" w:lineRule="exact"/>
              <w:ind w:left="-120" w:leftChars="-50" w:right="-120" w:rightChars="-50"/>
              <w:jc w:val="left"/>
              <w:rPr>
                <w:rFonts w:hint="default" w:ascii="Times New Roman" w:hAnsi="Times New Roman" w:cs="Times New Roman"/>
                <w:szCs w:val="21"/>
              </w:rPr>
            </w:pPr>
            <w:r>
              <w:rPr>
                <w:rFonts w:hint="default" w:ascii="Times New Roman" w:hAnsi="Times New Roman" w:cs="Times New Roman"/>
                <w:szCs w:val="21"/>
              </w:rPr>
              <w:t>人居环</w:t>
            </w:r>
          </w:p>
          <w:p w14:paraId="3750020F">
            <w:pPr>
              <w:pStyle w:val="65"/>
              <w:spacing w:line="280" w:lineRule="exact"/>
              <w:ind w:left="-120" w:leftChars="-50" w:right="-120" w:rightChars="-50"/>
              <w:jc w:val="left"/>
              <w:rPr>
                <w:rFonts w:hint="default" w:ascii="Times New Roman" w:hAnsi="Times New Roman" w:cs="Times New Roman"/>
                <w:szCs w:val="21"/>
              </w:rPr>
            </w:pPr>
            <w:r>
              <w:rPr>
                <w:rFonts w:hint="default" w:ascii="Times New Roman" w:hAnsi="Times New Roman" w:cs="Times New Roman"/>
                <w:szCs w:val="21"/>
              </w:rPr>
              <w:t>境维护</w:t>
            </w:r>
          </w:p>
        </w:tc>
        <w:tc>
          <w:tcPr>
            <w:tcW w:w="1866" w:type="pct"/>
            <w:shd w:val="clear" w:color="auto" w:fill="auto"/>
            <w:vAlign w:val="center"/>
          </w:tcPr>
          <w:p w14:paraId="6D16E240">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水土保持设施发挥的维护经济发达区域的城市及周边环境的功能</w:t>
            </w:r>
          </w:p>
        </w:tc>
        <w:tc>
          <w:tcPr>
            <w:tcW w:w="1486" w:type="pct"/>
            <w:shd w:val="clear" w:color="auto" w:fill="auto"/>
            <w:vAlign w:val="center"/>
          </w:tcPr>
          <w:p w14:paraId="7142D262">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人均生活水平高的大中型现代化城市</w:t>
            </w:r>
          </w:p>
        </w:tc>
        <w:tc>
          <w:tcPr>
            <w:tcW w:w="1173" w:type="pct"/>
            <w:shd w:val="clear" w:color="auto" w:fill="auto"/>
            <w:vAlign w:val="center"/>
          </w:tcPr>
          <w:p w14:paraId="5729BCD5">
            <w:pPr>
              <w:pStyle w:val="65"/>
              <w:spacing w:line="280" w:lineRule="exact"/>
              <w:jc w:val="both"/>
              <w:rPr>
                <w:rFonts w:hint="default" w:ascii="Times New Roman" w:hAnsi="Times New Roman" w:cs="Times New Roman"/>
                <w:szCs w:val="21"/>
              </w:rPr>
            </w:pPr>
            <w:r>
              <w:rPr>
                <w:rFonts w:hint="default" w:ascii="Times New Roman" w:hAnsi="Times New Roman" w:cs="Times New Roman"/>
                <w:szCs w:val="21"/>
              </w:rPr>
              <w:t>人口密度/人均收入</w:t>
            </w:r>
          </w:p>
        </w:tc>
      </w:tr>
    </w:tbl>
    <w:p w14:paraId="349085A2">
      <w:pPr>
        <w:pStyle w:val="2"/>
        <w:ind w:firstLine="480"/>
        <w:rPr>
          <w:rFonts w:hint="default" w:ascii="Times New Roman" w:hAnsi="Times New Roman" w:cs="Times New Roman"/>
          <w:lang w:eastAsia="zh-CN"/>
        </w:rPr>
      </w:pPr>
    </w:p>
    <w:p w14:paraId="5A0E67DD">
      <w:pPr>
        <w:pStyle w:val="2"/>
        <w:ind w:firstLine="480"/>
        <w:rPr>
          <w:rFonts w:hint="default" w:ascii="Times New Roman" w:hAnsi="Times New Roman" w:cs="Times New Roman"/>
          <w:lang w:eastAsia="zh-CN"/>
        </w:rPr>
      </w:pPr>
      <w:r>
        <w:rPr>
          <w:rFonts w:hint="default" w:ascii="Times New Roman" w:hAnsi="Times New Roman" w:cs="Times New Roman"/>
          <w:lang w:eastAsia="zh-CN"/>
        </w:rPr>
        <w:br w:type="page"/>
      </w:r>
    </w:p>
    <w:p w14:paraId="2D17874E">
      <w:pPr>
        <w:pStyle w:val="6"/>
        <w:numPr>
          <w:ilvl w:val="0"/>
          <w:numId w:val="5"/>
        </w:numPr>
        <w:snapToGrid w:val="0"/>
        <w:spacing w:before="120" w:beforeLines="50" w:after="120" w:afterLines="50"/>
        <w:ind w:left="0" w:hanging="357"/>
        <w:rPr>
          <w:rFonts w:hint="default" w:ascii="Times New Roman" w:hAnsi="Times New Roman" w:cs="Times New Roman"/>
          <w:sz w:val="30"/>
          <w:szCs w:val="30"/>
        </w:rPr>
      </w:pPr>
      <w:bookmarkStart w:id="92" w:name="_Toc520723978"/>
      <w:bookmarkStart w:id="93" w:name="_Toc18017"/>
      <w:r>
        <w:rPr>
          <w:rFonts w:hint="default" w:ascii="Times New Roman" w:hAnsi="Times New Roman" w:cs="Times New Roman"/>
          <w:sz w:val="30"/>
          <w:szCs w:val="30"/>
        </w:rPr>
        <w:t>区划结果</w:t>
      </w:r>
      <w:bookmarkEnd w:id="92"/>
      <w:bookmarkEnd w:id="93"/>
    </w:p>
    <w:p w14:paraId="21E28B54">
      <w:pPr>
        <w:snapToGrid w:val="0"/>
        <w:ind w:firstLine="482"/>
        <w:jc w:val="both"/>
        <w:rPr>
          <w:rFonts w:hint="default" w:ascii="Times New Roman" w:hAnsi="Times New Roman" w:cs="Times New Roman"/>
          <w:lang w:eastAsia="zh-CN"/>
        </w:rPr>
      </w:pPr>
      <w:r>
        <w:rPr>
          <w:rFonts w:hint="default" w:ascii="Times New Roman" w:hAnsi="Times New Roman" w:cs="Times New Roman"/>
          <w:lang w:eastAsia="zh-CN"/>
        </w:rPr>
        <w:t>区划将雷州市划分为两个水土保持分区，分别为：Ⅰ：北部平原人居环境保护和水源涵养区，Ⅱ：南部台地农田</w:t>
      </w:r>
      <w:r>
        <w:rPr>
          <w:rFonts w:hint="eastAsia" w:cs="Times New Roman"/>
          <w:lang w:val="en-US" w:eastAsia="zh-CN"/>
        </w:rPr>
        <w:t>防护</w:t>
      </w:r>
      <w:r>
        <w:rPr>
          <w:rFonts w:hint="default" w:ascii="Times New Roman" w:hAnsi="Times New Roman" w:cs="Times New Roman"/>
          <w:lang w:eastAsia="zh-CN"/>
        </w:rPr>
        <w:t>和生态维护区。雷州市水土保持分区见图</w:t>
      </w:r>
      <w:r>
        <w:rPr>
          <w:rFonts w:hint="default" w:ascii="Times New Roman" w:hAnsi="Times New Roman" w:cs="Times New Roman"/>
          <w:lang w:val="en-US" w:eastAsia="zh-CN"/>
        </w:rPr>
        <w:t>4-1</w:t>
      </w:r>
      <w:r>
        <w:rPr>
          <w:rFonts w:hint="default" w:ascii="Times New Roman" w:hAnsi="Times New Roman" w:cs="Times New Roman"/>
          <w:lang w:eastAsia="zh-CN"/>
        </w:rPr>
        <w:t>-2。</w:t>
      </w:r>
    </w:p>
    <w:p w14:paraId="52244BCF">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雷州水土保持区划结果及水土流失防治需求及治理模式见表</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p>
    <w:p w14:paraId="7E335B6F">
      <w:pPr>
        <w:pStyle w:val="2"/>
        <w:spacing w:line="240" w:lineRule="auto"/>
        <w:ind w:firstLine="0"/>
        <w:jc w:val="center"/>
        <w:rPr>
          <w:rFonts w:hint="default" w:ascii="Times New Roman" w:hAnsi="Times New Roman" w:cs="Times New Roman" w:eastAsiaTheme="minorEastAsia"/>
          <w:b/>
          <w:kern w:val="2"/>
          <w:sz w:val="24"/>
          <w:szCs w:val="24"/>
          <w:lang w:eastAsia="zh-CN"/>
        </w:rPr>
      </w:pPr>
      <w:r>
        <w:rPr>
          <w:rFonts w:hint="default" w:ascii="Times New Roman" w:hAnsi="Times New Roman" w:cs="Times New Roman" w:eastAsiaTheme="minorEastAsia"/>
          <w:b/>
          <w:kern w:val="2"/>
          <w:sz w:val="24"/>
          <w:szCs w:val="24"/>
          <w:lang w:eastAsia="zh-CN"/>
        </w:rPr>
        <w:t>表</w:t>
      </w:r>
      <w:r>
        <w:rPr>
          <w:rFonts w:hint="default" w:ascii="Times New Roman" w:hAnsi="Times New Roman" w:cs="Times New Roman" w:eastAsiaTheme="minorEastAsia"/>
          <w:b/>
          <w:kern w:val="2"/>
          <w:sz w:val="24"/>
          <w:szCs w:val="24"/>
          <w:lang w:val="en-US" w:eastAsia="zh-CN"/>
        </w:rPr>
        <w:t>4</w:t>
      </w:r>
      <w:r>
        <w:rPr>
          <w:rFonts w:hint="default" w:ascii="Times New Roman" w:hAnsi="Times New Roman" w:cs="Times New Roman" w:eastAsiaTheme="minorEastAsia"/>
          <w:b/>
          <w:kern w:val="2"/>
          <w:sz w:val="24"/>
          <w:szCs w:val="24"/>
          <w:lang w:eastAsia="zh-CN"/>
        </w:rPr>
        <w:t>-</w:t>
      </w:r>
      <w:r>
        <w:rPr>
          <w:rFonts w:hint="default" w:ascii="Times New Roman" w:hAnsi="Times New Roman" w:cs="Times New Roman" w:eastAsiaTheme="minorEastAsia"/>
          <w:b/>
          <w:kern w:val="2"/>
          <w:sz w:val="24"/>
          <w:szCs w:val="24"/>
          <w:lang w:val="en-US" w:eastAsia="zh-CN"/>
        </w:rPr>
        <w:t>1</w:t>
      </w:r>
      <w:r>
        <w:rPr>
          <w:rFonts w:hint="default" w:ascii="Times New Roman" w:hAnsi="Times New Roman" w:cs="Times New Roman" w:eastAsiaTheme="minorEastAsia"/>
          <w:b/>
          <w:kern w:val="2"/>
          <w:sz w:val="24"/>
          <w:szCs w:val="24"/>
          <w:lang w:eastAsia="zh-CN"/>
        </w:rPr>
        <w:t xml:space="preserve"> 雷州市水土保持区划结果、水土流失防治需求及治理模式</w:t>
      </w:r>
    </w:p>
    <w:tbl>
      <w:tblPr>
        <w:tblStyle w:val="26"/>
        <w:tblW w:w="8693" w:type="dxa"/>
        <w:tblInd w:w="91" w:type="dxa"/>
        <w:tblLayout w:type="fixed"/>
        <w:tblCellMar>
          <w:top w:w="0" w:type="dxa"/>
          <w:left w:w="108" w:type="dxa"/>
          <w:bottom w:w="0" w:type="dxa"/>
          <w:right w:w="108" w:type="dxa"/>
        </w:tblCellMar>
      </w:tblPr>
      <w:tblGrid>
        <w:gridCol w:w="873"/>
        <w:gridCol w:w="1023"/>
        <w:gridCol w:w="971"/>
        <w:gridCol w:w="1210"/>
        <w:gridCol w:w="4616"/>
      </w:tblGrid>
      <w:tr w14:paraId="0F220B03">
        <w:tblPrEx>
          <w:tblCellMar>
            <w:top w:w="0" w:type="dxa"/>
            <w:left w:w="108" w:type="dxa"/>
            <w:bottom w:w="0" w:type="dxa"/>
            <w:right w:w="108" w:type="dxa"/>
          </w:tblCellMar>
        </w:tblPrEx>
        <w:trPr>
          <w:trHeight w:val="272" w:hRule="atLeast"/>
          <w:tblHead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FD37ACC">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国家级三级分区</w:t>
            </w:r>
          </w:p>
        </w:tc>
        <w:tc>
          <w:tcPr>
            <w:tcW w:w="1023" w:type="dxa"/>
            <w:tcBorders>
              <w:top w:val="single" w:color="auto" w:sz="4" w:space="0"/>
              <w:left w:val="nil"/>
              <w:bottom w:val="single" w:color="auto" w:sz="4" w:space="0"/>
              <w:right w:val="single" w:color="auto" w:sz="4" w:space="0"/>
            </w:tcBorders>
            <w:shd w:val="clear" w:color="auto" w:fill="auto"/>
            <w:vAlign w:val="center"/>
          </w:tcPr>
          <w:p w14:paraId="6CD22B4D">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雷州市分区名称</w:t>
            </w:r>
          </w:p>
        </w:tc>
        <w:tc>
          <w:tcPr>
            <w:tcW w:w="971" w:type="dxa"/>
            <w:tcBorders>
              <w:top w:val="single" w:color="auto" w:sz="4" w:space="0"/>
              <w:left w:val="nil"/>
              <w:bottom w:val="single" w:color="auto" w:sz="4" w:space="0"/>
              <w:right w:val="single" w:color="auto" w:sz="4" w:space="0"/>
            </w:tcBorders>
            <w:shd w:val="clear" w:color="auto" w:fill="auto"/>
            <w:noWrap/>
            <w:vAlign w:val="center"/>
          </w:tcPr>
          <w:p w14:paraId="5A6C90CF">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面积（km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w:t>
            </w:r>
          </w:p>
        </w:tc>
        <w:tc>
          <w:tcPr>
            <w:tcW w:w="1210" w:type="dxa"/>
            <w:tcBorders>
              <w:top w:val="single" w:color="auto" w:sz="4" w:space="0"/>
              <w:left w:val="nil"/>
              <w:bottom w:val="single" w:color="auto" w:sz="4" w:space="0"/>
              <w:right w:val="single" w:color="auto" w:sz="4" w:space="0"/>
            </w:tcBorders>
            <w:shd w:val="clear" w:color="auto" w:fill="auto"/>
            <w:noWrap/>
            <w:vAlign w:val="center"/>
          </w:tcPr>
          <w:p w14:paraId="643BA7A5">
            <w:pPr>
              <w:ind w:firstLine="199" w:firstLineChars="9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行政区</w:t>
            </w:r>
          </w:p>
        </w:tc>
        <w:tc>
          <w:tcPr>
            <w:tcW w:w="4616" w:type="dxa"/>
            <w:tcBorders>
              <w:top w:val="single" w:color="auto" w:sz="4" w:space="0"/>
              <w:left w:val="nil"/>
              <w:bottom w:val="single" w:color="auto" w:sz="4" w:space="0"/>
              <w:right w:val="single" w:color="auto" w:sz="4" w:space="0"/>
            </w:tcBorders>
            <w:shd w:val="clear" w:color="auto" w:fill="auto"/>
            <w:vAlign w:val="center"/>
          </w:tcPr>
          <w:p w14:paraId="0328AA24">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水土保持防治需求及治理模式</w:t>
            </w:r>
          </w:p>
        </w:tc>
      </w:tr>
      <w:tr w14:paraId="36D15D82">
        <w:tblPrEx>
          <w:tblCellMar>
            <w:top w:w="0" w:type="dxa"/>
            <w:left w:w="108" w:type="dxa"/>
            <w:bottom w:w="0" w:type="dxa"/>
            <w:right w:w="108" w:type="dxa"/>
          </w:tblCellMar>
        </w:tblPrEx>
        <w:trPr>
          <w:trHeight w:val="4140" w:hRule="atLeast"/>
        </w:trPr>
        <w:tc>
          <w:tcPr>
            <w:tcW w:w="873" w:type="dxa"/>
            <w:vMerge w:val="restart"/>
            <w:tcBorders>
              <w:top w:val="nil"/>
              <w:left w:val="single" w:color="auto" w:sz="4" w:space="0"/>
              <w:bottom w:val="single" w:color="auto" w:sz="4" w:space="0"/>
              <w:right w:val="single" w:color="auto" w:sz="4" w:space="0"/>
            </w:tcBorders>
            <w:shd w:val="clear" w:color="auto" w:fill="auto"/>
            <w:vAlign w:val="center"/>
          </w:tcPr>
          <w:p w14:paraId="5F63F97D">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华南沿海丘陵台地人居环境维护区</w:t>
            </w:r>
          </w:p>
        </w:tc>
        <w:tc>
          <w:tcPr>
            <w:tcW w:w="1023" w:type="dxa"/>
            <w:tcBorders>
              <w:top w:val="nil"/>
              <w:left w:val="nil"/>
              <w:bottom w:val="single" w:color="auto" w:sz="4" w:space="0"/>
              <w:right w:val="single" w:color="auto" w:sz="4" w:space="0"/>
            </w:tcBorders>
            <w:shd w:val="clear" w:color="auto" w:fill="auto"/>
            <w:vAlign w:val="center"/>
          </w:tcPr>
          <w:p w14:paraId="72AD0279">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北部平原人居环境保护和水源涵养区(I)</w:t>
            </w:r>
          </w:p>
        </w:tc>
        <w:tc>
          <w:tcPr>
            <w:tcW w:w="971" w:type="dxa"/>
            <w:tcBorders>
              <w:top w:val="nil"/>
              <w:left w:val="nil"/>
              <w:bottom w:val="single" w:color="auto" w:sz="4" w:space="0"/>
              <w:right w:val="single" w:color="auto" w:sz="4" w:space="0"/>
            </w:tcBorders>
            <w:shd w:val="clear" w:color="auto" w:fill="auto"/>
            <w:noWrap/>
            <w:vAlign w:val="center"/>
          </w:tcPr>
          <w:p w14:paraId="6E639B7F">
            <w:pP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1798.71</w:t>
            </w:r>
          </w:p>
        </w:tc>
        <w:tc>
          <w:tcPr>
            <w:tcW w:w="1210" w:type="dxa"/>
            <w:tcBorders>
              <w:top w:val="nil"/>
              <w:left w:val="nil"/>
              <w:bottom w:val="single" w:color="auto" w:sz="4" w:space="0"/>
              <w:right w:val="single" w:color="auto" w:sz="4" w:space="0"/>
            </w:tcBorders>
            <w:shd w:val="clear" w:color="auto" w:fill="auto"/>
            <w:vAlign w:val="center"/>
          </w:tcPr>
          <w:p w14:paraId="788CBF61">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雷城街道、</w:t>
            </w:r>
          </w:p>
          <w:p w14:paraId="1503B4C6">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新城街道、</w:t>
            </w:r>
          </w:p>
          <w:p w14:paraId="4E27628B">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西湖街道、</w:t>
            </w:r>
          </w:p>
          <w:p w14:paraId="4136791A">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白沙镇、</w:t>
            </w:r>
          </w:p>
          <w:p w14:paraId="024D256E">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附城镇、</w:t>
            </w:r>
          </w:p>
          <w:p w14:paraId="3D07B7A9">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沈塘镇、</w:t>
            </w:r>
          </w:p>
          <w:p w14:paraId="2B6B6EE1">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客路镇、</w:t>
            </w:r>
          </w:p>
          <w:p w14:paraId="76A38485">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杨家镇、</w:t>
            </w:r>
          </w:p>
          <w:p w14:paraId="427394FF">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纪家镇、</w:t>
            </w:r>
          </w:p>
          <w:p w14:paraId="4283AD2D">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松竹镇、</w:t>
            </w:r>
          </w:p>
          <w:p w14:paraId="1C09E87A">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南兴镇、</w:t>
            </w:r>
          </w:p>
          <w:p w14:paraId="70E9F78F">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雷高镇</w:t>
            </w:r>
          </w:p>
          <w:p w14:paraId="412C84B4">
            <w:pPr>
              <w:spacing w:line="240" w:lineRule="auto"/>
              <w:rPr>
                <w:rFonts w:hint="eastAsia" w:cs="Times New Roman"/>
                <w:color w:val="000000"/>
                <w:sz w:val="21"/>
                <w:szCs w:val="21"/>
                <w:lang w:eastAsia="zh-CN"/>
              </w:rPr>
            </w:pPr>
            <w:r>
              <w:rPr>
                <w:rFonts w:hint="default" w:ascii="Times New Roman" w:hAnsi="Times New Roman" w:cs="Times New Roman"/>
                <w:color w:val="000000"/>
                <w:sz w:val="21"/>
                <w:szCs w:val="21"/>
                <w:lang w:eastAsia="zh-CN"/>
              </w:rPr>
              <w:t>东里镇</w:t>
            </w:r>
            <w:r>
              <w:rPr>
                <w:rFonts w:hint="eastAsia" w:cs="Times New Roman"/>
                <w:color w:val="000000"/>
                <w:sz w:val="21"/>
                <w:szCs w:val="21"/>
                <w:lang w:eastAsia="zh-CN"/>
              </w:rPr>
              <w:t>、</w:t>
            </w:r>
          </w:p>
          <w:p w14:paraId="127BC631">
            <w:pPr>
              <w:spacing w:line="240" w:lineRule="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唐家镇和企水镇</w:t>
            </w:r>
          </w:p>
        </w:tc>
        <w:tc>
          <w:tcPr>
            <w:tcW w:w="4616" w:type="dxa"/>
            <w:tcBorders>
              <w:top w:val="nil"/>
              <w:left w:val="nil"/>
              <w:bottom w:val="single" w:color="auto" w:sz="4" w:space="0"/>
              <w:right w:val="single" w:color="auto" w:sz="4" w:space="0"/>
            </w:tcBorders>
            <w:shd w:val="clear" w:color="auto" w:fill="auto"/>
            <w:vAlign w:val="center"/>
          </w:tcPr>
          <w:p w14:paraId="5986628E">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主要防治对象：控制人为水土流失，加强城镇及城郊镇郊水土保持，林下水土流失治理模式，不同林种林相改造模式。</w:t>
            </w:r>
            <w:r>
              <w:rPr>
                <w:rFonts w:hint="default" w:ascii="Times New Roman" w:hAnsi="Times New Roman" w:cs="Times New Roman"/>
                <w:color w:val="000000"/>
                <w:sz w:val="21"/>
                <w:szCs w:val="21"/>
                <w:lang w:eastAsia="zh-CN"/>
              </w:rPr>
              <w:br w:type="textWrapping"/>
            </w:r>
            <w:r>
              <w:rPr>
                <w:rFonts w:hint="default" w:ascii="Times New Roman" w:hAnsi="Times New Roman" w:cs="Times New Roman"/>
                <w:color w:val="000000"/>
                <w:sz w:val="21"/>
                <w:szCs w:val="21"/>
                <w:lang w:eastAsia="zh-CN"/>
              </w:rPr>
              <w:t>防护需求：（1）实施重要水源地上游和生态保护区预防保护措施，维护现有植被和自然生态系统，控制面源污染。（2）加强监管，将监督管理工作放在首位，加强生产建设项目的管理，按照“谁建设，谁保护，谁造成水土流失，谁负责治理”的原则，督促开发建设单位限期进行之力，重点做好弃土弃渣的拦蓄及侵蚀劣地植被恢复。</w:t>
            </w:r>
            <w:r>
              <w:rPr>
                <w:rFonts w:hint="default" w:ascii="Times New Roman" w:hAnsi="Times New Roman" w:cs="Times New Roman"/>
                <w:color w:val="000000"/>
                <w:sz w:val="21"/>
                <w:szCs w:val="21"/>
                <w:lang w:eastAsia="zh-CN"/>
              </w:rPr>
              <w:br w:type="textWrapping"/>
            </w:r>
            <w:r>
              <w:rPr>
                <w:rFonts w:hint="default" w:ascii="Times New Roman" w:hAnsi="Times New Roman" w:cs="Times New Roman"/>
                <w:color w:val="000000"/>
                <w:sz w:val="21"/>
                <w:szCs w:val="21"/>
                <w:lang w:eastAsia="zh-CN"/>
              </w:rPr>
              <w:t>治理模式：城市水土流失治理模式，生态城镇建设模式，水源地上游生态保护区生态修复模式。</w:t>
            </w:r>
          </w:p>
        </w:tc>
      </w:tr>
      <w:tr w14:paraId="2AA1CF7A">
        <w:tblPrEx>
          <w:tblCellMar>
            <w:top w:w="0" w:type="dxa"/>
            <w:left w:w="108" w:type="dxa"/>
            <w:bottom w:w="0" w:type="dxa"/>
            <w:right w:w="108" w:type="dxa"/>
          </w:tblCellMar>
        </w:tblPrEx>
        <w:trPr>
          <w:trHeight w:val="1749" w:hRule="atLeast"/>
        </w:trPr>
        <w:tc>
          <w:tcPr>
            <w:tcW w:w="873" w:type="dxa"/>
            <w:vMerge w:val="continue"/>
            <w:tcBorders>
              <w:top w:val="nil"/>
              <w:left w:val="single" w:color="auto" w:sz="4" w:space="0"/>
              <w:bottom w:val="single" w:color="auto" w:sz="4" w:space="0"/>
              <w:right w:val="single" w:color="auto" w:sz="4" w:space="0"/>
            </w:tcBorders>
            <w:vAlign w:val="center"/>
          </w:tcPr>
          <w:p w14:paraId="5F01C857">
            <w:pPr>
              <w:ind w:firstLine="420"/>
              <w:rPr>
                <w:rFonts w:hint="default" w:ascii="Times New Roman" w:hAnsi="Times New Roman" w:cs="Times New Roman"/>
                <w:color w:val="000000"/>
                <w:sz w:val="21"/>
                <w:szCs w:val="21"/>
                <w:lang w:eastAsia="zh-CN"/>
              </w:rPr>
            </w:pPr>
          </w:p>
        </w:tc>
        <w:tc>
          <w:tcPr>
            <w:tcW w:w="1023" w:type="dxa"/>
            <w:tcBorders>
              <w:top w:val="nil"/>
              <w:left w:val="nil"/>
              <w:bottom w:val="single" w:color="auto" w:sz="4" w:space="0"/>
              <w:right w:val="single" w:color="auto" w:sz="4" w:space="0"/>
            </w:tcBorders>
            <w:shd w:val="clear" w:color="auto" w:fill="auto"/>
            <w:vAlign w:val="center"/>
          </w:tcPr>
          <w:p w14:paraId="66A7729A">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南部台地农田</w:t>
            </w:r>
            <w:r>
              <w:rPr>
                <w:rFonts w:hint="eastAsia" w:cs="Times New Roman"/>
                <w:color w:val="000000"/>
                <w:sz w:val="21"/>
                <w:szCs w:val="21"/>
                <w:lang w:val="en-US" w:eastAsia="zh-CN"/>
              </w:rPr>
              <w:t>防护</w:t>
            </w:r>
            <w:r>
              <w:rPr>
                <w:rFonts w:hint="default" w:ascii="Times New Roman" w:hAnsi="Times New Roman" w:cs="Times New Roman"/>
                <w:color w:val="000000"/>
                <w:sz w:val="21"/>
                <w:szCs w:val="21"/>
                <w:lang w:eastAsia="zh-CN"/>
              </w:rPr>
              <w:t>和生态维护区（II)</w:t>
            </w:r>
          </w:p>
        </w:tc>
        <w:tc>
          <w:tcPr>
            <w:tcW w:w="971" w:type="dxa"/>
            <w:tcBorders>
              <w:top w:val="nil"/>
              <w:left w:val="nil"/>
              <w:bottom w:val="single" w:color="auto" w:sz="4" w:space="0"/>
              <w:right w:val="single" w:color="auto" w:sz="4" w:space="0"/>
            </w:tcBorders>
            <w:shd w:val="clear" w:color="auto" w:fill="auto"/>
            <w:noWrap/>
            <w:vAlign w:val="center"/>
          </w:tcPr>
          <w:p w14:paraId="452101DE">
            <w:pP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1226.29</w:t>
            </w:r>
          </w:p>
        </w:tc>
        <w:tc>
          <w:tcPr>
            <w:tcW w:w="1210" w:type="dxa"/>
            <w:tcBorders>
              <w:top w:val="nil"/>
              <w:left w:val="nil"/>
              <w:bottom w:val="single" w:color="auto" w:sz="4" w:space="0"/>
              <w:right w:val="single" w:color="auto" w:sz="4" w:space="0"/>
            </w:tcBorders>
            <w:shd w:val="clear" w:color="auto" w:fill="auto"/>
            <w:vAlign w:val="center"/>
          </w:tcPr>
          <w:p w14:paraId="28CBBCE1">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北和镇、</w:t>
            </w:r>
          </w:p>
          <w:p w14:paraId="41F54C35">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乌石镇、</w:t>
            </w:r>
          </w:p>
          <w:p w14:paraId="1A07B666">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覃斗镇、</w:t>
            </w:r>
          </w:p>
          <w:p w14:paraId="5E0E51C9">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龙门镇、</w:t>
            </w:r>
          </w:p>
          <w:p w14:paraId="4ACADFB4">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调风镇</w:t>
            </w:r>
          </w:p>
          <w:p w14:paraId="4F07D894">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和英利镇</w:t>
            </w:r>
          </w:p>
        </w:tc>
        <w:tc>
          <w:tcPr>
            <w:tcW w:w="4616" w:type="dxa"/>
            <w:tcBorders>
              <w:top w:val="nil"/>
              <w:left w:val="nil"/>
              <w:bottom w:val="single" w:color="auto" w:sz="4" w:space="0"/>
              <w:right w:val="single" w:color="auto" w:sz="4" w:space="0"/>
            </w:tcBorders>
            <w:shd w:val="clear" w:color="auto" w:fill="auto"/>
            <w:vAlign w:val="center"/>
          </w:tcPr>
          <w:p w14:paraId="07DC9B09">
            <w:pPr>
              <w:spacing w:line="24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主要防治对象：控制人为水土流失，加强山丘自然水土流失治理。实施生态清洁型治理。</w:t>
            </w:r>
            <w:r>
              <w:rPr>
                <w:rFonts w:hint="default" w:ascii="Times New Roman" w:hAnsi="Times New Roman" w:cs="Times New Roman"/>
                <w:color w:val="000000"/>
                <w:sz w:val="21"/>
                <w:szCs w:val="21"/>
                <w:lang w:eastAsia="zh-CN"/>
              </w:rPr>
              <w:br w:type="textWrapping"/>
            </w:r>
            <w:r>
              <w:rPr>
                <w:rFonts w:hint="default" w:ascii="Times New Roman" w:hAnsi="Times New Roman" w:cs="Times New Roman"/>
                <w:color w:val="000000"/>
                <w:sz w:val="21"/>
                <w:szCs w:val="21"/>
                <w:lang w:eastAsia="zh-CN"/>
              </w:rPr>
              <w:t>防护需求：（1）以解决生活和生产用水为重点和核心，提高群众生活，生产水平，减轻对新柴、木材的依赖需求，加强田间、地头、宅旁、路边等一切有利于雨水积蓄利用的条件，修建和维护蓄水池、水窖，充分利用雨水资源，保证灌溉。（2）实施水土保持型生态农业建设，建设良性生态经济系统中心，以水土保持为手段，形成高效的农业生态系统。（3）对河流发源地和饮用水源地做好封山育林，改善林木结构，保证生物多样性，（4）对河口区的沟岸坍塌采取抛石护底，浆砌石堤，防治水土流失保护农田村庄。  治理模式：水土保持型生态农业治理模式，不同林种林相改造模式，小型水土保持工程治理模式。</w:t>
            </w:r>
          </w:p>
        </w:tc>
      </w:tr>
    </w:tbl>
    <w:p w14:paraId="2E726B7F">
      <w:pPr>
        <w:spacing w:line="240" w:lineRule="auto"/>
        <w:rPr>
          <w:rFonts w:hint="default" w:ascii="Times New Roman" w:hAnsi="Times New Roman" w:cs="Times New Roman"/>
          <w:lang w:eastAsia="zh-CN"/>
        </w:rPr>
        <w:sectPr>
          <w:footerReference r:id="rId13" w:type="default"/>
          <w:pgSz w:w="11907" w:h="16840"/>
          <w:pgMar w:top="1418" w:right="1588" w:bottom="1418" w:left="1985" w:header="851" w:footer="992" w:gutter="0"/>
          <w:cols w:space="425" w:num="1"/>
          <w:docGrid w:linePitch="312" w:charSpace="0"/>
        </w:sectPr>
      </w:pPr>
    </w:p>
    <w:p w14:paraId="1961205E">
      <w:pPr>
        <w:pStyle w:val="6"/>
        <w:numPr>
          <w:ilvl w:val="0"/>
          <w:numId w:val="5"/>
        </w:numPr>
        <w:spacing w:before="120" w:beforeLines="50" w:after="120" w:afterLines="50"/>
        <w:ind w:left="0" w:hanging="357"/>
        <w:rPr>
          <w:rFonts w:hint="default" w:ascii="Times New Roman" w:hAnsi="Times New Roman" w:cs="Times New Roman"/>
          <w:sz w:val="30"/>
          <w:szCs w:val="30"/>
        </w:rPr>
      </w:pPr>
      <w:bookmarkStart w:id="94" w:name="_Toc5389"/>
      <w:r>
        <w:rPr>
          <w:rFonts w:hint="default" w:ascii="Times New Roman" w:hAnsi="Times New Roman" w:cs="Times New Roman"/>
          <w:sz w:val="30"/>
          <w:szCs w:val="30"/>
        </w:rPr>
        <w:t>分区概述</w:t>
      </w:r>
      <w:bookmarkEnd w:id="94"/>
    </w:p>
    <w:p w14:paraId="5E0B752B">
      <w:pPr>
        <w:pStyle w:val="7"/>
        <w:numPr>
          <w:ilvl w:val="0"/>
          <w:numId w:val="0"/>
        </w:numPr>
        <w:spacing w:before="120" w:beforeLines="50" w:beforeAutospacing="0" w:after="0" w:afterAutospacing="0"/>
        <w:rPr>
          <w:rFonts w:hint="default" w:ascii="Times New Roman" w:hAnsi="Times New Roman" w:cs="Times New Roman"/>
          <w:lang w:eastAsia="zh-CN"/>
        </w:rPr>
      </w:pPr>
      <w:bookmarkStart w:id="95" w:name="_Toc27037"/>
      <w:r>
        <w:rPr>
          <w:rFonts w:hint="default" w:ascii="Times New Roman" w:hAnsi="Times New Roman" w:cs="Times New Roman"/>
          <w:lang w:eastAsia="zh-CN"/>
        </w:rPr>
        <w:t>5.1北部平原人居环境保护和水源涵养区(I)</w:t>
      </w:r>
      <w:bookmarkEnd w:id="95"/>
    </w:p>
    <w:p w14:paraId="7FB449D9">
      <w:pPr>
        <w:ind w:firstLine="480"/>
        <w:rPr>
          <w:rFonts w:hint="default" w:ascii="Times New Roman" w:hAnsi="Times New Roman" w:cs="Times New Roman"/>
          <w:lang w:eastAsia="zh-CN"/>
        </w:rPr>
      </w:pPr>
      <w:r>
        <w:rPr>
          <w:rFonts w:hint="default" w:ascii="Times New Roman" w:hAnsi="Times New Roman" w:cs="Times New Roman"/>
          <w:lang w:eastAsia="zh-CN"/>
        </w:rPr>
        <w:t>该区位于雷州市北部，土地面积1798.71km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，占全市土地总面积的</w:t>
      </w:r>
      <w:r>
        <w:rPr>
          <w:rFonts w:hint="eastAsia" w:cs="Times New Roman"/>
          <w:lang w:val="en-US" w:eastAsia="zh-CN"/>
        </w:rPr>
        <w:t>59.46</w:t>
      </w:r>
      <w:r>
        <w:rPr>
          <w:rFonts w:hint="default" w:ascii="Times New Roman" w:hAnsi="Times New Roman" w:cs="Times New Roman"/>
          <w:lang w:eastAsia="zh-CN"/>
        </w:rPr>
        <w:t>%，本区地貌以低缓平原为主，区域海拔多在2.4m-47m之间，坡度较小，地势起伏和缓，适宜于大片机耕开垦种植。</w:t>
      </w:r>
    </w:p>
    <w:p w14:paraId="300A70B2">
      <w:pPr>
        <w:ind w:firstLine="480"/>
        <w:rPr>
          <w:rFonts w:hint="default" w:ascii="Times New Roman" w:hAnsi="Times New Roman" w:cs="Times New Roman"/>
          <w:lang w:eastAsia="zh-CN"/>
        </w:rPr>
      </w:pPr>
      <w:r>
        <w:rPr>
          <w:rFonts w:hint="default" w:ascii="Times New Roman" w:hAnsi="Times New Roman" w:cs="Times New Roman"/>
          <w:lang w:eastAsia="zh-CN"/>
        </w:rPr>
        <w:t>本区域包括雷城街道、新城街道、西湖街道、白沙镇、附城镇、沈塘镇、客路镇、杨家镇、纪家镇、松竹镇、南兴镇、雷高镇</w:t>
      </w:r>
      <w:r>
        <w:rPr>
          <w:rFonts w:hint="eastAsia" w:cs="Times New Roman"/>
          <w:lang w:eastAsia="zh-CN"/>
        </w:rPr>
        <w:t>、</w:t>
      </w:r>
      <w:r>
        <w:rPr>
          <w:rFonts w:hint="default" w:ascii="Times New Roman" w:hAnsi="Times New Roman" w:cs="Times New Roman"/>
          <w:lang w:eastAsia="zh-CN"/>
        </w:rPr>
        <w:t>东里镇</w:t>
      </w:r>
      <w:r>
        <w:rPr>
          <w:rFonts w:hint="eastAsia" w:cs="Times New Roman"/>
          <w:lang w:eastAsia="zh-CN"/>
        </w:rPr>
        <w:t>、</w:t>
      </w:r>
      <w:r>
        <w:rPr>
          <w:rFonts w:hint="default" w:ascii="Times New Roman" w:hAnsi="Times New Roman" w:cs="Times New Roman"/>
          <w:lang w:eastAsia="zh-CN"/>
        </w:rPr>
        <w:t>唐家镇和企水镇等1</w:t>
      </w:r>
      <w:r>
        <w:rPr>
          <w:rFonts w:hint="eastAsia" w:cs="Times New Roman"/>
          <w:lang w:val="en-US" w:eastAsia="zh-CN"/>
        </w:rPr>
        <w:t>5</w:t>
      </w:r>
      <w:r>
        <w:rPr>
          <w:rFonts w:hint="default" w:ascii="Times New Roman" w:hAnsi="Times New Roman" w:cs="Times New Roman"/>
          <w:lang w:eastAsia="zh-CN"/>
        </w:rPr>
        <w:t>个街镇。</w:t>
      </w:r>
    </w:p>
    <w:p w14:paraId="11F04A9B">
      <w:pPr>
        <w:ind w:firstLine="480"/>
        <w:rPr>
          <w:rFonts w:hint="default" w:ascii="Times New Roman" w:hAnsi="Times New Roman" w:cs="Times New Roman"/>
          <w:lang w:eastAsia="zh-CN"/>
        </w:rPr>
      </w:pPr>
      <w:r>
        <w:rPr>
          <w:rFonts w:hint="default" w:ascii="Times New Roman" w:hAnsi="Times New Roman" w:cs="Times New Roman"/>
          <w:lang w:eastAsia="zh-CN"/>
        </w:rPr>
        <w:t>雷城街道、新城街道、西湖街道和附城镇为雷州市域中心，其中雷城街道是雷州市委、市政府的所在地，是全市政治、经济、文化和交通中心，人口密度大，经济繁荣。南渡河为雷州半岛最大的河流，流域面积1444平方公里，除40平方公里属遂溪县外，其余均在雷州市境内，流经雷州北部9个镇区，流域面积占雷州市面积的40.8%。南渡河中下游的东西洋田，是雷州市的最大平原，盛产优质稻谷，有“雷州粮仓”的美誉。</w:t>
      </w:r>
    </w:p>
    <w:p w14:paraId="7CE1BFCB">
      <w:pPr>
        <w:ind w:firstLine="480"/>
        <w:rPr>
          <w:rFonts w:hint="default" w:ascii="Times New Roman" w:hAnsi="Times New Roman" w:cs="Times New Roman"/>
          <w:lang w:eastAsia="zh-CN"/>
        </w:rPr>
      </w:pPr>
      <w:r>
        <w:rPr>
          <w:rFonts w:hint="default" w:ascii="Times New Roman" w:hAnsi="Times New Roman" w:cs="Times New Roman"/>
          <w:lang w:eastAsia="zh-CN"/>
        </w:rPr>
        <w:t>本区人口密集，建设用地比重大，土地开发程度高，区内林草面积（含园地）约</w:t>
      </w:r>
      <w:r>
        <w:rPr>
          <w:rFonts w:hint="eastAsia" w:cs="Times New Roman"/>
          <w:lang w:val="en-US" w:eastAsia="zh-CN"/>
        </w:rPr>
        <w:t>833.24</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，占该区面积的4</w:t>
      </w:r>
      <w:r>
        <w:rPr>
          <w:rFonts w:hint="eastAsia" w:cs="Times New Roman"/>
          <w:lang w:val="en-US" w:eastAsia="zh-CN"/>
        </w:rPr>
        <w:t>6.32</w:t>
      </w:r>
      <w:r>
        <w:rPr>
          <w:rFonts w:hint="default" w:ascii="Times New Roman" w:hAnsi="Times New Roman" w:cs="Times New Roman"/>
          <w:lang w:eastAsia="zh-CN"/>
        </w:rPr>
        <w:t>%，</w:t>
      </w:r>
      <w:r>
        <w:rPr>
          <w:rFonts w:hint="eastAsia" w:cs="Times New Roman"/>
          <w:lang w:val="en-US" w:eastAsia="zh-CN"/>
        </w:rPr>
        <w:t>其中</w:t>
      </w:r>
      <w:r>
        <w:rPr>
          <w:rFonts w:hint="default" w:ascii="Times New Roman" w:hAnsi="Times New Roman" w:cs="Times New Roman"/>
          <w:lang w:eastAsia="zh-CN"/>
        </w:rPr>
        <w:t>该区区域地势平坦，交通便利，经济发展较快，城镇化率较高，城市中心周边修建了各种公园设施。</w:t>
      </w:r>
    </w:p>
    <w:p w14:paraId="1084A3E2">
      <w:pPr>
        <w:spacing w:line="360" w:lineRule="auto"/>
        <w:ind w:firstLine="480" w:firstLineChars="200"/>
        <w:rPr>
          <w:rFonts w:hint="default" w:ascii="Times New Roman" w:hAnsi="Times New Roman" w:cs="Times New Roman"/>
          <w:color w:val="0000FF"/>
        </w:rPr>
      </w:pPr>
      <w:r>
        <w:rPr>
          <w:rFonts w:hint="default" w:ascii="Times New Roman" w:hAnsi="Times New Roman" w:cs="Times New Roman"/>
          <w:color w:val="auto"/>
        </w:rPr>
        <w:t>本区水土流失面积共计</w:t>
      </w:r>
      <w:r>
        <w:rPr>
          <w:rFonts w:hint="eastAsia" w:cs="Times New Roman"/>
          <w:color w:val="auto"/>
          <w:lang w:val="en-US" w:eastAsia="zh-CN"/>
        </w:rPr>
        <w:t>46.31</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，其中轻度水土流失面积为</w:t>
      </w:r>
      <w:r>
        <w:rPr>
          <w:rFonts w:hint="eastAsia" w:cs="Times New Roman"/>
          <w:color w:val="auto"/>
          <w:lang w:val="en-US" w:eastAsia="zh-CN"/>
        </w:rPr>
        <w:t>44.17</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，轻度以上水土流失面积</w:t>
      </w:r>
      <w:r>
        <w:rPr>
          <w:rFonts w:hint="eastAsia" w:cs="Times New Roman"/>
          <w:color w:val="auto"/>
          <w:lang w:val="en-US" w:eastAsia="zh-CN"/>
        </w:rPr>
        <w:t>2.14</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。该区水土流失面积占全县水土流失面积的</w:t>
      </w:r>
      <w:r>
        <w:rPr>
          <w:rFonts w:hint="eastAsia" w:cs="Times New Roman"/>
          <w:color w:val="auto"/>
          <w:lang w:val="en-US" w:eastAsia="zh-CN"/>
        </w:rPr>
        <w:t>48.18</w:t>
      </w:r>
      <w:r>
        <w:rPr>
          <w:rFonts w:hint="default" w:ascii="Times New Roman" w:hAnsi="Times New Roman" w:cs="Times New Roman"/>
          <w:color w:val="auto"/>
        </w:rPr>
        <w:t>%，占</w:t>
      </w:r>
      <w:r>
        <w:rPr>
          <w:rFonts w:hint="default" w:ascii="Times New Roman" w:hAnsi="Times New Roman" w:cs="Times New Roman"/>
          <w:color w:val="auto"/>
          <w:lang w:val="en-US" w:eastAsia="zh-CN"/>
        </w:rPr>
        <w:t>全县土地</w:t>
      </w:r>
      <w:r>
        <w:rPr>
          <w:rFonts w:hint="default" w:ascii="Times New Roman" w:hAnsi="Times New Roman" w:cs="Times New Roman"/>
          <w:color w:val="auto"/>
        </w:rPr>
        <w:t>面积的</w:t>
      </w:r>
      <w:r>
        <w:rPr>
          <w:rFonts w:hint="default" w:ascii="Times New Roman" w:hAnsi="Times New Roman" w:cs="Times New Roman"/>
          <w:color w:val="auto"/>
          <w:lang w:val="en-US" w:eastAsia="zh-CN"/>
        </w:rPr>
        <w:t>1.</w:t>
      </w:r>
      <w:r>
        <w:rPr>
          <w:rFonts w:hint="eastAsia" w:cs="Times New Roman"/>
          <w:color w:val="auto"/>
          <w:lang w:val="en-US" w:eastAsia="zh-CN"/>
        </w:rPr>
        <w:t>53</w:t>
      </w:r>
      <w:r>
        <w:rPr>
          <w:rFonts w:hint="default" w:ascii="Times New Roman" w:hAnsi="Times New Roman" w:cs="Times New Roman"/>
          <w:color w:val="auto"/>
        </w:rPr>
        <w:t>%。总体上，区域内水土流失属于轻度，占本区水土流失面积的9</w:t>
      </w:r>
      <w:r>
        <w:rPr>
          <w:rFonts w:hint="default" w:ascii="Times New Roman" w:hAnsi="Times New Roman" w:cs="Times New Roman"/>
          <w:color w:val="auto"/>
          <w:lang w:val="en-US" w:eastAsia="zh-CN"/>
        </w:rPr>
        <w:t>5.</w:t>
      </w:r>
      <w:r>
        <w:rPr>
          <w:rFonts w:hint="eastAsia" w:cs="Times New Roman"/>
          <w:color w:val="auto"/>
          <w:lang w:val="en-US" w:eastAsia="zh-CN"/>
        </w:rPr>
        <w:t>38</w:t>
      </w:r>
      <w:r>
        <w:rPr>
          <w:rFonts w:hint="default" w:ascii="Times New Roman" w:hAnsi="Times New Roman" w:cs="Times New Roman"/>
          <w:color w:val="auto"/>
        </w:rPr>
        <w:t>%，其中城市扩张、开发区建设和修路及其造成的侵蚀劣地等城市化建设是本区引发土壤侵蚀的重要原因。</w:t>
      </w:r>
    </w:p>
    <w:p w14:paraId="52CA78B2">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本区交通便利，经济较为发达，全县大部分的商业都集中在该区，是全市工业用地最多的地区。该区域的土地利用导向是调整工业用地和城镇用地的空间布局，整合分散的工业园，提高土地利用率和产出效率。</w:t>
      </w:r>
    </w:p>
    <w:p w14:paraId="11A5812F">
      <w:pPr>
        <w:spacing w:line="360" w:lineRule="auto"/>
        <w:ind w:firstLine="480" w:firstLineChars="200"/>
        <w:rPr>
          <w:rFonts w:hint="default" w:ascii="Times New Roman" w:hAnsi="Times New Roman" w:cs="Times New Roman"/>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雷州市国土空间总体规划（2021—2035年）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雷州市市中心包括：雷城街道、西湖街道、新城街道、白沙镇、附城镇、沈塘镇，总面积349.10平方公里。</w:t>
      </w:r>
      <w:r>
        <w:rPr>
          <w:rFonts w:hint="default" w:ascii="Times New Roman" w:hAnsi="Times New Roman" w:cs="Times New Roman"/>
          <w:color w:val="auto"/>
          <w:lang w:val="en-US" w:eastAsia="zh-CN"/>
        </w:rPr>
        <w:t>短</w:t>
      </w:r>
      <w:r>
        <w:rPr>
          <w:rFonts w:hint="default" w:ascii="Times New Roman" w:hAnsi="Times New Roman" w:cs="Times New Roman"/>
          <w:lang w:val="en-US" w:eastAsia="zh-CN"/>
        </w:rPr>
        <w:t>期规划目标中心城区人口和产业承载能力不断提高，城市发展能级和功能品质全面提升</w:t>
      </w:r>
      <w:r>
        <w:rPr>
          <w:rFonts w:hint="default" w:ascii="Times New Roman" w:hAnsi="Times New Roman" w:cs="Times New Roman"/>
          <w:highlight w:val="none"/>
          <w:lang w:eastAsia="zh-CN"/>
        </w:rPr>
        <w:t>，</w:t>
      </w:r>
      <w:r>
        <w:rPr>
          <w:rFonts w:hint="default" w:ascii="Times New Roman" w:hAnsi="Times New Roman" w:cs="Times New Roman"/>
        </w:rPr>
        <w:t>该区的划分与雷州市的城市的发展规划相适应。</w:t>
      </w:r>
    </w:p>
    <w:p w14:paraId="2B2DEADC">
      <w:pPr>
        <w:spacing w:line="360" w:lineRule="auto"/>
        <w:ind w:firstLine="480" w:firstLineChars="200"/>
        <w:rPr>
          <w:rFonts w:hint="default" w:ascii="Times New Roman" w:hAnsi="Times New Roman" w:cs="Times New Roman"/>
        </w:rPr>
      </w:pPr>
      <w:r>
        <w:rPr>
          <w:rFonts w:hint="default" w:ascii="Times New Roman" w:hAnsi="Times New Roman" w:cs="Times New Roman"/>
        </w:rPr>
        <w:t>雷州经济应结合城市规划确定的城市功能和空间布局，根据区内各城镇地形地貌和水土流失的危害特点，依据区划定位，确定主要防治对象为：控制人为水土流失，加强城镇及城郊水土保持，实施生态清洁型治理。</w:t>
      </w:r>
    </w:p>
    <w:p w14:paraId="78440799">
      <w:pPr>
        <w:spacing w:line="360" w:lineRule="auto"/>
        <w:ind w:firstLine="480" w:firstLineChars="200"/>
        <w:rPr>
          <w:rFonts w:hint="default" w:ascii="Times New Roman" w:hAnsi="Times New Roman" w:cs="Times New Roman"/>
        </w:rPr>
      </w:pPr>
      <w:r>
        <w:rPr>
          <w:rFonts w:hint="default" w:ascii="Times New Roman" w:hAnsi="Times New Roman" w:cs="Times New Roman"/>
        </w:rPr>
        <w:t>本区防治需求：（1）加强监管，将监督管理工作放在首位，加强生产建设项目的管理，按照“谁建设，谁保护，谁造成水土流失，谁负责治理”的原则，督促开发建设单位限期进行治理，重点做好弃土弃渣的拦蓄及侵蚀劣地植被恢复。（2）对南渡河上游区域和雷州运河西运河重要水源地上游和生态保护区预防保护措施，维护现有植被和自然生态系统，控制面源污染。</w:t>
      </w:r>
    </w:p>
    <w:p w14:paraId="09D80D2C">
      <w:pPr>
        <w:pStyle w:val="7"/>
        <w:numPr>
          <w:ilvl w:val="0"/>
          <w:numId w:val="0"/>
        </w:numPr>
        <w:spacing w:before="120" w:beforeLines="50" w:beforeAutospacing="0" w:after="0" w:afterAutospacing="0"/>
        <w:rPr>
          <w:rFonts w:hint="default" w:ascii="Times New Roman" w:hAnsi="Times New Roman" w:cs="Times New Roman"/>
          <w:lang w:eastAsia="zh-CN"/>
        </w:rPr>
      </w:pPr>
      <w:bookmarkStart w:id="96" w:name="_Toc19234"/>
      <w:r>
        <w:rPr>
          <w:rFonts w:hint="default" w:ascii="Times New Roman" w:hAnsi="Times New Roman" w:cs="Times New Roman"/>
          <w:lang w:eastAsia="zh-CN"/>
        </w:rPr>
        <w:t>5.2南部台地农田</w:t>
      </w:r>
      <w:r>
        <w:rPr>
          <w:rFonts w:hint="eastAsia" w:cs="Times New Roman"/>
          <w:lang w:val="en-US" w:eastAsia="zh-CN"/>
        </w:rPr>
        <w:t>防</w:t>
      </w:r>
      <w:r>
        <w:rPr>
          <w:rFonts w:hint="default" w:ascii="Times New Roman" w:hAnsi="Times New Roman" w:cs="Times New Roman"/>
          <w:lang w:eastAsia="zh-CN"/>
        </w:rPr>
        <w:t>护和生态维护区（II）</w:t>
      </w:r>
      <w:bookmarkEnd w:id="96"/>
    </w:p>
    <w:p w14:paraId="0A2D06E1">
      <w:pPr>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该区位于雷州市南部，土地面积</w:t>
      </w:r>
      <w:r>
        <w:rPr>
          <w:rFonts w:hint="eastAsia" w:cs="Times New Roman"/>
          <w:sz w:val="24"/>
          <w:szCs w:val="24"/>
          <w:lang w:val="en-US" w:eastAsia="zh-CN"/>
        </w:rPr>
        <w:t>1226.29</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，占全市土地面积的</w:t>
      </w:r>
      <w:r>
        <w:rPr>
          <w:rFonts w:hint="eastAsia" w:cs="Times New Roman"/>
          <w:sz w:val="24"/>
          <w:szCs w:val="24"/>
          <w:lang w:val="en-US" w:eastAsia="zh-CN"/>
        </w:rPr>
        <w:t>40.54</w:t>
      </w:r>
      <w:r>
        <w:rPr>
          <w:rFonts w:hint="default" w:ascii="Times New Roman" w:hAnsi="Times New Roman" w:cs="Times New Roman"/>
          <w:sz w:val="24"/>
          <w:szCs w:val="24"/>
          <w:lang w:eastAsia="zh-CN"/>
        </w:rPr>
        <w:t>%。该区地势起伏较大，海拔在5-259m，东西两侧临海区域海拔较低，最低处达到5m，河流从两侧入海，形成地势平缓的冲积平原。全市海拔最高的位于石卯岭海拔259米，位于调风和英利两镇的交界处。除去几座较高的山外，海拔基本在50m左右，坡度一般5-10。</w:t>
      </w:r>
    </w:p>
    <w:p w14:paraId="406007D2">
      <w:pPr>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本区域包括北和镇、乌石镇、覃斗镇、龙门镇、调风镇和英利镇</w:t>
      </w:r>
      <w:r>
        <w:rPr>
          <w:rFonts w:hint="eastAsia" w:cs="Times New Roman"/>
          <w:sz w:val="24"/>
          <w:szCs w:val="24"/>
          <w:lang w:val="en-US" w:eastAsia="zh-CN"/>
        </w:rPr>
        <w:t>6</w:t>
      </w:r>
      <w:r>
        <w:rPr>
          <w:rFonts w:hint="default" w:ascii="Times New Roman" w:hAnsi="Times New Roman" w:cs="Times New Roman"/>
          <w:sz w:val="24"/>
          <w:szCs w:val="24"/>
          <w:lang w:eastAsia="zh-CN"/>
        </w:rPr>
        <w:t>个镇。这个区域以农林业和渔业为主。东西两侧的沿海镇区北和镇、乌石镇和覃斗镇以渔业为主，调风镇</w:t>
      </w:r>
      <w:r>
        <w:rPr>
          <w:rFonts w:hint="eastAsia" w:cs="Times New Roman"/>
          <w:sz w:val="24"/>
          <w:szCs w:val="24"/>
          <w:lang w:val="en-US" w:eastAsia="zh-CN"/>
        </w:rPr>
        <w:t>、</w:t>
      </w:r>
      <w:r>
        <w:rPr>
          <w:rFonts w:hint="default" w:ascii="Times New Roman" w:hAnsi="Times New Roman" w:cs="Times New Roman"/>
          <w:sz w:val="24"/>
          <w:szCs w:val="24"/>
          <w:lang w:eastAsia="zh-CN"/>
        </w:rPr>
        <w:t>龙门镇、英利镇以农业为主。</w:t>
      </w:r>
    </w:p>
    <w:p w14:paraId="0FF2E2C1">
      <w:pPr>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区内耕地面积</w:t>
      </w:r>
      <w:r>
        <w:rPr>
          <w:rFonts w:hint="eastAsia" w:cs="Times New Roman"/>
          <w:sz w:val="24"/>
          <w:szCs w:val="24"/>
          <w:lang w:val="en-US" w:eastAsia="zh-CN"/>
        </w:rPr>
        <w:t>561.27</w:t>
      </w:r>
      <w:r>
        <w:rPr>
          <w:rFonts w:hint="default" w:ascii="Times New Roman" w:hAnsi="Times New Roman" w:cs="Times New Roman"/>
          <w:sz w:val="24"/>
          <w:szCs w:val="24"/>
          <w:lang w:eastAsia="zh-CN"/>
        </w:rPr>
        <w:t>hm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，占该区域面积的45.</w:t>
      </w:r>
      <w:r>
        <w:rPr>
          <w:rFonts w:hint="eastAsia" w:cs="Times New Roman"/>
          <w:sz w:val="24"/>
          <w:szCs w:val="24"/>
          <w:lang w:val="en-US" w:eastAsia="zh-CN"/>
        </w:rPr>
        <w:t>89</w:t>
      </w:r>
      <w:r>
        <w:rPr>
          <w:rFonts w:hint="default" w:ascii="Times New Roman" w:hAnsi="Times New Roman" w:cs="Times New Roman"/>
          <w:sz w:val="24"/>
          <w:szCs w:val="24"/>
          <w:lang w:eastAsia="zh-CN"/>
        </w:rPr>
        <w:t>%；区内林草面积（含园地）约</w:t>
      </w:r>
      <w:r>
        <w:rPr>
          <w:rFonts w:hint="eastAsia" w:cs="Times New Roman"/>
          <w:sz w:val="24"/>
          <w:szCs w:val="24"/>
          <w:lang w:val="en-US" w:eastAsia="zh-CN"/>
        </w:rPr>
        <w:t>594.26</w:t>
      </w:r>
      <w:r>
        <w:rPr>
          <w:rFonts w:hint="default" w:ascii="Times New Roman" w:hAnsi="Times New Roman" w:cs="Times New Roman"/>
          <w:sz w:val="24"/>
          <w:szCs w:val="24"/>
          <w:lang w:eastAsia="zh-CN"/>
        </w:rPr>
        <w:t>km</w:t>
      </w:r>
      <w:r>
        <w:rPr>
          <w:rFonts w:hint="default" w:ascii="Times New Roman" w:hAnsi="Times New Roman" w:cs="Times New Roman"/>
          <w:sz w:val="24"/>
          <w:szCs w:val="24"/>
          <w:vertAlign w:val="superscript"/>
          <w:lang w:eastAsia="zh-CN"/>
        </w:rPr>
        <w:t>2</w:t>
      </w:r>
      <w:r>
        <w:rPr>
          <w:rFonts w:hint="default" w:ascii="Times New Roman" w:hAnsi="Times New Roman" w:cs="Times New Roman"/>
          <w:sz w:val="24"/>
          <w:szCs w:val="24"/>
          <w:lang w:eastAsia="zh-CN"/>
        </w:rPr>
        <w:t>，占该区面积的</w:t>
      </w:r>
      <w:r>
        <w:rPr>
          <w:rFonts w:hint="eastAsia" w:cs="Times New Roman"/>
          <w:sz w:val="24"/>
          <w:szCs w:val="24"/>
          <w:lang w:val="en-US" w:eastAsia="zh-CN"/>
        </w:rPr>
        <w:t>48.46</w:t>
      </w:r>
      <w:r>
        <w:rPr>
          <w:rFonts w:hint="default" w:ascii="Times New Roman" w:hAnsi="Times New Roman" w:cs="Times New Roman"/>
          <w:sz w:val="24"/>
          <w:szCs w:val="24"/>
          <w:lang w:eastAsia="zh-CN"/>
        </w:rPr>
        <w:t>%，龙门镇的林地面积很大，以经济林业为主。</w:t>
      </w:r>
    </w:p>
    <w:p w14:paraId="578DD0E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本区水土流失面积共计</w:t>
      </w:r>
      <w:r>
        <w:rPr>
          <w:rFonts w:hint="eastAsia" w:cs="Times New Roman"/>
          <w:color w:val="auto"/>
          <w:sz w:val="24"/>
          <w:szCs w:val="24"/>
          <w:lang w:val="en-US" w:eastAsia="zh-CN"/>
        </w:rPr>
        <w:t>49.81</w:t>
      </w:r>
      <w:r>
        <w:rPr>
          <w:rFonts w:hint="default" w:ascii="Times New Roman" w:hAnsi="Times New Roman" w:cs="Times New Roman"/>
          <w:color w:val="auto"/>
          <w:sz w:val="24"/>
          <w:szCs w:val="24"/>
        </w:rPr>
        <w:t>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，其中轻度水土流失面积为</w:t>
      </w:r>
      <w:r>
        <w:rPr>
          <w:rFonts w:hint="eastAsia" w:cs="Times New Roman"/>
          <w:color w:val="auto"/>
          <w:sz w:val="24"/>
          <w:szCs w:val="24"/>
          <w:lang w:val="en-US" w:eastAsia="zh-CN"/>
        </w:rPr>
        <w:t>47.12</w:t>
      </w:r>
      <w:r>
        <w:rPr>
          <w:rFonts w:hint="default" w:ascii="Times New Roman" w:hAnsi="Times New Roman" w:cs="Times New Roman"/>
          <w:color w:val="auto"/>
          <w:sz w:val="24"/>
          <w:szCs w:val="24"/>
        </w:rPr>
        <w:t>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，轻度以上水土流失面积</w:t>
      </w:r>
      <w:r>
        <w:rPr>
          <w:rFonts w:hint="eastAsia" w:cs="Times New Roman"/>
          <w:color w:val="auto"/>
          <w:sz w:val="24"/>
          <w:szCs w:val="24"/>
          <w:lang w:val="en-US" w:eastAsia="zh-CN"/>
        </w:rPr>
        <w:t>2.68</w:t>
      </w:r>
      <w:r>
        <w:rPr>
          <w:rFonts w:hint="default" w:ascii="Times New Roman" w:hAnsi="Times New Roman" w:cs="Times New Roman"/>
          <w:color w:val="auto"/>
          <w:sz w:val="24"/>
          <w:szCs w:val="24"/>
        </w:rPr>
        <w:t>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。该区水土流失面积占全县水土流失面积的</w:t>
      </w:r>
      <w:r>
        <w:rPr>
          <w:rFonts w:hint="eastAsia" w:cs="Times New Roman"/>
          <w:color w:val="auto"/>
          <w:sz w:val="24"/>
          <w:szCs w:val="24"/>
          <w:lang w:val="en-US" w:eastAsia="zh-CN"/>
        </w:rPr>
        <w:t>51.82</w:t>
      </w:r>
      <w:r>
        <w:rPr>
          <w:rFonts w:hint="default" w:ascii="Times New Roman" w:hAnsi="Times New Roman" w:cs="Times New Roman"/>
          <w:color w:val="auto"/>
          <w:sz w:val="24"/>
          <w:szCs w:val="24"/>
        </w:rPr>
        <w:t>%，占国土面积的</w:t>
      </w:r>
      <w:r>
        <w:rPr>
          <w:rFonts w:hint="eastAsia" w:cs="Times New Roman"/>
          <w:color w:val="auto"/>
          <w:sz w:val="24"/>
          <w:szCs w:val="24"/>
          <w:lang w:val="en-US" w:eastAsia="zh-CN"/>
        </w:rPr>
        <w:t>1.65</w:t>
      </w:r>
      <w:r>
        <w:rPr>
          <w:rFonts w:hint="default" w:ascii="Times New Roman" w:hAnsi="Times New Roman" w:cs="Times New Roman"/>
          <w:color w:val="auto"/>
          <w:sz w:val="24"/>
          <w:szCs w:val="24"/>
        </w:rPr>
        <w:t>%。该区水土流失</w:t>
      </w:r>
      <w:r>
        <w:rPr>
          <w:rFonts w:hint="default" w:ascii="Times New Roman" w:hAnsi="Times New Roman" w:cs="Times New Roman"/>
          <w:color w:val="auto"/>
          <w:sz w:val="24"/>
          <w:szCs w:val="24"/>
          <w:lang w:val="en-US" w:eastAsia="zh-CN"/>
        </w:rPr>
        <w:t>强烈以上</w:t>
      </w:r>
      <w:r>
        <w:rPr>
          <w:rFonts w:hint="default" w:ascii="Times New Roman" w:hAnsi="Times New Roman" w:cs="Times New Roman"/>
          <w:color w:val="auto"/>
          <w:sz w:val="24"/>
          <w:szCs w:val="24"/>
        </w:rPr>
        <w:t>面积0.1</w:t>
      </w:r>
      <w:r>
        <w:rPr>
          <w:rFonts w:hint="eastAsia" w:cs="Times New Roman"/>
          <w:color w:val="auto"/>
          <w:sz w:val="24"/>
          <w:szCs w:val="24"/>
          <w:lang w:val="en-US" w:eastAsia="zh-CN"/>
        </w:rPr>
        <w:t>1</w:t>
      </w:r>
      <w:r>
        <w:rPr>
          <w:rFonts w:hint="default" w:ascii="Times New Roman" w:hAnsi="Times New Roman" w:cs="Times New Roman"/>
          <w:color w:val="auto"/>
          <w:sz w:val="24"/>
          <w:szCs w:val="24"/>
        </w:rPr>
        <w:t>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，位于调风镇</w:t>
      </w:r>
      <w:r>
        <w:rPr>
          <w:rFonts w:hint="default" w:ascii="Times New Roman" w:hAnsi="Times New Roman" w:cs="Times New Roman"/>
          <w:color w:val="auto"/>
          <w:sz w:val="24"/>
          <w:szCs w:val="24"/>
          <w:lang w:val="en-US" w:eastAsia="zh-CN"/>
        </w:rPr>
        <w:t>和龙门镇</w:t>
      </w:r>
      <w:r>
        <w:rPr>
          <w:rFonts w:hint="default" w:ascii="Times New Roman" w:hAnsi="Times New Roman" w:cs="Times New Roman"/>
          <w:color w:val="auto"/>
          <w:sz w:val="24"/>
          <w:szCs w:val="24"/>
        </w:rPr>
        <w:t>，由于项目建设引起的。</w:t>
      </w:r>
    </w:p>
    <w:p w14:paraId="6215682E">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该区水土流失面积中最大的是园地，</w:t>
      </w:r>
      <w:r>
        <w:rPr>
          <w:rFonts w:hint="default" w:ascii="Times New Roman" w:hAnsi="Times New Roman" w:cs="Times New Roman"/>
          <w:sz w:val="24"/>
          <w:szCs w:val="24"/>
          <w:lang w:val="en-US" w:eastAsia="zh-CN"/>
        </w:rPr>
        <w:t>是雷州主要的核心水果产区。</w:t>
      </w:r>
      <w:r>
        <w:rPr>
          <w:rFonts w:hint="default" w:ascii="Times New Roman" w:hAnsi="Times New Roman" w:cs="Times New Roman"/>
          <w:sz w:val="24"/>
          <w:szCs w:val="24"/>
        </w:rPr>
        <w:t>根据</w:t>
      </w:r>
      <w:r>
        <w:rPr>
          <w:rFonts w:hint="default" w:ascii="Times New Roman" w:hAnsi="Times New Roman" w:cs="Times New Roman"/>
          <w:sz w:val="24"/>
          <w:szCs w:val="24"/>
          <w:lang w:eastAsia="zh-CN"/>
        </w:rPr>
        <w:t>《</w:t>
      </w:r>
      <w:r>
        <w:rPr>
          <w:rFonts w:hint="default" w:ascii="Times New Roman" w:hAnsi="Times New Roman" w:cs="Times New Roman"/>
          <w:sz w:val="24"/>
          <w:szCs w:val="24"/>
        </w:rPr>
        <w:t>雷州市国土空间总体规划（2021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2035年）</w:t>
      </w:r>
      <w:r>
        <w:rPr>
          <w:rFonts w:hint="default" w:ascii="Times New Roman" w:hAnsi="Times New Roman" w:cs="Times New Roman"/>
          <w:sz w:val="24"/>
          <w:szCs w:val="24"/>
          <w:lang w:eastAsia="zh-CN"/>
        </w:rPr>
        <w:t>》，农业空间格局</w:t>
      </w:r>
      <w:r>
        <w:rPr>
          <w:rFonts w:hint="default" w:ascii="Times New Roman" w:hAnsi="Times New Roman" w:cs="Times New Roman"/>
          <w:sz w:val="24"/>
          <w:szCs w:val="24"/>
          <w:lang w:val="en-US" w:eastAsia="zh-CN"/>
        </w:rPr>
        <w:t>规划，构建雷州“两带四区”农业空间格局，打造“乡村宜居、乡韵浓郁、产业发达”的农业空间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以英利镇、调风镇、龙门镇等南部镇为核心构建水果产业集群区，重点提升菠萝、香蕉等现代农业产业园产品的品质及品牌效应</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rPr>
        <w:t>本区</w:t>
      </w:r>
      <w:r>
        <w:rPr>
          <w:rFonts w:hint="default" w:ascii="Times New Roman" w:hAnsi="Times New Roman" w:cs="Times New Roman"/>
          <w:sz w:val="24"/>
          <w:szCs w:val="24"/>
          <w:lang w:val="en-US" w:eastAsia="zh-CN"/>
        </w:rPr>
        <w:t>是</w:t>
      </w:r>
      <w:r>
        <w:rPr>
          <w:rFonts w:hint="default" w:ascii="Times New Roman" w:hAnsi="Times New Roman" w:cs="Times New Roman"/>
          <w:sz w:val="24"/>
          <w:szCs w:val="24"/>
        </w:rPr>
        <w:t>剑麻、香蕉和菠萝生产区，频繁的耕作制度，是造成水土流失的重要原因。其次是耕地水土流失面积，该区地势起伏较大，坡耕地较多，农田分布广泛，农业活动强烈，容易造成水土流失。再其次是建设用地，近几年，经济的发展、交通、园区和建筑小区的建设，会在短时间内造成严重的水土流失。该区域大量经济作物、农业耕作以及工程建设也是造成水土流失的重要原因。</w:t>
      </w:r>
    </w:p>
    <w:p w14:paraId="6DBBFB22">
      <w:pPr>
        <w:spacing w:line="360" w:lineRule="auto"/>
        <w:ind w:firstLine="480" w:firstLineChars="200"/>
        <w:rPr>
          <w:rFonts w:hint="default" w:ascii="Times New Roman" w:hAnsi="Times New Roman" w:cs="Times New Roman"/>
          <w:sz w:val="21"/>
          <w:szCs w:val="21"/>
        </w:rPr>
      </w:pPr>
      <w:r>
        <w:rPr>
          <w:rFonts w:hint="default" w:ascii="Times New Roman" w:hAnsi="Times New Roman" w:cs="Times New Roman"/>
          <w:sz w:val="24"/>
          <w:szCs w:val="24"/>
        </w:rPr>
        <w:t>本区南部地貌丘陵台地为主，地势起伏较大，东西两侧为沿海冲击平原，水网纵横，为易于积水的埔田区、围田区和咸田地区。本区农业相对集中发达，建设水土保持型生态农业是本区农业发展的必然选择。通过建设若干基本农田保护区和土地综合整治示范区为典型，</w:t>
      </w:r>
      <w:r>
        <w:rPr>
          <w:rFonts w:hint="default" w:ascii="Times New Roman" w:hAnsi="Times New Roman" w:cs="Times New Roman"/>
          <w:sz w:val="21"/>
          <w:szCs w:val="21"/>
        </w:rPr>
        <w:t>引导现代标准农业建设，通过对土壤改良、排灌渠系、农田规格和农田管理体系的建设，提高耕地的农业生产条件及抵御自然灾害的能力，保护农业生产环境，推广农业标准化生产，引入新的农业生产方式等手段提高耕地与基本农田质量。</w:t>
      </w:r>
    </w:p>
    <w:p w14:paraId="4E2607E3">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同时对全市范围内的畜禽养殖业整治活动之后的退养区域、垃圾填埋场封场区域，开展土地整治，营造水土保持林草恢复，修复因养殖、垃圾填埋造成的人为侵蚀劣地，消除或减轻对周边环境的影响。</w:t>
      </w:r>
    </w:p>
    <w:p w14:paraId="55824FE4">
      <w:pPr>
        <w:ind w:firstLine="480"/>
        <w:rPr>
          <w:rFonts w:hint="default" w:ascii="Times New Roman" w:hAnsi="Times New Roman" w:cs="Times New Roman"/>
          <w:lang w:eastAsia="zh-CN"/>
        </w:rPr>
      </w:pPr>
      <w:r>
        <w:rPr>
          <w:rFonts w:hint="default" w:ascii="Times New Roman" w:hAnsi="Times New Roman" w:cs="Times New Roman"/>
          <w:lang w:eastAsia="zh-CN"/>
        </w:rPr>
        <w:t>防护需求：（1）实施水土保持型生态农业建设，建设良性生态经济系统中心，以水土保持为手段，形成高效的农业生态系统，以解决生活和生产用水为重点和核心，提高群众生活，生产水平，减轻对新柴、木材的依赖需求，加强田间、地头、宅旁、路边等一切有利于雨水积蓄利用的条件，修建和维护蓄水池、水窖，充分利用雨水资源，保证灌溉。（2）做好坡耕地的维护和管理。（3）对河流发源地做好封山育林，改善林木结构，保证生物多样性。（4）做好开发建设项目的水土保持工作的监督管理。</w:t>
      </w:r>
    </w:p>
    <w:p w14:paraId="23148CC1">
      <w:pPr>
        <w:ind w:firstLine="480"/>
        <w:rPr>
          <w:rFonts w:hint="default" w:ascii="Times New Roman" w:hAnsi="Times New Roman" w:cs="Times New Roman"/>
          <w:lang w:eastAsia="zh-CN"/>
        </w:rPr>
      </w:pPr>
      <w:r>
        <w:rPr>
          <w:rFonts w:hint="default" w:ascii="Times New Roman" w:hAnsi="Times New Roman" w:cs="Times New Roman"/>
          <w:lang w:eastAsia="zh-CN"/>
        </w:rPr>
        <w:t>本区的主要治理模式包括：水土保持型生态农业治理模式，小型水土保持工程治理模式，林下水土流失治理模式，不同林种林相改造模式。</w:t>
      </w:r>
    </w:p>
    <w:p w14:paraId="786746FE">
      <w:pPr>
        <w:pStyle w:val="51"/>
        <w:snapToGrid w:val="0"/>
        <w:spacing w:line="240" w:lineRule="auto"/>
        <w:rPr>
          <w:rFonts w:hint="default" w:ascii="Times New Roman" w:hAnsi="Times New Roman" w:cs="Times New Roman" w:eastAsiaTheme="minorEastAsia"/>
          <w:b/>
          <w:sz w:val="24"/>
          <w:szCs w:val="24"/>
          <w:lang w:val="en-US" w:eastAsia="zh-CN"/>
        </w:rPr>
      </w:pPr>
      <w:r>
        <w:rPr>
          <w:rFonts w:hint="default" w:ascii="Times New Roman" w:hAnsi="Times New Roman" w:cs="Times New Roman" w:eastAsiaTheme="minorEastAsia"/>
          <w:b/>
          <w:sz w:val="24"/>
          <w:szCs w:val="24"/>
        </w:rPr>
        <w:drawing>
          <wp:inline distT="0" distB="0" distL="114300" distR="114300">
            <wp:extent cx="5285740" cy="7475855"/>
            <wp:effectExtent l="0" t="0" r="10160" b="10795"/>
            <wp:docPr id="4" name="图片 4" descr="56a4d6fb771270ea86b16ea659b2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a4d6fb771270ea86b16ea659b22a8"/>
                    <pic:cNvPicPr>
                      <a:picLocks noChangeAspect="1"/>
                    </pic:cNvPicPr>
                  </pic:nvPicPr>
                  <pic:blipFill>
                    <a:blip r:embed="rId42"/>
                    <a:stretch>
                      <a:fillRect/>
                    </a:stretch>
                  </pic:blipFill>
                  <pic:spPr>
                    <a:xfrm>
                      <a:off x="0" y="0"/>
                      <a:ext cx="5285740" cy="7475855"/>
                    </a:xfrm>
                    <a:prstGeom prst="rect">
                      <a:avLst/>
                    </a:prstGeom>
                  </pic:spPr>
                </pic:pic>
              </a:graphicData>
            </a:graphic>
          </wp:inline>
        </w:drawing>
      </w:r>
      <w:r>
        <w:rPr>
          <w:rFonts w:hint="default" w:ascii="Times New Roman" w:hAnsi="Times New Roman" w:cs="Times New Roman" w:eastAsiaTheme="minorEastAsia"/>
          <w:b/>
          <w:sz w:val="24"/>
          <w:szCs w:val="24"/>
        </w:rPr>
        <w:t>图</w:t>
      </w:r>
      <w:r>
        <w:rPr>
          <w:rFonts w:hint="default" w:ascii="Times New Roman" w:hAnsi="Times New Roman" w:cs="Times New Roman" w:eastAsiaTheme="minorEastAsia"/>
          <w:b/>
          <w:sz w:val="24"/>
          <w:szCs w:val="24"/>
          <w:lang w:val="en-US" w:eastAsia="zh-CN"/>
        </w:rPr>
        <w:t>4-1</w:t>
      </w:r>
      <w:r>
        <w:rPr>
          <w:rFonts w:hint="default" w:ascii="Times New Roman" w:hAnsi="Times New Roman" w:cs="Times New Roman" w:eastAsiaTheme="minorEastAsia"/>
          <w:b/>
          <w:sz w:val="24"/>
          <w:szCs w:val="24"/>
        </w:rPr>
        <w:t xml:space="preserve"> 雷州市水土保持区划图</w:t>
      </w:r>
      <w:r>
        <w:rPr>
          <w:rFonts w:hint="eastAsia" w:ascii="Times New Roman" w:hAnsi="Times New Roman" w:cs="Times New Roman" w:eastAsiaTheme="minorEastAsia"/>
          <w:b/>
          <w:sz w:val="24"/>
          <w:szCs w:val="24"/>
          <w:lang w:eastAsia="zh-CN"/>
        </w:rPr>
        <w:t>（</w:t>
      </w:r>
      <w:r>
        <w:rPr>
          <w:rFonts w:hint="eastAsia" w:ascii="Times New Roman" w:hAnsi="Times New Roman" w:cs="Times New Roman" w:eastAsiaTheme="minorEastAsia"/>
          <w:b/>
          <w:sz w:val="24"/>
          <w:szCs w:val="24"/>
          <w:lang w:val="en-US" w:eastAsia="zh-CN"/>
        </w:rPr>
        <w:t>重新修改）</w:t>
      </w:r>
    </w:p>
    <w:p w14:paraId="573B2C52">
      <w:pPr>
        <w:pStyle w:val="51"/>
        <w:snapToGrid w:val="0"/>
        <w:spacing w:line="240" w:lineRule="auto"/>
        <w:rPr>
          <w:rFonts w:hint="default" w:ascii="Times New Roman" w:hAnsi="Times New Roman" w:cs="Times New Roman"/>
        </w:rPr>
      </w:pPr>
    </w:p>
    <w:p w14:paraId="27849EDF">
      <w:pPr>
        <w:ind w:firstLine="480"/>
        <w:rPr>
          <w:rFonts w:hint="default" w:ascii="Times New Roman" w:hAnsi="Times New Roman" w:cs="Times New Roman"/>
          <w:lang w:eastAsia="zh-CN"/>
        </w:rPr>
      </w:pPr>
    </w:p>
    <w:p w14:paraId="47DB4840">
      <w:pPr>
        <w:ind w:firstLine="480"/>
        <w:rPr>
          <w:rFonts w:hint="default" w:ascii="Times New Roman" w:hAnsi="Times New Roman" w:cs="Times New Roman"/>
          <w:lang w:eastAsia="zh-CN"/>
        </w:rPr>
        <w:sectPr>
          <w:footerReference r:id="rId14" w:type="default"/>
          <w:pgSz w:w="11907" w:h="16840"/>
          <w:pgMar w:top="1418" w:right="1588" w:bottom="1418" w:left="1985" w:header="851" w:footer="992" w:gutter="0"/>
          <w:cols w:space="425" w:num="1"/>
          <w:docGrid w:linePitch="312" w:charSpace="0"/>
        </w:sectPr>
      </w:pPr>
    </w:p>
    <w:p w14:paraId="7EB37880">
      <w:pPr>
        <w:ind w:firstLine="723"/>
        <w:jc w:val="center"/>
        <w:rPr>
          <w:rFonts w:hint="default" w:ascii="Times New Roman" w:hAnsi="Times New Roman" w:cs="Times New Roman"/>
          <w:b/>
          <w:sz w:val="36"/>
          <w:szCs w:val="36"/>
          <w:lang w:eastAsia="zh-CN"/>
        </w:rPr>
      </w:pPr>
    </w:p>
    <w:p w14:paraId="3FB584BC">
      <w:pPr>
        <w:ind w:firstLine="723"/>
        <w:jc w:val="center"/>
        <w:rPr>
          <w:rFonts w:hint="default" w:ascii="Times New Roman" w:hAnsi="Times New Roman" w:cs="Times New Roman"/>
          <w:b/>
          <w:sz w:val="36"/>
          <w:szCs w:val="36"/>
          <w:lang w:eastAsia="zh-CN"/>
        </w:rPr>
      </w:pPr>
    </w:p>
    <w:p w14:paraId="7B869977">
      <w:pPr>
        <w:ind w:firstLine="723"/>
        <w:jc w:val="center"/>
        <w:rPr>
          <w:rFonts w:hint="default" w:ascii="Times New Roman" w:hAnsi="Times New Roman" w:cs="Times New Roman"/>
          <w:b/>
          <w:sz w:val="36"/>
          <w:szCs w:val="36"/>
          <w:lang w:eastAsia="zh-CN"/>
        </w:rPr>
      </w:pPr>
    </w:p>
    <w:p w14:paraId="208D1222">
      <w:pPr>
        <w:jc w:val="center"/>
        <w:rPr>
          <w:rFonts w:hint="default" w:ascii="Times New Roman" w:hAnsi="Times New Roman" w:cs="Times New Roman"/>
          <w:b/>
          <w:sz w:val="36"/>
          <w:szCs w:val="36"/>
          <w:highlight w:val="none"/>
          <w:lang w:eastAsia="zh-CN"/>
        </w:rPr>
      </w:pPr>
      <w:r>
        <w:rPr>
          <w:rFonts w:hint="default" w:ascii="Times New Roman" w:hAnsi="Times New Roman" w:cs="Times New Roman"/>
          <w:b/>
          <w:sz w:val="36"/>
          <w:szCs w:val="36"/>
          <w:highlight w:val="none"/>
          <w:lang w:eastAsia="zh-CN"/>
        </w:rPr>
        <w:t>雷州市水土保持规划（20</w:t>
      </w:r>
      <w:r>
        <w:rPr>
          <w:rFonts w:hint="default" w:ascii="Times New Roman" w:hAnsi="Times New Roman" w:cs="Times New Roman"/>
          <w:b/>
          <w:sz w:val="36"/>
          <w:szCs w:val="36"/>
          <w:highlight w:val="none"/>
          <w:lang w:val="en-US" w:eastAsia="zh-CN"/>
        </w:rPr>
        <w:t>24-</w:t>
      </w:r>
      <w:r>
        <w:rPr>
          <w:rFonts w:hint="default" w:ascii="Times New Roman" w:hAnsi="Times New Roman" w:cs="Times New Roman"/>
          <w:b/>
          <w:sz w:val="36"/>
          <w:szCs w:val="36"/>
          <w:highlight w:val="none"/>
          <w:lang w:eastAsia="zh-CN"/>
        </w:rPr>
        <w:t>203</w:t>
      </w:r>
      <w:r>
        <w:rPr>
          <w:rFonts w:hint="default" w:ascii="Times New Roman" w:hAnsi="Times New Roman" w:cs="Times New Roman"/>
          <w:b/>
          <w:sz w:val="36"/>
          <w:szCs w:val="36"/>
          <w:highlight w:val="none"/>
          <w:lang w:val="en-US" w:eastAsia="zh-CN"/>
        </w:rPr>
        <w:t>5</w:t>
      </w:r>
      <w:r>
        <w:rPr>
          <w:rFonts w:hint="default" w:ascii="Times New Roman" w:hAnsi="Times New Roman" w:cs="Times New Roman"/>
          <w:b/>
          <w:sz w:val="36"/>
          <w:szCs w:val="36"/>
          <w:highlight w:val="none"/>
          <w:lang w:eastAsia="zh-CN"/>
        </w:rPr>
        <w:t>年）</w:t>
      </w:r>
    </w:p>
    <w:p w14:paraId="3C20A571">
      <w:pPr>
        <w:pStyle w:val="6"/>
        <w:numPr>
          <w:ilvl w:val="0"/>
          <w:numId w:val="0"/>
        </w:numPr>
        <w:spacing w:before="240" w:after="240"/>
        <w:jc w:val="center"/>
        <w:rPr>
          <w:rFonts w:hint="default" w:ascii="Times New Roman" w:hAnsi="Times New Roman" w:cs="Times New Roman"/>
        </w:rPr>
      </w:pPr>
      <w:bookmarkStart w:id="97" w:name="_Toc26148"/>
      <w:r>
        <w:rPr>
          <w:rFonts w:hint="default" w:ascii="Times New Roman" w:hAnsi="Times New Roman" w:cs="Times New Roman"/>
        </w:rPr>
        <w:t>专题三、水土流失重点防治区划分成果报告</w:t>
      </w:r>
      <w:bookmarkEnd w:id="97"/>
    </w:p>
    <w:p w14:paraId="7E499DB5">
      <w:pPr>
        <w:pStyle w:val="2"/>
        <w:ind w:firstLine="480"/>
        <w:rPr>
          <w:rFonts w:hint="default" w:ascii="Times New Roman" w:hAnsi="Times New Roman" w:cs="Times New Roman"/>
          <w:lang w:eastAsia="zh-CN"/>
        </w:rPr>
      </w:pPr>
    </w:p>
    <w:p w14:paraId="70167382">
      <w:pPr>
        <w:pStyle w:val="2"/>
        <w:ind w:firstLine="480"/>
        <w:rPr>
          <w:rFonts w:hint="default" w:ascii="Times New Roman" w:hAnsi="Times New Roman" w:cs="Times New Roman"/>
          <w:lang w:eastAsia="zh-CN"/>
        </w:rPr>
      </w:pPr>
    </w:p>
    <w:p w14:paraId="40F8AD20">
      <w:pPr>
        <w:pStyle w:val="2"/>
        <w:ind w:firstLine="480"/>
        <w:rPr>
          <w:rFonts w:hint="default" w:ascii="Times New Roman" w:hAnsi="Times New Roman" w:cs="Times New Roman"/>
          <w:lang w:eastAsia="zh-CN"/>
        </w:rPr>
      </w:pPr>
    </w:p>
    <w:p w14:paraId="6093F73D">
      <w:pPr>
        <w:pStyle w:val="2"/>
        <w:ind w:firstLine="480"/>
        <w:rPr>
          <w:rFonts w:hint="default" w:ascii="Times New Roman" w:hAnsi="Times New Roman" w:cs="Times New Roman"/>
          <w:lang w:eastAsia="zh-CN"/>
        </w:rPr>
      </w:pPr>
    </w:p>
    <w:p w14:paraId="303EC793">
      <w:pPr>
        <w:pStyle w:val="2"/>
        <w:ind w:firstLine="480"/>
        <w:rPr>
          <w:rFonts w:hint="default" w:ascii="Times New Roman" w:hAnsi="Times New Roman" w:cs="Times New Roman"/>
          <w:lang w:eastAsia="zh-CN"/>
        </w:rPr>
      </w:pPr>
    </w:p>
    <w:p w14:paraId="5891F882">
      <w:pPr>
        <w:pStyle w:val="2"/>
        <w:ind w:firstLine="480"/>
        <w:rPr>
          <w:rFonts w:hint="default" w:ascii="Times New Roman" w:hAnsi="Times New Roman" w:cs="Times New Roman"/>
          <w:lang w:eastAsia="zh-CN"/>
        </w:rPr>
      </w:pPr>
    </w:p>
    <w:p w14:paraId="6F6AC869">
      <w:pPr>
        <w:pStyle w:val="2"/>
        <w:ind w:firstLine="480"/>
        <w:rPr>
          <w:rFonts w:hint="default" w:ascii="Times New Roman" w:hAnsi="Times New Roman" w:cs="Times New Roman"/>
          <w:lang w:eastAsia="zh-CN"/>
        </w:rPr>
      </w:pPr>
    </w:p>
    <w:p w14:paraId="40D93C28">
      <w:pPr>
        <w:pStyle w:val="2"/>
        <w:ind w:firstLine="480"/>
        <w:rPr>
          <w:rFonts w:hint="default" w:ascii="Times New Roman" w:hAnsi="Times New Roman" w:cs="Times New Roman"/>
          <w:lang w:eastAsia="zh-CN"/>
        </w:rPr>
      </w:pPr>
    </w:p>
    <w:p w14:paraId="6E262F3F">
      <w:pPr>
        <w:pStyle w:val="2"/>
        <w:ind w:firstLine="480"/>
        <w:rPr>
          <w:rFonts w:hint="default" w:ascii="Times New Roman" w:hAnsi="Times New Roman" w:cs="Times New Roman"/>
          <w:lang w:eastAsia="zh-CN"/>
        </w:rPr>
      </w:pPr>
    </w:p>
    <w:p w14:paraId="2410FC4A">
      <w:pPr>
        <w:pStyle w:val="2"/>
        <w:ind w:firstLine="480"/>
        <w:rPr>
          <w:rFonts w:hint="default" w:ascii="Times New Roman" w:hAnsi="Times New Roman" w:cs="Times New Roman"/>
          <w:lang w:eastAsia="zh-CN"/>
        </w:rPr>
      </w:pPr>
    </w:p>
    <w:p w14:paraId="6766848C">
      <w:pPr>
        <w:pStyle w:val="2"/>
        <w:ind w:firstLine="480"/>
        <w:rPr>
          <w:rFonts w:hint="default" w:ascii="Times New Roman" w:hAnsi="Times New Roman" w:cs="Times New Roman"/>
          <w:lang w:eastAsia="zh-CN"/>
        </w:rPr>
      </w:pPr>
    </w:p>
    <w:p w14:paraId="0062CFFF">
      <w:pPr>
        <w:pStyle w:val="2"/>
        <w:ind w:firstLine="480"/>
        <w:rPr>
          <w:rFonts w:hint="default" w:ascii="Times New Roman" w:hAnsi="Times New Roman" w:cs="Times New Roman"/>
          <w:lang w:eastAsia="zh-CN"/>
        </w:rPr>
      </w:pPr>
    </w:p>
    <w:p w14:paraId="46C13E31">
      <w:pPr>
        <w:pStyle w:val="2"/>
        <w:ind w:firstLine="480"/>
        <w:rPr>
          <w:rFonts w:hint="default" w:ascii="Times New Roman" w:hAnsi="Times New Roman" w:cs="Times New Roman"/>
          <w:lang w:eastAsia="zh-CN"/>
        </w:rPr>
      </w:pPr>
    </w:p>
    <w:p w14:paraId="43DEDB01">
      <w:pPr>
        <w:pStyle w:val="2"/>
        <w:ind w:firstLine="480"/>
        <w:rPr>
          <w:rFonts w:hint="default" w:ascii="Times New Roman" w:hAnsi="Times New Roman" w:cs="Times New Roman"/>
          <w:lang w:eastAsia="zh-CN"/>
        </w:rPr>
      </w:pPr>
    </w:p>
    <w:p w14:paraId="4A9B6582">
      <w:pPr>
        <w:pStyle w:val="2"/>
        <w:ind w:firstLine="480"/>
        <w:rPr>
          <w:rFonts w:hint="default" w:ascii="Times New Roman" w:hAnsi="Times New Roman" w:cs="Times New Roman"/>
          <w:lang w:eastAsia="zh-CN"/>
        </w:rPr>
      </w:pPr>
    </w:p>
    <w:p w14:paraId="51A62326">
      <w:pPr>
        <w:pStyle w:val="2"/>
        <w:ind w:firstLine="480"/>
        <w:rPr>
          <w:rFonts w:hint="default" w:ascii="Times New Roman" w:hAnsi="Times New Roman" w:cs="Times New Roman"/>
          <w:lang w:eastAsia="zh-CN"/>
        </w:rPr>
      </w:pPr>
    </w:p>
    <w:p w14:paraId="3A90298A">
      <w:pPr>
        <w:pStyle w:val="2"/>
        <w:ind w:firstLine="480"/>
        <w:rPr>
          <w:rFonts w:hint="default" w:ascii="Times New Roman" w:hAnsi="Times New Roman" w:cs="Times New Roman"/>
          <w:lang w:eastAsia="zh-CN"/>
        </w:rPr>
      </w:pPr>
    </w:p>
    <w:p w14:paraId="1CDFCF37">
      <w:pPr>
        <w:pStyle w:val="2"/>
        <w:ind w:firstLine="480"/>
        <w:rPr>
          <w:rFonts w:hint="default" w:ascii="Times New Roman" w:hAnsi="Times New Roman" w:cs="Times New Roman"/>
          <w:lang w:eastAsia="zh-CN"/>
        </w:rPr>
      </w:pPr>
    </w:p>
    <w:p w14:paraId="4565AA53">
      <w:pPr>
        <w:pStyle w:val="2"/>
        <w:ind w:firstLine="1405" w:firstLineChars="500"/>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委托单位：雷州市水务局</w:t>
      </w:r>
    </w:p>
    <w:p w14:paraId="32EA263C">
      <w:pPr>
        <w:pStyle w:val="2"/>
        <w:ind w:firstLine="1405" w:firstLineChars="500"/>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编制单位：广东河海工程咨询有限公司</w:t>
      </w:r>
    </w:p>
    <w:p w14:paraId="322A1C97">
      <w:pPr>
        <w:spacing w:line="240" w:lineRule="auto"/>
        <w:rPr>
          <w:rFonts w:hint="default" w:ascii="Times New Roman" w:hAnsi="Times New Roman" w:cs="Times New Roman"/>
          <w:lang w:eastAsia="zh-CN"/>
        </w:rPr>
        <w:sectPr>
          <w:pgSz w:w="11907" w:h="16840"/>
          <w:pgMar w:top="1418" w:right="1588" w:bottom="1418" w:left="1985" w:header="851" w:footer="992" w:gutter="0"/>
          <w:pgNumType w:start="1"/>
          <w:cols w:space="425" w:num="1"/>
          <w:docGrid w:linePitch="312" w:charSpace="0"/>
        </w:sectPr>
      </w:pPr>
      <w:r>
        <w:rPr>
          <w:rFonts w:hint="default" w:ascii="Times New Roman" w:hAnsi="Times New Roman" w:cs="Times New Roman"/>
          <w:lang w:eastAsia="zh-CN"/>
        </w:rPr>
        <w:br w:type="page"/>
      </w:r>
    </w:p>
    <w:p w14:paraId="62A14153">
      <w:pPr>
        <w:pStyle w:val="6"/>
        <w:numPr>
          <w:ilvl w:val="0"/>
          <w:numId w:val="0"/>
        </w:numPr>
        <w:spacing w:before="120" w:beforeLines="50" w:after="120" w:afterLines="50"/>
        <w:rPr>
          <w:rFonts w:hint="default" w:ascii="Times New Roman" w:hAnsi="Times New Roman" w:cs="Times New Roman"/>
          <w:sz w:val="30"/>
          <w:szCs w:val="30"/>
        </w:rPr>
      </w:pPr>
      <w:bookmarkStart w:id="98" w:name="_Toc32480"/>
      <w:r>
        <w:rPr>
          <w:rFonts w:hint="default" w:ascii="Times New Roman" w:hAnsi="Times New Roman" w:cs="Times New Roman"/>
          <w:sz w:val="30"/>
          <w:szCs w:val="30"/>
        </w:rPr>
        <w:t>1 划分依据及原则</w:t>
      </w:r>
      <w:bookmarkEnd w:id="98"/>
    </w:p>
    <w:p w14:paraId="3DC8787A">
      <w:pPr>
        <w:pStyle w:val="7"/>
        <w:numPr>
          <w:ilvl w:val="0"/>
          <w:numId w:val="0"/>
        </w:numPr>
        <w:spacing w:before="120" w:beforeLines="50" w:beforeAutospacing="0" w:after="0" w:afterAutospacing="0"/>
        <w:rPr>
          <w:rFonts w:hint="default" w:ascii="Times New Roman" w:hAnsi="Times New Roman" w:cs="Times New Roman"/>
          <w:lang w:eastAsia="zh-CN"/>
        </w:rPr>
      </w:pPr>
      <w:bookmarkStart w:id="99" w:name="_Toc15893"/>
      <w:r>
        <w:rPr>
          <w:rFonts w:hint="default" w:ascii="Times New Roman" w:hAnsi="Times New Roman" w:cs="Times New Roman"/>
          <w:lang w:eastAsia="zh-CN"/>
        </w:rPr>
        <w:t>1.1划分依据</w:t>
      </w:r>
      <w:bookmarkEnd w:id="99"/>
    </w:p>
    <w:p w14:paraId="663C9453">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据新修订的《中华人民共和国水土保持法》，县级以上人民政府应当依据水土流失调查结果划定并公告水土流失重点预防区和重点治理区；对水土流失潜在危险较大的区域，应当划定水土流失重点预防区，对水土流失严重的地区，应当划定为水土流失重点治理区；新法中不再保留水土流失重点监督区，将水土流失重点防治区明确为水土流失重点预防区和重点治理区，要求县级以上人民政府依据水土流失调查结果划定并公告，同时要求各级人民政府应当加强本区水土流失治理，将水土保持工作纳入本级国民经济和社会发展规划，实行水土保持目标责任制和考核奖励制度。</w:t>
      </w:r>
    </w:p>
    <w:p w14:paraId="53409906">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为适应新法的要求，以及雷州市面临的生态环境改善和社会经济可持续发展的要求，满足新形势下雷州市水土保持工作的需求，需要在市级基础上进行县级水土流失重点防治区划分，以利于水土保持预防监督和综合治理工作的开展。</w:t>
      </w:r>
    </w:p>
    <w:p w14:paraId="341A2868">
      <w:pPr>
        <w:pStyle w:val="7"/>
        <w:numPr>
          <w:ilvl w:val="0"/>
          <w:numId w:val="0"/>
        </w:numPr>
        <w:spacing w:before="120" w:beforeLines="50" w:beforeAutospacing="0" w:after="0" w:afterAutospacing="0"/>
        <w:rPr>
          <w:rFonts w:hint="default" w:ascii="Times New Roman" w:hAnsi="Times New Roman" w:cs="Times New Roman"/>
          <w:lang w:eastAsia="zh-CN"/>
        </w:rPr>
      </w:pPr>
      <w:bookmarkStart w:id="100" w:name="_Toc520723986"/>
      <w:bookmarkStart w:id="101" w:name="_Toc20520"/>
      <w:r>
        <w:rPr>
          <w:rFonts w:hint="default" w:ascii="Times New Roman" w:hAnsi="Times New Roman" w:cs="Times New Roman"/>
          <w:lang w:eastAsia="zh-CN"/>
        </w:rPr>
        <w:t>1.2划分原则</w:t>
      </w:r>
      <w:bookmarkEnd w:id="100"/>
      <w:bookmarkEnd w:id="101"/>
    </w:p>
    <w:p w14:paraId="6D9C72C5">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水土保持重点防治区的划分遵循以下划分原则。</w:t>
      </w:r>
    </w:p>
    <w:p w14:paraId="21563E60">
      <w:pPr>
        <w:ind w:firstLine="480"/>
        <w:rPr>
          <w:rFonts w:hint="default" w:ascii="Times New Roman" w:hAnsi="Times New Roman" w:cs="Times New Roman"/>
          <w:lang w:eastAsia="zh-CN"/>
        </w:rPr>
      </w:pPr>
      <w:r>
        <w:rPr>
          <w:rFonts w:hint="default" w:ascii="Times New Roman" w:hAnsi="Times New Roman" w:cs="Times New Roman"/>
          <w:lang w:eastAsia="zh-CN"/>
        </w:rPr>
        <w:t>（1）统筹考虑水土流失现状和防治需求的原则</w:t>
      </w:r>
    </w:p>
    <w:p w14:paraId="12EE0D50">
      <w:pPr>
        <w:ind w:firstLine="480"/>
        <w:rPr>
          <w:rFonts w:hint="default" w:ascii="Times New Roman" w:hAnsi="Times New Roman" w:cs="Times New Roman"/>
          <w:lang w:eastAsia="zh-CN"/>
        </w:rPr>
      </w:pPr>
      <w:r>
        <w:rPr>
          <w:rFonts w:hint="default" w:ascii="Times New Roman" w:hAnsi="Times New Roman" w:cs="Times New Roman"/>
          <w:lang w:eastAsia="zh-CN"/>
        </w:rPr>
        <w:t>水土流失重点防治区划分要以水土流失调查为基础，立足于技术经济的合理性和可行性，与国家和省水土流失防治需求相协调，统筹考虑水土流失潜在危险性、严重性后进行。</w:t>
      </w:r>
    </w:p>
    <w:p w14:paraId="691534E1">
      <w:pPr>
        <w:ind w:firstLine="480"/>
        <w:rPr>
          <w:rFonts w:hint="default" w:ascii="Times New Roman" w:hAnsi="Times New Roman" w:cs="Times New Roman"/>
          <w:lang w:eastAsia="zh-CN"/>
        </w:rPr>
      </w:pPr>
      <w:r>
        <w:rPr>
          <w:rFonts w:hint="default" w:ascii="Times New Roman" w:hAnsi="Times New Roman" w:cs="Times New Roman"/>
          <w:lang w:eastAsia="zh-CN"/>
        </w:rPr>
        <w:t>（2）与区域生态格局和功能定位相适应的原则</w:t>
      </w:r>
    </w:p>
    <w:p w14:paraId="68C1122C">
      <w:pPr>
        <w:ind w:firstLine="480"/>
        <w:rPr>
          <w:rFonts w:hint="default" w:ascii="Times New Roman" w:hAnsi="Times New Roman" w:cs="Times New Roman"/>
          <w:lang w:eastAsia="zh-CN"/>
        </w:rPr>
      </w:pPr>
      <w:r>
        <w:rPr>
          <w:rFonts w:hint="default" w:ascii="Times New Roman" w:hAnsi="Times New Roman" w:cs="Times New Roman"/>
          <w:lang w:eastAsia="zh-CN"/>
        </w:rPr>
        <w:t>水土流失重点防治区划分要充分借鉴全国主体功能区划、广东省主体功能区划以及雷州市主体功能区规划实施纲要等成果，在遵循国家国土空间开发格局和功能定位的基础上，确定划分的方向。</w:t>
      </w:r>
    </w:p>
    <w:p w14:paraId="28FF5A16">
      <w:pPr>
        <w:ind w:firstLine="480"/>
        <w:rPr>
          <w:rFonts w:hint="default" w:ascii="Times New Roman" w:hAnsi="Times New Roman" w:cs="Times New Roman"/>
          <w:lang w:eastAsia="zh-CN"/>
        </w:rPr>
      </w:pPr>
      <w:r>
        <w:rPr>
          <w:rFonts w:hint="default" w:ascii="Times New Roman" w:hAnsi="Times New Roman" w:cs="Times New Roman"/>
          <w:lang w:eastAsia="zh-CN"/>
        </w:rPr>
        <w:t>（3）定性分析与定量分析相结合的原则</w:t>
      </w:r>
    </w:p>
    <w:p w14:paraId="1D503E41">
      <w:pPr>
        <w:ind w:firstLine="480"/>
        <w:jc w:val="both"/>
        <w:rPr>
          <w:rFonts w:hint="default" w:ascii="Times New Roman" w:hAnsi="Times New Roman" w:cs="Times New Roman"/>
          <w:kern w:val="2"/>
          <w:lang w:eastAsia="zh-CN"/>
        </w:rPr>
      </w:pPr>
      <w:r>
        <w:rPr>
          <w:rFonts w:hint="default" w:ascii="Times New Roman" w:hAnsi="Times New Roman" w:cs="Times New Roman"/>
          <w:kern w:val="2"/>
          <w:lang w:eastAsia="zh-CN"/>
        </w:rPr>
        <w:t>重点防治区划分应采取定性分析与定量分析相结合的方法，通过定性分析协调，把握全局，通过定量分析确定区域范围和边界。</w:t>
      </w:r>
    </w:p>
    <w:p w14:paraId="31BE542B">
      <w:pPr>
        <w:ind w:firstLine="480"/>
        <w:rPr>
          <w:rFonts w:hint="default" w:ascii="Times New Roman" w:hAnsi="Times New Roman" w:cs="Times New Roman"/>
          <w:kern w:val="2"/>
          <w:lang w:eastAsia="zh-CN"/>
        </w:rPr>
      </w:pPr>
      <w:r>
        <w:rPr>
          <w:rFonts w:hint="default" w:ascii="Times New Roman" w:hAnsi="Times New Roman" w:cs="Times New Roman"/>
          <w:kern w:val="2"/>
          <w:lang w:eastAsia="zh-CN"/>
        </w:rPr>
        <w:t>（4）集中连片的原则</w:t>
      </w:r>
    </w:p>
    <w:p w14:paraId="4C3703BE">
      <w:pPr>
        <w:pStyle w:val="8"/>
        <w:ind w:firstLine="480"/>
        <w:rPr>
          <w:rFonts w:hint="default" w:ascii="Times New Roman" w:hAnsi="Times New Roman" w:cs="Times New Roman"/>
          <w:kern w:val="2"/>
          <w:sz w:val="24"/>
          <w:lang w:eastAsia="zh-CN"/>
        </w:rPr>
      </w:pPr>
      <w:r>
        <w:rPr>
          <w:rFonts w:hint="default" w:ascii="Times New Roman" w:hAnsi="Times New Roman" w:cs="Times New Roman"/>
          <w:kern w:val="2"/>
          <w:sz w:val="24"/>
          <w:lang w:eastAsia="zh-CN"/>
        </w:rPr>
        <w:t>为便于水土保持管理，发挥水土流失防治整体效果，水土流失重点防治区划分应集中连片，具有与对应防治区级别相适应的规模。</w:t>
      </w:r>
    </w:p>
    <w:p w14:paraId="415AEAA0">
      <w:pPr>
        <w:pStyle w:val="7"/>
        <w:numPr>
          <w:ilvl w:val="0"/>
          <w:numId w:val="0"/>
        </w:numPr>
        <w:spacing w:before="120" w:beforeLines="50" w:beforeAutospacing="0" w:after="0" w:afterAutospacing="0"/>
        <w:rPr>
          <w:rFonts w:hint="default" w:ascii="Times New Roman" w:hAnsi="Times New Roman" w:cs="Times New Roman"/>
          <w:lang w:eastAsia="zh-CN"/>
        </w:rPr>
      </w:pPr>
      <w:bookmarkStart w:id="102" w:name="_Toc520723987"/>
      <w:bookmarkStart w:id="103" w:name="_Toc9995"/>
      <w:r>
        <w:rPr>
          <w:rFonts w:hint="default" w:ascii="Times New Roman" w:hAnsi="Times New Roman" w:cs="Times New Roman"/>
          <w:lang w:eastAsia="zh-CN"/>
        </w:rPr>
        <w:t>1.3划分范围</w:t>
      </w:r>
      <w:bookmarkEnd w:id="102"/>
      <w:bookmarkEnd w:id="103"/>
    </w:p>
    <w:p w14:paraId="5C51AD60">
      <w:pPr>
        <w:pStyle w:val="8"/>
        <w:ind w:firstLine="480"/>
        <w:rPr>
          <w:rFonts w:hint="default" w:ascii="Times New Roman" w:hAnsi="Times New Roman" w:cs="Times New Roman"/>
          <w:kern w:val="2"/>
          <w:sz w:val="24"/>
          <w:lang w:eastAsia="zh-CN"/>
        </w:rPr>
      </w:pPr>
      <w:r>
        <w:rPr>
          <w:rFonts w:hint="default" w:ascii="Times New Roman" w:hAnsi="Times New Roman" w:cs="Times New Roman"/>
          <w:kern w:val="2"/>
          <w:sz w:val="24"/>
          <w:lang w:eastAsia="zh-CN"/>
        </w:rPr>
        <w:t>参照相关规划，在遵循国家国土空间开发格局和功能定位的前提下，根据雷州市实际情况，从保障雷州市生态安全和经济与社会环境安全的需要出发，依据水土流失重点防治区相关的法律法规及规范性文件，参照国家水土流失重点防治区划分导则及划分结果，再根据雷州市自身情况，在分析影响水土流失的自然、社会等诸多因素的基础上，制定市级重点防治区划分的控制性指标，建立指标体系和划分标准，在已划定的国家及省级重点防治区外，补充划定市级水土流失重点防治区，从而形成完整的雷州市水土流失重点防治区划分成果。</w:t>
      </w:r>
    </w:p>
    <w:p w14:paraId="4DDF44AB">
      <w:pPr>
        <w:pStyle w:val="2"/>
        <w:ind w:firstLine="480"/>
        <w:rPr>
          <w:rFonts w:hint="default" w:ascii="Times New Roman" w:hAnsi="Times New Roman" w:cs="Times New Roman"/>
          <w:lang w:eastAsia="zh-CN"/>
        </w:rPr>
      </w:pPr>
    </w:p>
    <w:p w14:paraId="0E3DD477">
      <w:pPr>
        <w:pStyle w:val="2"/>
        <w:ind w:firstLine="480"/>
        <w:rPr>
          <w:rFonts w:hint="default" w:ascii="Times New Roman" w:hAnsi="Times New Roman" w:cs="Times New Roman"/>
          <w:lang w:eastAsia="zh-CN"/>
        </w:rPr>
      </w:pPr>
    </w:p>
    <w:p w14:paraId="1AE1CB15">
      <w:pPr>
        <w:pStyle w:val="2"/>
        <w:ind w:firstLine="480"/>
        <w:rPr>
          <w:rFonts w:hint="default" w:ascii="Times New Roman" w:hAnsi="Times New Roman" w:cs="Times New Roman"/>
          <w:lang w:eastAsia="zh-CN"/>
        </w:rPr>
        <w:sectPr>
          <w:pgSz w:w="11907" w:h="16840"/>
          <w:pgMar w:top="1418" w:right="1588" w:bottom="1418" w:left="1985" w:header="851" w:footer="992" w:gutter="0"/>
          <w:cols w:space="425" w:num="1"/>
          <w:docGrid w:linePitch="312" w:charSpace="0"/>
        </w:sectPr>
      </w:pPr>
    </w:p>
    <w:p w14:paraId="521D215E">
      <w:pPr>
        <w:pStyle w:val="6"/>
        <w:numPr>
          <w:ilvl w:val="0"/>
          <w:numId w:val="0"/>
        </w:numPr>
        <w:spacing w:before="120" w:beforeLines="50" w:after="120" w:afterLines="50"/>
        <w:rPr>
          <w:rFonts w:hint="default" w:ascii="Times New Roman" w:hAnsi="Times New Roman" w:cs="Times New Roman"/>
          <w:sz w:val="30"/>
          <w:szCs w:val="30"/>
        </w:rPr>
      </w:pPr>
      <w:bookmarkStart w:id="104" w:name="_Toc18045"/>
      <w:r>
        <w:rPr>
          <w:rFonts w:hint="default" w:ascii="Times New Roman" w:hAnsi="Times New Roman" w:cs="Times New Roman"/>
          <w:sz w:val="30"/>
          <w:szCs w:val="30"/>
        </w:rPr>
        <w:t>2重点预防区划分</w:t>
      </w:r>
      <w:bookmarkEnd w:id="104"/>
    </w:p>
    <w:p w14:paraId="4ACB22FE">
      <w:pPr>
        <w:pStyle w:val="7"/>
        <w:numPr>
          <w:ilvl w:val="0"/>
          <w:numId w:val="0"/>
        </w:numPr>
        <w:spacing w:before="120" w:beforeLines="50" w:beforeAutospacing="0" w:after="0" w:afterAutospacing="0"/>
        <w:rPr>
          <w:rFonts w:hint="default" w:ascii="Times New Roman" w:hAnsi="Times New Roman" w:cs="Times New Roman"/>
          <w:lang w:eastAsia="zh-CN"/>
        </w:rPr>
      </w:pPr>
      <w:bookmarkStart w:id="105" w:name="_Toc520723989"/>
      <w:bookmarkStart w:id="106" w:name="_Toc22915"/>
      <w:r>
        <w:rPr>
          <w:rFonts w:hint="default" w:ascii="Times New Roman" w:hAnsi="Times New Roman" w:cs="Times New Roman"/>
          <w:lang w:eastAsia="zh-CN"/>
        </w:rPr>
        <w:t>2.1划分指标体系</w:t>
      </w:r>
      <w:bookmarkEnd w:id="105"/>
      <w:bookmarkEnd w:id="106"/>
    </w:p>
    <w:p w14:paraId="4D5DA91D">
      <w:pPr>
        <w:ind w:firstLine="480"/>
        <w:jc w:val="both"/>
        <w:rPr>
          <w:rFonts w:hint="default" w:ascii="Times New Roman" w:hAnsi="Times New Roman" w:cs="Times New Roman"/>
          <w:lang w:eastAsia="zh-CN"/>
        </w:rPr>
      </w:pPr>
      <w:r>
        <w:rPr>
          <w:rFonts w:hint="default" w:ascii="Times New Roman" w:hAnsi="Times New Roman" w:cs="Times New Roman"/>
          <w:lang w:eastAsia="zh-CN"/>
        </w:rPr>
        <w:t>据新修订的《中华人民共和国水土保持法》，应当将水土流失潜在危险较大的区域划定为水土流失重点预防区，潜在危险较大的区域一般是指目前水土流失较轻，但潜在水土流失危险程度较高，对国家或区域防洪安全、水资源安全以及生态安全有重大影响的生态脆弱或敏感地区，这类地区人类社会经济活动较弱。</w:t>
      </w:r>
    </w:p>
    <w:p w14:paraId="53E1505E">
      <w:pPr>
        <w:ind w:firstLine="480"/>
        <w:jc w:val="both"/>
        <w:rPr>
          <w:rFonts w:hint="default" w:ascii="Times New Roman" w:hAnsi="Times New Roman" w:cs="Times New Roman"/>
          <w:lang w:eastAsia="zh-CN"/>
        </w:rPr>
      </w:pPr>
      <w:r>
        <w:rPr>
          <w:rFonts w:hint="default" w:ascii="Times New Roman" w:hAnsi="Times New Roman" w:cs="Times New Roman"/>
          <w:lang w:eastAsia="zh-CN"/>
        </w:rPr>
        <w:t>本次规划根据修订后的《水土保持法》，结合雷州市地方的实际情况，雷州市水土流失重点预防区应符合以下要求：</w:t>
      </w:r>
    </w:p>
    <w:p w14:paraId="733C3EE6">
      <w:pPr>
        <w:ind w:firstLine="480"/>
        <w:jc w:val="both"/>
        <w:rPr>
          <w:rFonts w:hint="default" w:ascii="Times New Roman" w:hAnsi="Times New Roman" w:cs="Times New Roman"/>
          <w:lang w:eastAsia="zh-CN"/>
        </w:rPr>
      </w:pPr>
      <w:r>
        <w:rPr>
          <w:rFonts w:hint="default" w:ascii="Times New Roman" w:hAnsi="Times New Roman" w:cs="Times New Roman"/>
          <w:lang w:eastAsia="zh-CN"/>
        </w:rPr>
        <w:t>（1）水土流失相对轻微，现状植被覆盖较好，是国家、省、市或区域重要的生态屏障和生态功能区，存在水土流失风险，一旦破坏难以恢复和治理；</w:t>
      </w:r>
    </w:p>
    <w:p w14:paraId="1415FF74">
      <w:pPr>
        <w:ind w:firstLine="480"/>
        <w:jc w:val="both"/>
        <w:rPr>
          <w:rFonts w:hint="default" w:ascii="Times New Roman" w:hAnsi="Times New Roman" w:cs="Times New Roman"/>
          <w:lang w:eastAsia="zh-CN"/>
        </w:rPr>
      </w:pPr>
      <w:r>
        <w:rPr>
          <w:rFonts w:hint="default" w:ascii="Times New Roman" w:hAnsi="Times New Roman" w:cs="Times New Roman"/>
          <w:lang w:eastAsia="zh-CN"/>
        </w:rPr>
        <w:t>（2）人为扰动和破坏植被后，造成水土流失危害较大；</w:t>
      </w:r>
    </w:p>
    <w:p w14:paraId="14632DE7">
      <w:pPr>
        <w:ind w:firstLine="480"/>
        <w:jc w:val="both"/>
        <w:rPr>
          <w:rFonts w:hint="default" w:ascii="Times New Roman" w:hAnsi="Times New Roman" w:cs="Times New Roman"/>
          <w:lang w:eastAsia="zh-CN"/>
        </w:rPr>
      </w:pPr>
      <w:r>
        <w:rPr>
          <w:rFonts w:hint="default" w:ascii="Times New Roman" w:hAnsi="Times New Roman" w:cs="Times New Roman"/>
          <w:lang w:eastAsia="zh-CN"/>
        </w:rPr>
        <w:t>（3）市级及以上自然保护区、水源保护区的一级保护区、干流、全省性重要水源林、省级及以上生态公益林区、市级及以上湿地保护区、无居民岛屿及群岛、省级以上风景名胜区、森林公园、地质公园、湿地公园等生态控制线严控区；</w:t>
      </w:r>
    </w:p>
    <w:p w14:paraId="10E0A9F6">
      <w:pPr>
        <w:ind w:firstLine="480"/>
        <w:jc w:val="both"/>
        <w:rPr>
          <w:rFonts w:hint="default" w:ascii="Times New Roman" w:hAnsi="Times New Roman" w:cs="Times New Roman"/>
          <w:lang w:eastAsia="zh-CN"/>
        </w:rPr>
      </w:pPr>
      <w:r>
        <w:rPr>
          <w:rFonts w:hint="default" w:ascii="Times New Roman" w:hAnsi="Times New Roman" w:cs="Times New Roman"/>
          <w:lang w:eastAsia="zh-CN"/>
        </w:rPr>
        <w:t>（4）与当地的主体功能区划、生态控制线规划、土地利用规划等相关规划相协调。</w:t>
      </w:r>
    </w:p>
    <w:p w14:paraId="7E1DEE32">
      <w:pPr>
        <w:ind w:firstLine="480"/>
        <w:jc w:val="both"/>
        <w:rPr>
          <w:rFonts w:hint="default" w:ascii="Times New Roman" w:hAnsi="Times New Roman" w:cs="Times New Roman"/>
          <w:lang w:eastAsia="zh-CN"/>
        </w:rPr>
      </w:pPr>
      <w:r>
        <w:rPr>
          <w:rFonts w:hint="default" w:ascii="Times New Roman" w:hAnsi="Times New Roman" w:cs="Times New Roman"/>
          <w:lang w:eastAsia="zh-CN"/>
        </w:rPr>
        <w:t>因此，重点预防区的划分需综合考虑当地的相关规划，利用生态控制线规划、自然保护区、饮用水源保护区等作为雷州市的重要生态功能区域，通过土壤侵蚀强度反映区域水土流失，利用人类社会经济活动强度对重点预防区划分成果进行调整。</w:t>
      </w:r>
    </w:p>
    <w:p w14:paraId="704F1399">
      <w:pPr>
        <w:pStyle w:val="7"/>
        <w:numPr>
          <w:ilvl w:val="0"/>
          <w:numId w:val="0"/>
        </w:numPr>
        <w:spacing w:before="120" w:beforeLines="50" w:beforeAutospacing="0" w:after="0" w:afterAutospacing="0"/>
        <w:rPr>
          <w:rFonts w:hint="default" w:ascii="Times New Roman" w:hAnsi="Times New Roman" w:cs="Times New Roman"/>
          <w:lang w:eastAsia="zh-CN"/>
        </w:rPr>
      </w:pPr>
      <w:bookmarkStart w:id="107" w:name="_Toc29515"/>
      <w:r>
        <w:rPr>
          <w:rFonts w:hint="default" w:ascii="Times New Roman" w:hAnsi="Times New Roman" w:cs="Times New Roman"/>
          <w:lang w:eastAsia="zh-CN"/>
        </w:rPr>
        <w:t>2.2 上位水土流失的预防区划分概述</w:t>
      </w:r>
      <w:bookmarkEnd w:id="107"/>
    </w:p>
    <w:p w14:paraId="4BCABBB6">
      <w:pPr>
        <w:ind w:firstLine="480"/>
        <w:jc w:val="both"/>
        <w:rPr>
          <w:rFonts w:hint="default" w:ascii="Times New Roman" w:hAnsi="Times New Roman" w:cs="Times New Roman"/>
          <w:lang w:eastAsia="zh-CN"/>
        </w:rPr>
      </w:pPr>
      <w:r>
        <w:rPr>
          <w:rFonts w:hint="default" w:ascii="Times New Roman" w:hAnsi="Times New Roman" w:cs="Times New Roman"/>
          <w:lang w:eastAsia="zh-CN"/>
        </w:rPr>
        <w:t>（1）国家水保规划中雷州市水土流失重点预防区概况</w:t>
      </w:r>
    </w:p>
    <w:p w14:paraId="160B7961">
      <w:pPr>
        <w:ind w:firstLine="480"/>
        <w:jc w:val="both"/>
        <w:rPr>
          <w:rFonts w:hint="default" w:ascii="Times New Roman" w:hAnsi="Times New Roman" w:cs="Times New Roman"/>
          <w:lang w:eastAsia="zh-CN"/>
        </w:rPr>
      </w:pPr>
      <w:r>
        <w:rPr>
          <w:rFonts w:hint="default" w:ascii="Times New Roman" w:hAnsi="Times New Roman" w:cs="Times New Roman"/>
          <w:lang w:eastAsia="zh-CN"/>
        </w:rPr>
        <w:t>国家级水土流失重点预防区以县级行政区为划分单元，根据《全国水土流失规划》中，雷州市不在国家级水土流失重点预防区。</w:t>
      </w:r>
    </w:p>
    <w:p w14:paraId="2CEB6813">
      <w:pPr>
        <w:ind w:firstLine="480"/>
        <w:jc w:val="both"/>
        <w:rPr>
          <w:rFonts w:hint="default" w:ascii="Times New Roman" w:hAnsi="Times New Roman" w:cs="Times New Roman"/>
          <w:lang w:eastAsia="zh-CN"/>
        </w:rPr>
      </w:pPr>
      <w:r>
        <w:rPr>
          <w:rFonts w:hint="default" w:ascii="Times New Roman" w:hAnsi="Times New Roman" w:cs="Times New Roman"/>
          <w:lang w:eastAsia="zh-CN"/>
        </w:rPr>
        <w:t>（2）省级水保规划中雷州市水土流失重点预防区概况</w:t>
      </w:r>
    </w:p>
    <w:p w14:paraId="08C2C248">
      <w:pPr>
        <w:ind w:firstLine="480"/>
        <w:jc w:val="both"/>
        <w:rPr>
          <w:rFonts w:hint="default" w:ascii="Times New Roman" w:hAnsi="Times New Roman" w:cs="Times New Roman"/>
          <w:lang w:eastAsia="zh-CN"/>
        </w:rPr>
      </w:pPr>
      <w:r>
        <w:rPr>
          <w:rFonts w:hint="default" w:ascii="Times New Roman" w:hAnsi="Times New Roman" w:cs="Times New Roman"/>
          <w:lang w:eastAsia="zh-CN"/>
        </w:rPr>
        <w:t>广东省省级水土流失重点预防区以镇级行政区为划分单元，根据《广东省水利厅关于划分省级水土流失重点预防区和重点治理区的公告》中，雷州市不在省级水土流失重点预防区。</w:t>
      </w:r>
    </w:p>
    <w:p w14:paraId="0DDEA703">
      <w:pPr>
        <w:ind w:firstLine="480"/>
        <w:jc w:val="both"/>
        <w:rPr>
          <w:rFonts w:hint="default" w:ascii="Times New Roman" w:hAnsi="Times New Roman" w:cs="Times New Roman"/>
          <w:lang w:eastAsia="zh-CN"/>
        </w:rPr>
      </w:pPr>
    </w:p>
    <w:p w14:paraId="4A8B6C52">
      <w:pPr>
        <w:ind w:firstLine="480"/>
        <w:jc w:val="both"/>
        <w:rPr>
          <w:rFonts w:hint="default" w:ascii="Times New Roman" w:hAnsi="Times New Roman" w:cs="Times New Roman"/>
          <w:lang w:eastAsia="zh-CN"/>
        </w:rPr>
      </w:pPr>
      <w:r>
        <w:rPr>
          <w:rFonts w:hint="default" w:ascii="Times New Roman" w:hAnsi="Times New Roman" w:cs="Times New Roman"/>
          <w:lang w:eastAsia="zh-CN"/>
        </w:rPr>
        <w:t>（3）市级水保规划中雷州市水土流失重点预防区概况</w:t>
      </w:r>
    </w:p>
    <w:p w14:paraId="2E77FCC7">
      <w:pPr>
        <w:ind w:firstLine="480"/>
        <w:jc w:val="both"/>
        <w:rPr>
          <w:rFonts w:hint="default" w:ascii="Times New Roman" w:hAnsi="Times New Roman" w:cs="Times New Roman"/>
          <w:lang w:eastAsia="zh-CN"/>
        </w:rPr>
      </w:pPr>
      <w:r>
        <w:rPr>
          <w:rFonts w:hint="default" w:ascii="Times New Roman" w:hAnsi="Times New Roman" w:cs="Times New Roman"/>
          <w:lang w:eastAsia="zh-CN"/>
        </w:rPr>
        <w:t>湛江市市省级水土流失重点预防区以镇级行政区为划分单元，根据《湛江市水土保持规划》中，雷州市没有镇街行政区域在市级水土流失重点预防区。</w:t>
      </w:r>
    </w:p>
    <w:p w14:paraId="1BFB2246">
      <w:pPr>
        <w:pStyle w:val="7"/>
        <w:numPr>
          <w:ilvl w:val="0"/>
          <w:numId w:val="0"/>
        </w:numPr>
        <w:spacing w:before="120" w:beforeLines="50" w:beforeAutospacing="0" w:after="0" w:afterAutospacing="0"/>
        <w:rPr>
          <w:rFonts w:hint="default" w:ascii="Times New Roman" w:hAnsi="Times New Roman" w:cs="Times New Roman"/>
          <w:lang w:eastAsia="zh-CN"/>
        </w:rPr>
      </w:pPr>
      <w:bookmarkStart w:id="108" w:name="_Toc520723990"/>
      <w:bookmarkStart w:id="109" w:name="_Toc30874"/>
      <w:r>
        <w:rPr>
          <w:rFonts w:hint="default" w:ascii="Times New Roman" w:hAnsi="Times New Roman" w:cs="Times New Roman"/>
          <w:lang w:eastAsia="zh-CN"/>
        </w:rPr>
        <w:t>2.3划分标准及方法</w:t>
      </w:r>
      <w:bookmarkEnd w:id="108"/>
      <w:bookmarkEnd w:id="109"/>
    </w:p>
    <w:p w14:paraId="6D2A9D4E">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110" w:name="_Toc471821851"/>
      <w:bookmarkStart w:id="111" w:name="_Toc471822173"/>
      <w:bookmarkStart w:id="112" w:name="_Toc471824037"/>
      <w:bookmarkStart w:id="113" w:name="_Toc20270"/>
      <w:r>
        <w:rPr>
          <w:rFonts w:hint="default" w:ascii="Times New Roman" w:hAnsi="Times New Roman" w:cs="Times New Roman"/>
          <w:lang w:eastAsia="zh-CN"/>
        </w:rPr>
        <w:t>2.3.1划分标准</w:t>
      </w:r>
      <w:bookmarkEnd w:id="110"/>
      <w:bookmarkEnd w:id="111"/>
      <w:bookmarkEnd w:id="112"/>
      <w:bookmarkEnd w:id="113"/>
    </w:p>
    <w:p w14:paraId="6E19C6BA">
      <w:pPr>
        <w:ind w:firstLine="480"/>
        <w:rPr>
          <w:rFonts w:hint="default" w:ascii="Times New Roman" w:hAnsi="Times New Roman" w:cs="Times New Roman"/>
          <w:lang w:eastAsia="zh-CN"/>
        </w:rPr>
      </w:pPr>
      <w:r>
        <w:rPr>
          <w:rFonts w:hint="default" w:ascii="Times New Roman" w:hAnsi="Times New Roman" w:cs="Times New Roman"/>
          <w:lang w:eastAsia="zh-CN"/>
        </w:rPr>
        <w:t>（1）轻微度水土流失面积比：以镇级行政区为基本划分单元，根据土壤侵蚀强度，拟将土壤侵蚀强度轻微度所占的比例在96%以上的镇级行政区确定为土壤侵蚀轻微区并上图。</w:t>
      </w:r>
    </w:p>
    <w:p w14:paraId="2CB7AB64">
      <w:pPr>
        <w:ind w:firstLine="480"/>
        <w:rPr>
          <w:rFonts w:hint="default" w:ascii="Times New Roman" w:hAnsi="Times New Roman" w:cs="Times New Roman"/>
          <w:lang w:eastAsia="zh-CN"/>
        </w:rPr>
      </w:pPr>
      <w:r>
        <w:rPr>
          <w:rFonts w:hint="default" w:ascii="Times New Roman" w:hAnsi="Times New Roman" w:cs="Times New Roman"/>
          <w:lang w:eastAsia="zh-CN"/>
        </w:rPr>
        <w:t>（2）林草植被覆盖率：以镇级行政区为基本划分单元，确定镇级行政区内林草植被覆盖率大于45%的区域（扣除水域面积后计算），满足上述要求的镇级行政区才可划入水土流失预防区。</w:t>
      </w:r>
    </w:p>
    <w:p w14:paraId="52C81675">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（3）重要生态功能区域：重要生态功能区域主要是，根据《雷州市国土空间总体规划（2021</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2035年）》和《雷州</w:t>
      </w:r>
      <w:r>
        <w:rPr>
          <w:rFonts w:hint="default" w:ascii="Times New Roman" w:hAnsi="Times New Roman" w:cs="Times New Roman"/>
          <w:kern w:val="2"/>
          <w:sz w:val="24"/>
          <w:lang w:eastAsia="zh-CN"/>
        </w:rPr>
        <w:t>市生态保护红线》</w:t>
      </w:r>
      <w:r>
        <w:rPr>
          <w:rFonts w:hint="default" w:ascii="Times New Roman" w:hAnsi="Times New Roman" w:cs="Times New Roman"/>
          <w:sz w:val="24"/>
          <w:lang w:eastAsia="zh-CN"/>
        </w:rPr>
        <w:t>等规划，确定生态严控区范围，主要包括市级及以上自然保护区、水源保护区的一级保护区、干流、全省性重要水源林、省级及以上生态公益林区、市级及以上湿地保护区、无居民岛屿及群岛、省级以上风景名胜区、森林公园、地质公园、湿地公园等生态控制线严控区；上述范围符合前述土壤侵蚀强度及林草植被覆盖率条件的同时集中连片区域纳入水土流失重点预防区。</w:t>
      </w:r>
    </w:p>
    <w:p w14:paraId="22B8D0B3">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（4）人类社会经济活动强度：</w:t>
      </w:r>
    </w:p>
    <w:p w14:paraId="4CE4DB3C">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人类社会经济活动强度可反映区域内开发建设强度，一定程度上反映出区域内人为水土流失程度、类型及数量，本规划中人类社会经济活动强度主要通过区域内人口密度和开发建设强度来反映。一般情况下，重点预防区内人类社会经济活动较弱。</w:t>
      </w:r>
    </w:p>
    <w:p w14:paraId="69B63C9A">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雷州市水土流失重点预防区划分指标体系构成表见表</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-1。</w:t>
      </w:r>
    </w:p>
    <w:p w14:paraId="6EF0195E">
      <w:pPr>
        <w:pStyle w:val="9"/>
        <w:numPr>
          <w:ilvl w:val="0"/>
          <w:numId w:val="0"/>
        </w:numPr>
        <w:snapToGrid w:val="0"/>
        <w:spacing w:before="0" w:beforeLines="0"/>
        <w:rPr>
          <w:rFonts w:hint="default" w:ascii="Times New Roman" w:hAnsi="Times New Roman" w:cs="Times New Roman"/>
          <w:lang w:eastAsia="zh-CN"/>
        </w:rPr>
      </w:pPr>
      <w:bookmarkStart w:id="114" w:name="_Toc471824038"/>
      <w:bookmarkStart w:id="115" w:name="_Toc471821852"/>
      <w:bookmarkStart w:id="116" w:name="_Toc471822174"/>
      <w:bookmarkStart w:id="117" w:name="_Toc15516"/>
      <w:r>
        <w:rPr>
          <w:rFonts w:hint="default" w:ascii="Times New Roman" w:hAnsi="Times New Roman" w:cs="Times New Roman"/>
          <w:lang w:eastAsia="zh-CN"/>
        </w:rPr>
        <w:t>2.3.2划分方法</w:t>
      </w:r>
      <w:bookmarkEnd w:id="114"/>
      <w:bookmarkEnd w:id="115"/>
      <w:bookmarkEnd w:id="116"/>
      <w:bookmarkEnd w:id="117"/>
    </w:p>
    <w:p w14:paraId="14DCD166">
      <w:pPr>
        <w:pStyle w:val="8"/>
        <w:ind w:firstLine="480"/>
        <w:rPr>
          <w:rFonts w:hint="default" w:ascii="Times New Roman" w:hAnsi="Times New Roman" w:cs="Times New Roman"/>
          <w:sz w:val="24"/>
          <w:lang w:eastAsia="zh-CN"/>
        </w:rPr>
      </w:pPr>
      <w:r>
        <w:rPr>
          <w:rFonts w:hint="default" w:ascii="Times New Roman" w:hAnsi="Times New Roman" w:cs="Times New Roman"/>
          <w:sz w:val="24"/>
          <w:lang w:eastAsia="zh-CN"/>
        </w:rPr>
        <w:t>将重要生态功能区区域上图，与水土流失轻微区图中的图斑以及林草植被覆盖率较高区图斑，初步作为雷州市重点预防区。初步确定雷州市重点预防区后，利用各镇区内人口密度和开发建设项目强度，判断人类社会经济强度，在集中连片原则下，对已有初步划定的重点预防区进行适当调整，最后确定雷州市水土流失重点预防区。</w:t>
      </w:r>
    </w:p>
    <w:p w14:paraId="07BAB2E1">
      <w:pPr>
        <w:spacing w:line="240" w:lineRule="auto"/>
        <w:jc w:val="center"/>
        <w:rPr>
          <w:rFonts w:hint="default" w:ascii="Times New Roman" w:hAnsi="Times New Roman" w:cs="Times New Roman" w:eastAsiaTheme="minorEastAsia"/>
          <w:b/>
          <w:bCs w:val="0"/>
          <w:kern w:val="2"/>
          <w:sz w:val="24"/>
          <w:szCs w:val="24"/>
          <w:lang w:eastAsia="zh-CN"/>
        </w:rPr>
      </w:pPr>
      <w:r>
        <w:rPr>
          <w:rFonts w:hint="default" w:ascii="Times New Roman" w:hAnsi="Times New Roman" w:cs="Times New Roman" w:eastAsiaTheme="minorEastAsia"/>
          <w:b/>
          <w:bCs w:val="0"/>
          <w:kern w:val="2"/>
          <w:sz w:val="24"/>
          <w:szCs w:val="24"/>
          <w:lang w:eastAsia="zh-CN"/>
        </w:rPr>
        <w:t>表</w:t>
      </w:r>
      <w:r>
        <w:rPr>
          <w:rFonts w:hint="default" w:ascii="Times New Roman" w:hAnsi="Times New Roman" w:cs="Times New Roman" w:eastAsiaTheme="minorEastAsia"/>
          <w:b/>
          <w:bCs w:val="0"/>
          <w:kern w:val="2"/>
          <w:sz w:val="24"/>
          <w:szCs w:val="24"/>
          <w:lang w:val="en-US" w:eastAsia="zh-CN"/>
        </w:rPr>
        <w:t>2</w:t>
      </w:r>
      <w:r>
        <w:rPr>
          <w:rFonts w:hint="default" w:ascii="Times New Roman" w:hAnsi="Times New Roman" w:cs="Times New Roman" w:eastAsiaTheme="minorEastAsia"/>
          <w:b/>
          <w:bCs w:val="0"/>
          <w:kern w:val="2"/>
          <w:sz w:val="24"/>
          <w:szCs w:val="24"/>
          <w:lang w:eastAsia="zh-CN"/>
        </w:rPr>
        <w:t>-1  雷州市水土流失重点预防区划分指标体系构成表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64"/>
        <w:gridCol w:w="2545"/>
        <w:gridCol w:w="3613"/>
      </w:tblGrid>
      <w:tr w14:paraId="5B2E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58" w:type="pct"/>
            <w:vAlign w:val="center"/>
          </w:tcPr>
          <w:p w14:paraId="3CED907C">
            <w:pPr>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序号</w:t>
            </w:r>
          </w:p>
        </w:tc>
        <w:tc>
          <w:tcPr>
            <w:tcW w:w="1011" w:type="pct"/>
            <w:vAlign w:val="center"/>
          </w:tcPr>
          <w:p w14:paraId="3B07713F">
            <w:pPr>
              <w:ind w:firstLine="420"/>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指标构成</w:t>
            </w:r>
          </w:p>
        </w:tc>
        <w:tc>
          <w:tcPr>
            <w:tcW w:w="1459" w:type="pct"/>
            <w:vAlign w:val="center"/>
          </w:tcPr>
          <w:p w14:paraId="574EE04E">
            <w:pPr>
              <w:ind w:firstLine="420"/>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指标分解</w:t>
            </w:r>
          </w:p>
        </w:tc>
        <w:tc>
          <w:tcPr>
            <w:tcW w:w="2071" w:type="pct"/>
            <w:vAlign w:val="center"/>
          </w:tcPr>
          <w:p w14:paraId="503A70B6">
            <w:pPr>
              <w:ind w:firstLine="420"/>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指标说明</w:t>
            </w:r>
          </w:p>
        </w:tc>
      </w:tr>
      <w:tr w14:paraId="167D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8" w:type="pct"/>
            <w:vAlign w:val="center"/>
          </w:tcPr>
          <w:p w14:paraId="1CE214D9">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1</w:t>
            </w:r>
          </w:p>
        </w:tc>
        <w:tc>
          <w:tcPr>
            <w:tcW w:w="1011" w:type="pct"/>
            <w:vAlign w:val="center"/>
          </w:tcPr>
          <w:p w14:paraId="07BD2AF2">
            <w:pPr>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土壤侵蚀强度</w:t>
            </w:r>
          </w:p>
        </w:tc>
        <w:tc>
          <w:tcPr>
            <w:tcW w:w="1459" w:type="pct"/>
            <w:vAlign w:val="center"/>
          </w:tcPr>
          <w:p w14:paraId="7F50FA0B">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轻微度水土流失面积比</w:t>
            </w:r>
          </w:p>
        </w:tc>
        <w:tc>
          <w:tcPr>
            <w:tcW w:w="2071" w:type="pct"/>
            <w:vAlign w:val="center"/>
          </w:tcPr>
          <w:p w14:paraId="21A427D7">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以镇街为单元，根据轻微度水土流失面积比确定土壤侵蚀轻微区。</w:t>
            </w:r>
          </w:p>
        </w:tc>
      </w:tr>
      <w:tr w14:paraId="016D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8" w:type="pct"/>
            <w:vAlign w:val="center"/>
          </w:tcPr>
          <w:p w14:paraId="6A525D89">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2</w:t>
            </w:r>
          </w:p>
        </w:tc>
        <w:tc>
          <w:tcPr>
            <w:tcW w:w="1011" w:type="pct"/>
            <w:vAlign w:val="center"/>
          </w:tcPr>
          <w:p w14:paraId="1C322F5D">
            <w:pPr>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林草植被覆盖率</w:t>
            </w:r>
          </w:p>
        </w:tc>
        <w:tc>
          <w:tcPr>
            <w:tcW w:w="1459" w:type="pct"/>
            <w:vAlign w:val="center"/>
          </w:tcPr>
          <w:p w14:paraId="10B5CDFB">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林地、草地占国土面积的比例</w:t>
            </w:r>
          </w:p>
        </w:tc>
        <w:tc>
          <w:tcPr>
            <w:tcW w:w="2071" w:type="pct"/>
            <w:vAlign w:val="center"/>
          </w:tcPr>
          <w:p w14:paraId="434F960E">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以镇街为单元，根据林地、草地占国土面积的比例确定林草植被覆盖率。</w:t>
            </w:r>
          </w:p>
        </w:tc>
      </w:tr>
      <w:tr w14:paraId="64B2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458" w:type="pct"/>
            <w:vAlign w:val="center"/>
          </w:tcPr>
          <w:p w14:paraId="226F9A12">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3</w:t>
            </w:r>
          </w:p>
        </w:tc>
        <w:tc>
          <w:tcPr>
            <w:tcW w:w="1011" w:type="pct"/>
            <w:vAlign w:val="center"/>
          </w:tcPr>
          <w:p w14:paraId="25DA9EB1">
            <w:pPr>
              <w:jc w:val="both"/>
              <w:rPr>
                <w:rFonts w:hint="default" w:ascii="Times New Roman" w:hAnsi="Times New Roman" w:cs="Times New Roman"/>
                <w:sz w:val="21"/>
                <w:szCs w:val="21"/>
              </w:rPr>
            </w:pPr>
            <w:r>
              <w:rPr>
                <w:rFonts w:hint="default" w:ascii="Times New Roman" w:hAnsi="Times New Roman" w:cs="Times New Roman"/>
                <w:kern w:val="2"/>
                <w:sz w:val="21"/>
                <w:szCs w:val="21"/>
              </w:rPr>
              <w:t>重要生态功能区域</w:t>
            </w:r>
          </w:p>
        </w:tc>
        <w:tc>
          <w:tcPr>
            <w:tcW w:w="1459" w:type="pct"/>
            <w:vAlign w:val="center"/>
          </w:tcPr>
          <w:p w14:paraId="149DFAEC">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国家、省、市级自然保护区；各级森林公园、饮用水源保护区等生态控制线中的一级管制区。</w:t>
            </w:r>
          </w:p>
        </w:tc>
        <w:tc>
          <w:tcPr>
            <w:tcW w:w="2071" w:type="pct"/>
            <w:vAlign w:val="center"/>
          </w:tcPr>
          <w:p w14:paraId="2722680D">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《雷州市城市总体规划（2011-2035年）和《雷州市生态保护红线》等规划范围，涉及的区域内，定量指标接近时可放宽标准定性判断。</w:t>
            </w:r>
          </w:p>
        </w:tc>
      </w:tr>
      <w:tr w14:paraId="6ED7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458" w:type="pct"/>
            <w:vAlign w:val="center"/>
          </w:tcPr>
          <w:p w14:paraId="314E7370">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4</w:t>
            </w:r>
          </w:p>
        </w:tc>
        <w:tc>
          <w:tcPr>
            <w:tcW w:w="1011" w:type="pct"/>
            <w:vAlign w:val="center"/>
          </w:tcPr>
          <w:p w14:paraId="2776283F">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人类社会经济活动强度</w:t>
            </w:r>
          </w:p>
        </w:tc>
        <w:tc>
          <w:tcPr>
            <w:tcW w:w="1459" w:type="pct"/>
            <w:vAlign w:val="center"/>
          </w:tcPr>
          <w:p w14:paraId="7288DFD1">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属开发建设强度中低区、人口密度低密度区</w:t>
            </w:r>
          </w:p>
        </w:tc>
        <w:tc>
          <w:tcPr>
            <w:tcW w:w="2071" w:type="pct"/>
            <w:vAlign w:val="center"/>
          </w:tcPr>
          <w:p w14:paraId="28E7134E">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确定人口密度（低密度区）与开发建设强度（低开发区），该项指标作为调整指标</w:t>
            </w:r>
          </w:p>
        </w:tc>
      </w:tr>
      <w:tr w14:paraId="50D9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458" w:type="pct"/>
            <w:vAlign w:val="center"/>
          </w:tcPr>
          <w:p w14:paraId="497B6C67">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5</w:t>
            </w:r>
          </w:p>
        </w:tc>
        <w:tc>
          <w:tcPr>
            <w:tcW w:w="1011" w:type="pct"/>
            <w:vAlign w:val="center"/>
          </w:tcPr>
          <w:p w14:paraId="12F6EE2E">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辅助性指标</w:t>
            </w:r>
          </w:p>
        </w:tc>
        <w:tc>
          <w:tcPr>
            <w:tcW w:w="1459" w:type="pct"/>
            <w:vAlign w:val="center"/>
          </w:tcPr>
          <w:p w14:paraId="15143A36">
            <w:pPr>
              <w:ind w:firstLine="199" w:firstLineChars="95"/>
              <w:jc w:val="both"/>
              <w:rPr>
                <w:rFonts w:hint="default" w:ascii="Times New Roman" w:hAnsi="Times New Roman" w:cs="Times New Roman"/>
                <w:kern w:val="2"/>
                <w:sz w:val="21"/>
                <w:szCs w:val="21"/>
              </w:rPr>
            </w:pPr>
            <w:r>
              <w:rPr>
                <w:rFonts w:hint="default" w:ascii="Times New Roman" w:hAnsi="Times New Roman" w:cs="Times New Roman"/>
                <w:kern w:val="2"/>
                <w:sz w:val="21"/>
                <w:szCs w:val="21"/>
              </w:rPr>
              <w:t>集中连片原则</w:t>
            </w:r>
          </w:p>
        </w:tc>
        <w:tc>
          <w:tcPr>
            <w:tcW w:w="2071" w:type="pct"/>
            <w:vAlign w:val="center"/>
          </w:tcPr>
          <w:p w14:paraId="2BD49B2D">
            <w:pPr>
              <w:jc w:val="both"/>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根据集中连片原则对重点预防区适当修正。</w:t>
            </w:r>
          </w:p>
        </w:tc>
      </w:tr>
    </w:tbl>
    <w:p w14:paraId="7430B1AB">
      <w:pPr>
        <w:pStyle w:val="2"/>
        <w:ind w:firstLine="480"/>
        <w:rPr>
          <w:rFonts w:hint="default" w:ascii="Times New Roman" w:hAnsi="Times New Roman" w:cs="Times New Roman"/>
          <w:lang w:eastAsia="zh-CN"/>
        </w:rPr>
      </w:pPr>
    </w:p>
    <w:p w14:paraId="083EBF89">
      <w:pPr>
        <w:pStyle w:val="2"/>
        <w:ind w:firstLine="480"/>
        <w:rPr>
          <w:rFonts w:hint="default" w:ascii="Times New Roman" w:hAnsi="Times New Roman" w:cs="Times New Roman"/>
          <w:lang w:eastAsia="zh-CN"/>
        </w:rPr>
      </w:pPr>
    </w:p>
    <w:p w14:paraId="13B02EB9">
      <w:pPr>
        <w:pStyle w:val="2"/>
        <w:ind w:firstLine="480"/>
        <w:rPr>
          <w:rFonts w:hint="default" w:ascii="Times New Roman" w:hAnsi="Times New Roman" w:cs="Times New Roman"/>
          <w:lang w:eastAsia="zh-CN"/>
        </w:rPr>
      </w:pPr>
    </w:p>
    <w:p w14:paraId="6A0CB741">
      <w:pPr>
        <w:pStyle w:val="2"/>
        <w:ind w:firstLine="480"/>
        <w:rPr>
          <w:rFonts w:hint="default" w:ascii="Times New Roman" w:hAnsi="Times New Roman" w:cs="Times New Roman"/>
          <w:lang w:eastAsia="zh-CN"/>
        </w:rPr>
      </w:pPr>
    </w:p>
    <w:p w14:paraId="7DA46487">
      <w:pPr>
        <w:pStyle w:val="2"/>
        <w:ind w:firstLine="480"/>
        <w:rPr>
          <w:rFonts w:hint="default" w:ascii="Times New Roman" w:hAnsi="Times New Roman" w:cs="Times New Roman"/>
          <w:lang w:eastAsia="zh-CN"/>
        </w:rPr>
        <w:sectPr>
          <w:pgSz w:w="11907" w:h="16840"/>
          <w:pgMar w:top="1418" w:right="1418" w:bottom="1418" w:left="1985" w:header="851" w:footer="851" w:gutter="0"/>
          <w:cols w:space="425" w:num="1"/>
          <w:docGrid w:linePitch="312" w:charSpace="0"/>
        </w:sectPr>
      </w:pPr>
    </w:p>
    <w:p w14:paraId="1C241A69">
      <w:pPr>
        <w:pStyle w:val="6"/>
        <w:numPr>
          <w:ilvl w:val="0"/>
          <w:numId w:val="0"/>
        </w:numPr>
        <w:tabs>
          <w:tab w:val="left" w:pos="432"/>
        </w:tabs>
        <w:spacing w:before="120" w:beforeLines="50" w:after="120" w:afterLines="50"/>
        <w:rPr>
          <w:rFonts w:hint="default" w:ascii="Times New Roman" w:hAnsi="Times New Roman" w:cs="Times New Roman"/>
          <w:sz w:val="30"/>
          <w:szCs w:val="30"/>
        </w:rPr>
      </w:pPr>
      <w:bookmarkStart w:id="118" w:name="_Toc520723991"/>
      <w:bookmarkStart w:id="119" w:name="_Toc29374"/>
      <w:r>
        <w:rPr>
          <w:rFonts w:hint="default" w:ascii="Times New Roman" w:hAnsi="Times New Roman" w:cs="Times New Roman"/>
          <w:sz w:val="30"/>
          <w:szCs w:val="30"/>
        </w:rPr>
        <w:t>3重点治理区划分</w:t>
      </w:r>
      <w:bookmarkEnd w:id="118"/>
      <w:bookmarkEnd w:id="119"/>
    </w:p>
    <w:p w14:paraId="4B5BE9A4">
      <w:pPr>
        <w:pStyle w:val="7"/>
        <w:numPr>
          <w:ilvl w:val="0"/>
          <w:numId w:val="0"/>
        </w:numPr>
        <w:spacing w:before="120" w:beforeLines="50" w:beforeAutospacing="0" w:after="0" w:afterAutospacing="0"/>
        <w:rPr>
          <w:rFonts w:hint="default" w:ascii="Times New Roman" w:hAnsi="Times New Roman" w:cs="Times New Roman"/>
          <w:lang w:eastAsia="zh-CN"/>
        </w:rPr>
      </w:pPr>
      <w:bookmarkStart w:id="120" w:name="_Toc520723992"/>
      <w:bookmarkStart w:id="121" w:name="_Toc8002"/>
      <w:r>
        <w:rPr>
          <w:rFonts w:hint="default" w:ascii="Times New Roman" w:hAnsi="Times New Roman" w:cs="Times New Roman"/>
          <w:lang w:eastAsia="zh-CN"/>
        </w:rPr>
        <w:t>3.1划分指标体系</w:t>
      </w:r>
      <w:bookmarkEnd w:id="120"/>
      <w:bookmarkEnd w:id="121"/>
    </w:p>
    <w:p w14:paraId="565E75DB">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据新修订的《中华人民共和国水土保持法》，水土流失严重的区域应当划定为重点治理区。水土流失严重地区主要指人口密度较大、人为活动较为频繁、生态环境恶化、自然条件恶劣、水土流失是当地和下游社会发展主要制约因素的区域。</w:t>
      </w:r>
    </w:p>
    <w:p w14:paraId="17667708">
      <w:pPr>
        <w:snapToGrid w:val="0"/>
        <w:ind w:firstLine="480"/>
        <w:jc w:val="both"/>
        <w:rPr>
          <w:rFonts w:hint="default" w:ascii="Times New Roman" w:hAnsi="Times New Roman" w:cs="Times New Roman"/>
          <w:highlight w:val="none"/>
          <w:lang w:eastAsia="zh-CN"/>
        </w:rPr>
      </w:pPr>
      <w:r>
        <w:rPr>
          <w:rFonts w:hint="default" w:ascii="Times New Roman" w:hAnsi="Times New Roman" w:cs="Times New Roman"/>
          <w:lang w:eastAsia="zh-CN"/>
        </w:rPr>
        <w:t>综上，结合雷州市地方的实际情况</w:t>
      </w:r>
      <w:r>
        <w:rPr>
          <w:rFonts w:hint="default" w:ascii="Times New Roman" w:hAnsi="Times New Roman" w:cs="Times New Roman"/>
          <w:highlight w:val="none"/>
          <w:lang w:eastAsia="zh-CN"/>
        </w:rPr>
        <w:t>，雷州市水土流失重点治理区应符合以下要求：</w:t>
      </w:r>
    </w:p>
    <w:p w14:paraId="271D32CB">
      <w:pPr>
        <w:snapToGrid w:val="0"/>
        <w:ind w:firstLine="480"/>
        <w:jc w:val="both"/>
        <w:rPr>
          <w:rFonts w:hint="default" w:ascii="Times New Roman" w:hAnsi="Times New Roman" w:cs="Times New Roman"/>
          <w:highlight w:val="none"/>
          <w:lang w:eastAsia="zh-CN"/>
        </w:rPr>
      </w:pPr>
      <w:r>
        <w:rPr>
          <w:rFonts w:hint="default" w:ascii="Times New Roman" w:hAnsi="Times New Roman" w:cs="Times New Roman"/>
          <w:highlight w:val="none"/>
          <w:lang w:eastAsia="zh-CN"/>
        </w:rPr>
        <w:t>（1）水土流失严重，对境内干流和重要支流、重要水库淤积影响较大；</w:t>
      </w:r>
    </w:p>
    <w:p w14:paraId="1986C643">
      <w:pPr>
        <w:snapToGrid w:val="0"/>
        <w:ind w:firstLine="480"/>
        <w:jc w:val="both"/>
        <w:rPr>
          <w:rFonts w:hint="default" w:ascii="Times New Roman" w:hAnsi="Times New Roman" w:cs="Times New Roman"/>
          <w:highlight w:val="none"/>
          <w:lang w:eastAsia="zh-CN"/>
        </w:rPr>
      </w:pPr>
      <w:r>
        <w:rPr>
          <w:rFonts w:hint="default" w:ascii="Times New Roman" w:hAnsi="Times New Roman" w:cs="Times New Roman"/>
          <w:highlight w:val="none"/>
          <w:lang w:eastAsia="zh-CN"/>
        </w:rPr>
        <w:t>（2）水土流失严重威胁土地资源，造成土地生产力下降，直接影响农业生产和农村生活，急需开展抢救性、保护性治理的区域；</w:t>
      </w:r>
    </w:p>
    <w:p w14:paraId="6CD6DC97">
      <w:pPr>
        <w:snapToGrid w:val="0"/>
        <w:ind w:firstLine="480"/>
        <w:jc w:val="both"/>
        <w:rPr>
          <w:rFonts w:hint="default" w:ascii="Times New Roman" w:hAnsi="Times New Roman" w:cs="Times New Roman"/>
          <w:lang w:eastAsia="zh-CN"/>
        </w:rPr>
      </w:pPr>
      <w:r>
        <w:rPr>
          <w:rFonts w:hint="default" w:ascii="Times New Roman" w:hAnsi="Times New Roman" w:cs="Times New Roman"/>
          <w:highlight w:val="none"/>
          <w:lang w:eastAsia="zh-CN"/>
        </w:rPr>
        <w:t>（3）主要水土流失侵蚀类型集中区，如崩岗、坡耕地严重</w:t>
      </w:r>
      <w:r>
        <w:rPr>
          <w:rFonts w:hint="default" w:ascii="Times New Roman" w:hAnsi="Times New Roman" w:cs="Times New Roman"/>
          <w:lang w:eastAsia="zh-CN"/>
        </w:rPr>
        <w:t xml:space="preserve">区； </w:t>
      </w:r>
    </w:p>
    <w:p w14:paraId="2744FF7A">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（4）涉及革命老区、贫困人口集中地区、少数民族聚居区等民生治理迫切的特定区域。</w:t>
      </w:r>
    </w:p>
    <w:p w14:paraId="5D0B19F9">
      <w:pPr>
        <w:pStyle w:val="7"/>
        <w:numPr>
          <w:ilvl w:val="0"/>
          <w:numId w:val="0"/>
        </w:numPr>
        <w:spacing w:before="120" w:beforeLines="50" w:beforeAutospacing="0" w:after="0" w:afterAutospacing="0"/>
        <w:rPr>
          <w:rFonts w:hint="default" w:ascii="Times New Roman" w:hAnsi="Times New Roman" w:cs="Times New Roman"/>
          <w:lang w:eastAsia="zh-CN"/>
        </w:rPr>
      </w:pPr>
      <w:bookmarkStart w:id="122" w:name="_Toc3691"/>
      <w:r>
        <w:rPr>
          <w:rFonts w:hint="default" w:ascii="Times New Roman" w:hAnsi="Times New Roman" w:cs="Times New Roman"/>
          <w:lang w:eastAsia="zh-CN"/>
        </w:rPr>
        <w:t>3.2上位水土流失的重点治理区划分概述</w:t>
      </w:r>
      <w:bookmarkEnd w:id="122"/>
    </w:p>
    <w:p w14:paraId="05064D3A">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（1）国家水保规划中雷州市水土流失重点治理区概况</w:t>
      </w:r>
    </w:p>
    <w:p w14:paraId="5C94B563">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国家级水土流失重点治理区以县级行政区为划分单元，根据《全国水土流失规划》中，雷州市不在国家级水土流失重点预防区。</w:t>
      </w:r>
    </w:p>
    <w:p w14:paraId="550D3FE6">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（2）省级水保规划中雷州市水土流失重点治理区概况</w:t>
      </w:r>
    </w:p>
    <w:p w14:paraId="2677DE0D">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广东省省级水土流失重点治理区以镇级行政区为划分单元，根据《广东省水利厅关于划分省级水土流失重点预防区和重点治理区的公告》中，雷州市不在省级水土流失重点治理区。</w:t>
      </w:r>
    </w:p>
    <w:p w14:paraId="3072FAD5">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（3）市级水保规划中雷州市水土流失重点治理区概况</w:t>
      </w:r>
    </w:p>
    <w:p w14:paraId="515AA12D">
      <w:pPr>
        <w:pStyle w:val="2"/>
        <w:ind w:firstLine="48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湛江市市级水土流失重点治理区以镇级行政区为划分单元，根据《湛江市水土保持规划》中，雷州市没有镇街行政区域在市级水土流失重点治理区。</w:t>
      </w:r>
    </w:p>
    <w:p w14:paraId="039C9F31">
      <w:pPr>
        <w:pStyle w:val="7"/>
        <w:numPr>
          <w:ilvl w:val="0"/>
          <w:numId w:val="0"/>
        </w:numPr>
        <w:tabs>
          <w:tab w:val="left" w:pos="576"/>
        </w:tabs>
        <w:spacing w:before="120" w:beforeLines="50" w:beforeAutospacing="0" w:after="0" w:afterAutospacing="0"/>
        <w:rPr>
          <w:rFonts w:hint="default" w:ascii="Times New Roman" w:hAnsi="Times New Roman" w:cs="Times New Roman"/>
          <w:lang w:eastAsia="zh-CN"/>
        </w:rPr>
      </w:pPr>
      <w:bookmarkStart w:id="123" w:name="_Toc520723993"/>
      <w:bookmarkStart w:id="124" w:name="_Toc32390"/>
      <w:r>
        <w:rPr>
          <w:rFonts w:hint="default" w:ascii="Times New Roman" w:hAnsi="Times New Roman" w:cs="Times New Roman"/>
          <w:lang w:eastAsia="zh-CN"/>
        </w:rPr>
        <w:t>3.3指标选取</w:t>
      </w:r>
      <w:bookmarkEnd w:id="123"/>
      <w:bookmarkEnd w:id="124"/>
    </w:p>
    <w:p w14:paraId="074249E4">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根据上述结果，综合考虑当地的相关规划，水土流失重点治理区划定指标由定量指标和定性指标组成。</w:t>
      </w:r>
    </w:p>
    <w:p w14:paraId="38F72D5B">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125" w:name="_Toc25185"/>
      <w:r>
        <w:rPr>
          <w:rFonts w:hint="default" w:ascii="Times New Roman" w:hAnsi="Times New Roman" w:cs="Times New Roman"/>
          <w:lang w:eastAsia="zh-CN"/>
        </w:rPr>
        <w:t>3.3.1定量指标</w:t>
      </w:r>
      <w:bookmarkEnd w:id="125"/>
    </w:p>
    <w:p w14:paraId="690AF43E">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水土流失重点治理区选取的定量指标有：土壤侵蚀强度、坡耕地面积及坡耕比等因子。</w:t>
      </w:r>
    </w:p>
    <w:p w14:paraId="21021334">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（1）土壤侵蚀强度指标与计算</w:t>
      </w:r>
    </w:p>
    <w:p w14:paraId="489B25CE">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土壤侵蚀强度是反映地面水土流失和生态环境态势的重要指标，也是反映土地退化和土地适宜性的重要指标，是土壤侵蚀学研究的核心问题。土壤侵蚀强度也是指导水土流失防治、治理措施选择的最基本、最重要的科学依据。水土流失重点治理区内一般水土流失相对严重，土壤侵蚀强度应属于严重区；对于水土流失重点治理区而言，在土壤侵蚀强度上，要求水土流失面积比、中度以上水土流失面积比均需大于一定的比例，突出该区域总体上水土流失状况相对严重，水土流失治理迫切。</w:t>
      </w:r>
    </w:p>
    <w:p w14:paraId="515E7937">
      <w:pPr>
        <w:snapToGrid w:val="0"/>
        <w:ind w:firstLine="480"/>
        <w:jc w:val="both"/>
        <w:rPr>
          <w:rFonts w:hint="default" w:ascii="Times New Roman" w:hAnsi="Times New Roman" w:cs="Times New Roman"/>
          <w:szCs w:val="24"/>
          <w:lang w:eastAsia="zh-CN"/>
        </w:rPr>
      </w:pPr>
      <w:r>
        <w:rPr>
          <w:rFonts w:hint="default" w:ascii="Times New Roman" w:hAnsi="Times New Roman" w:cs="Times New Roman"/>
          <w:lang w:eastAsia="zh-CN"/>
        </w:rPr>
        <w:t>报告通过区域内水土流失面积比和中度以上水土流失面积比来确定该区域土壤侵蚀强度，划分出土壤侵蚀轻微区和土壤侵蚀严重区，土壤侵蚀严重区作为划分水土流失重点治理区一个重要指标。报告中将水土流失面积比大于1%且中度以上水土流失面积比大于10%的区域判定为土壤侵蚀严重区，满足该定量条件的区域划定为水土流失重点治理区。</w:t>
      </w:r>
    </w:p>
    <w:p w14:paraId="0E0B2E40">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（2）坡耕地</w:t>
      </w:r>
    </w:p>
    <w:p w14:paraId="799D562E">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坡耕地由于长年耕作，土质疏松，土壤可蚀性极高，极易造成水土流失。根据本次水土流失遥感调查结果，结合镇级行政界线，利用ArcGIS的空间分析能力得出镇级行政界限内的耕地面积和坡耕地面积，再通过计算，得出镇级行政界限内的坡耕地面积和破敌面积比，结合省水土流失重点治理区划分指标，根据雷州市坡耕地分布情况，本专题将坡耕地面积大于100h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的乡镇且占耕地面积的比例超过20%的区域列入水土流失重点治理区。</w:t>
      </w:r>
    </w:p>
    <w:p w14:paraId="559F6CB6">
      <w:pPr>
        <w:pStyle w:val="9"/>
        <w:numPr>
          <w:ilvl w:val="0"/>
          <w:numId w:val="0"/>
        </w:numPr>
        <w:tabs>
          <w:tab w:val="left" w:pos="720"/>
        </w:tabs>
        <w:snapToGrid w:val="0"/>
        <w:spacing w:before="0" w:beforeLines="0"/>
        <w:rPr>
          <w:rFonts w:hint="default" w:ascii="Times New Roman" w:hAnsi="Times New Roman" w:cs="Times New Roman"/>
          <w:lang w:eastAsia="zh-CN"/>
        </w:rPr>
      </w:pPr>
      <w:bookmarkStart w:id="126" w:name="_Toc4986"/>
      <w:r>
        <w:rPr>
          <w:rFonts w:hint="default" w:ascii="Times New Roman" w:hAnsi="Times New Roman" w:cs="Times New Roman"/>
          <w:lang w:eastAsia="zh-CN"/>
        </w:rPr>
        <w:t>3.3.2 定性指标</w:t>
      </w:r>
      <w:bookmarkEnd w:id="126"/>
    </w:p>
    <w:p w14:paraId="1221B314">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在定量指标划定以外区域，利用定性指标进行判定补充，主要有以下两类区域：</w:t>
      </w:r>
    </w:p>
    <w:p w14:paraId="1BC50F9F">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（1）水土流失危害程度严重区</w:t>
      </w:r>
    </w:p>
    <w:p w14:paraId="6B5675EB">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该区主要指定量指标划定的重点治理区外的水土流失严重，水土流失对河流、水库、饮用水源地淤积影响较大的区域；设计上述区域，可降低定量指标中的其中一项标准，划定水土流失重点治理区。</w:t>
      </w:r>
    </w:p>
    <w:p w14:paraId="20E4A392">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（2）水土流失治理紧迫及民生治理紧迫性区</w:t>
      </w:r>
    </w:p>
    <w:p w14:paraId="0C0FD5F3">
      <w:pPr>
        <w:pStyle w:val="65"/>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水土流失严重威胁土地资源，造成土地生产力下降，直接影响农业生产和农村生活，急需开展抢救性、保护性治理的区域；主要涉及革命老区、贫困人口集中地区、少数民族聚居区等民生之力迫切的特定区域。涉及上述区域，可降低定量指标的其中一项指标，划定为水土流失重点治理区。</w:t>
      </w:r>
    </w:p>
    <w:p w14:paraId="703A99B2">
      <w:pPr>
        <w:ind w:firstLine="480"/>
        <w:jc w:val="both"/>
        <w:rPr>
          <w:rFonts w:hint="default" w:ascii="Times New Roman" w:hAnsi="Times New Roman" w:cs="Times New Roman"/>
          <w:lang w:eastAsia="zh-CN"/>
        </w:rPr>
      </w:pPr>
      <w:r>
        <w:rPr>
          <w:rFonts w:hint="default" w:ascii="Times New Roman" w:hAnsi="Times New Roman" w:cs="Times New Roman"/>
          <w:lang w:eastAsia="zh-CN"/>
        </w:rPr>
        <w:t>重点治理区划分的指标体系如表</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所示。</w:t>
      </w:r>
    </w:p>
    <w:p w14:paraId="1F663B6F">
      <w:pPr>
        <w:spacing w:line="240" w:lineRule="auto"/>
        <w:jc w:val="center"/>
        <w:rPr>
          <w:rFonts w:hint="default" w:ascii="Times New Roman" w:hAnsi="Times New Roman" w:cs="Times New Roman" w:eastAsiaTheme="minorEastAsia"/>
          <w:b/>
          <w:bCs w:val="0"/>
          <w:kern w:val="2"/>
          <w:sz w:val="24"/>
          <w:szCs w:val="24"/>
          <w:lang w:eastAsia="zh-CN"/>
        </w:rPr>
      </w:pPr>
      <w:r>
        <w:rPr>
          <w:rFonts w:hint="default" w:ascii="Times New Roman" w:hAnsi="Times New Roman" w:cs="Times New Roman" w:eastAsiaTheme="minorEastAsia"/>
          <w:b/>
          <w:bCs w:val="0"/>
          <w:kern w:val="2"/>
          <w:sz w:val="24"/>
          <w:szCs w:val="24"/>
          <w:lang w:eastAsia="zh-CN"/>
        </w:rPr>
        <w:t>表</w:t>
      </w:r>
      <w:r>
        <w:rPr>
          <w:rFonts w:hint="default" w:ascii="Times New Roman" w:hAnsi="Times New Roman" w:cs="Times New Roman" w:eastAsiaTheme="minorEastAsia"/>
          <w:b/>
          <w:bCs w:val="0"/>
          <w:kern w:val="2"/>
          <w:sz w:val="24"/>
          <w:szCs w:val="24"/>
          <w:lang w:val="en-US" w:eastAsia="zh-CN"/>
        </w:rPr>
        <w:t>3</w:t>
      </w:r>
      <w:r>
        <w:rPr>
          <w:rFonts w:hint="default" w:ascii="Times New Roman" w:hAnsi="Times New Roman" w:cs="Times New Roman" w:eastAsiaTheme="minorEastAsia"/>
          <w:b/>
          <w:bCs w:val="0"/>
          <w:kern w:val="2"/>
          <w:sz w:val="24"/>
          <w:szCs w:val="24"/>
          <w:lang w:eastAsia="zh-CN"/>
        </w:rPr>
        <w:t>-</w:t>
      </w:r>
      <w:r>
        <w:rPr>
          <w:rFonts w:hint="default" w:ascii="Times New Roman" w:hAnsi="Times New Roman" w:cs="Times New Roman" w:eastAsiaTheme="minorEastAsia"/>
          <w:b/>
          <w:bCs w:val="0"/>
          <w:kern w:val="2"/>
          <w:sz w:val="24"/>
          <w:szCs w:val="24"/>
          <w:lang w:val="en-US" w:eastAsia="zh-CN"/>
        </w:rPr>
        <w:t>1</w:t>
      </w:r>
      <w:r>
        <w:rPr>
          <w:rFonts w:hint="default" w:ascii="Times New Roman" w:hAnsi="Times New Roman" w:cs="Times New Roman" w:eastAsiaTheme="minorEastAsia"/>
          <w:b/>
          <w:bCs w:val="0"/>
          <w:kern w:val="2"/>
          <w:sz w:val="24"/>
          <w:szCs w:val="24"/>
          <w:lang w:eastAsia="zh-CN"/>
        </w:rPr>
        <w:t xml:space="preserve"> 雷州市水土流失重点治理区划分指标体系构成表</w:t>
      </w:r>
    </w:p>
    <w:tbl>
      <w:tblPr>
        <w:tblStyle w:val="26"/>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632"/>
        <w:gridCol w:w="2643"/>
        <w:gridCol w:w="3893"/>
      </w:tblGrid>
      <w:tr w14:paraId="4B13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1" w:type="pct"/>
            <w:vAlign w:val="center"/>
          </w:tcPr>
          <w:p w14:paraId="3377CD30">
            <w:pPr>
              <w:ind w:left="-120" w:leftChars="-50" w:right="-120" w:rightChars="-5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序号</w:t>
            </w:r>
          </w:p>
        </w:tc>
        <w:tc>
          <w:tcPr>
            <w:tcW w:w="925" w:type="pct"/>
            <w:vAlign w:val="center"/>
          </w:tcPr>
          <w:p w14:paraId="3D4F11E6">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指标构成</w:t>
            </w:r>
          </w:p>
        </w:tc>
        <w:tc>
          <w:tcPr>
            <w:tcW w:w="1498" w:type="pct"/>
            <w:vAlign w:val="center"/>
          </w:tcPr>
          <w:p w14:paraId="3AD45AA8">
            <w:pPr>
              <w:ind w:firstLine="199" w:firstLineChars="95"/>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指标分解</w:t>
            </w:r>
          </w:p>
        </w:tc>
        <w:tc>
          <w:tcPr>
            <w:tcW w:w="2206" w:type="pct"/>
            <w:vAlign w:val="center"/>
          </w:tcPr>
          <w:p w14:paraId="557139C3">
            <w:pPr>
              <w:ind w:firstLine="199" w:firstLineChars="95"/>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指标说明</w:t>
            </w:r>
          </w:p>
        </w:tc>
      </w:tr>
      <w:tr w14:paraId="6A22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71" w:type="pct"/>
            <w:vAlign w:val="center"/>
          </w:tcPr>
          <w:p w14:paraId="43B7DED9">
            <w:pPr>
              <w:ind w:firstLine="199" w:firstLineChars="95"/>
              <w:rPr>
                <w:rFonts w:hint="default" w:ascii="Times New Roman" w:hAnsi="Times New Roman" w:cs="Times New Roman"/>
                <w:kern w:val="2"/>
                <w:sz w:val="21"/>
                <w:szCs w:val="21"/>
              </w:rPr>
            </w:pPr>
            <w:r>
              <w:rPr>
                <w:rFonts w:hint="default" w:ascii="Times New Roman" w:hAnsi="Times New Roman" w:cs="Times New Roman"/>
                <w:kern w:val="2"/>
                <w:sz w:val="21"/>
                <w:szCs w:val="21"/>
              </w:rPr>
              <w:t>1</w:t>
            </w:r>
          </w:p>
        </w:tc>
        <w:tc>
          <w:tcPr>
            <w:tcW w:w="925" w:type="pct"/>
            <w:vAlign w:val="center"/>
          </w:tcPr>
          <w:p w14:paraId="6FC0DEEA">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土壤侵蚀强度</w:t>
            </w:r>
          </w:p>
        </w:tc>
        <w:tc>
          <w:tcPr>
            <w:tcW w:w="1498" w:type="pct"/>
            <w:vAlign w:val="center"/>
          </w:tcPr>
          <w:p w14:paraId="02780F58">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水土流失面积比、中度以上水土流失面积比</w:t>
            </w:r>
          </w:p>
        </w:tc>
        <w:tc>
          <w:tcPr>
            <w:tcW w:w="2206" w:type="pct"/>
            <w:vAlign w:val="center"/>
          </w:tcPr>
          <w:p w14:paraId="0EC646ED">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以镇街为单元，根据中度以上水土流失面积比确定土壤侵蚀严重区</w:t>
            </w:r>
          </w:p>
        </w:tc>
      </w:tr>
      <w:tr w14:paraId="0B51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1" w:type="pct"/>
            <w:shd w:val="clear" w:color="auto" w:fill="auto"/>
            <w:vAlign w:val="center"/>
          </w:tcPr>
          <w:p w14:paraId="170B6E3D">
            <w:pPr>
              <w:ind w:firstLine="199" w:firstLineChars="95"/>
              <w:rPr>
                <w:rFonts w:hint="default" w:ascii="Times New Roman" w:hAnsi="Times New Roman" w:cs="Times New Roman"/>
                <w:kern w:val="2"/>
                <w:sz w:val="21"/>
                <w:szCs w:val="21"/>
              </w:rPr>
            </w:pPr>
            <w:r>
              <w:rPr>
                <w:rFonts w:hint="default" w:ascii="Times New Roman" w:hAnsi="Times New Roman" w:cs="Times New Roman"/>
                <w:kern w:val="2"/>
                <w:sz w:val="21"/>
                <w:szCs w:val="21"/>
              </w:rPr>
              <w:t>2</w:t>
            </w:r>
          </w:p>
        </w:tc>
        <w:tc>
          <w:tcPr>
            <w:tcW w:w="925" w:type="pct"/>
            <w:shd w:val="clear" w:color="auto" w:fill="auto"/>
            <w:vAlign w:val="center"/>
          </w:tcPr>
          <w:p w14:paraId="0FDEC0D1">
            <w:pPr>
              <w:ind w:firstLine="42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坡耕地</w:t>
            </w:r>
          </w:p>
        </w:tc>
        <w:tc>
          <w:tcPr>
            <w:tcW w:w="1498" w:type="pct"/>
            <w:vAlign w:val="center"/>
          </w:tcPr>
          <w:p w14:paraId="35C9145E">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坡耕地面积、坡耕地占侵蚀面积比</w:t>
            </w:r>
          </w:p>
        </w:tc>
        <w:tc>
          <w:tcPr>
            <w:tcW w:w="2206" w:type="pct"/>
            <w:shd w:val="clear" w:color="auto" w:fill="auto"/>
            <w:vAlign w:val="center"/>
          </w:tcPr>
          <w:p w14:paraId="08471F79">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根据本次遥感调查成果报告，确定坡耕地面积及区域内水土流失面积。将坡耕地面积大于100hm</w:t>
            </w:r>
            <w:r>
              <w:rPr>
                <w:rFonts w:hint="default" w:ascii="Times New Roman" w:hAnsi="Times New Roman" w:cs="Times New Roman"/>
                <w:kern w:val="2"/>
                <w:sz w:val="21"/>
                <w:szCs w:val="21"/>
                <w:vertAlign w:val="superscript"/>
                <w:lang w:eastAsia="zh-CN"/>
              </w:rPr>
              <w:t>2</w:t>
            </w:r>
            <w:r>
              <w:rPr>
                <w:rFonts w:hint="default" w:ascii="Times New Roman" w:hAnsi="Times New Roman" w:cs="Times New Roman"/>
                <w:kern w:val="2"/>
                <w:sz w:val="21"/>
                <w:szCs w:val="21"/>
                <w:lang w:eastAsia="zh-CN"/>
              </w:rPr>
              <w:t>且坡耕比大于20%的区域列入水土流失重点治理区。</w:t>
            </w:r>
          </w:p>
        </w:tc>
      </w:tr>
      <w:tr w14:paraId="6E43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71" w:type="pct"/>
            <w:vAlign w:val="center"/>
          </w:tcPr>
          <w:p w14:paraId="5895D607">
            <w:pPr>
              <w:ind w:firstLine="199" w:firstLineChars="95"/>
              <w:rPr>
                <w:rFonts w:hint="default" w:ascii="Times New Roman" w:hAnsi="Times New Roman" w:cs="Times New Roman"/>
                <w:kern w:val="2"/>
                <w:sz w:val="21"/>
                <w:szCs w:val="21"/>
              </w:rPr>
            </w:pPr>
            <w:r>
              <w:rPr>
                <w:rFonts w:hint="default" w:ascii="Times New Roman" w:hAnsi="Times New Roman" w:cs="Times New Roman"/>
                <w:kern w:val="2"/>
                <w:sz w:val="21"/>
                <w:szCs w:val="21"/>
              </w:rPr>
              <w:t>3</w:t>
            </w:r>
          </w:p>
        </w:tc>
        <w:tc>
          <w:tcPr>
            <w:tcW w:w="925" w:type="pct"/>
            <w:vAlign w:val="center"/>
          </w:tcPr>
          <w:p w14:paraId="3A190F8A">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人类社会经济活动强度</w:t>
            </w:r>
          </w:p>
        </w:tc>
        <w:tc>
          <w:tcPr>
            <w:tcW w:w="1498" w:type="pct"/>
            <w:vAlign w:val="center"/>
          </w:tcPr>
          <w:p w14:paraId="0C732E2E">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属开发建设强度中低区、人口集聚中高区</w:t>
            </w:r>
          </w:p>
        </w:tc>
        <w:tc>
          <w:tcPr>
            <w:tcW w:w="2206" w:type="pct"/>
            <w:vAlign w:val="center"/>
          </w:tcPr>
          <w:p w14:paraId="0A745AB2">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确定居民集中区与开发建设强度中低区域，该项指标作为调整指标</w:t>
            </w:r>
          </w:p>
        </w:tc>
      </w:tr>
      <w:tr w14:paraId="0F17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71" w:type="pct"/>
            <w:vAlign w:val="center"/>
          </w:tcPr>
          <w:p w14:paraId="4CFD7370">
            <w:pPr>
              <w:ind w:firstLine="199" w:firstLineChars="95"/>
              <w:rPr>
                <w:rFonts w:hint="default" w:ascii="Times New Roman" w:hAnsi="Times New Roman" w:cs="Times New Roman"/>
                <w:kern w:val="2"/>
                <w:sz w:val="21"/>
                <w:szCs w:val="21"/>
              </w:rPr>
            </w:pPr>
            <w:r>
              <w:rPr>
                <w:rFonts w:hint="default" w:ascii="Times New Roman" w:hAnsi="Times New Roman" w:cs="Times New Roman"/>
                <w:kern w:val="2"/>
                <w:sz w:val="21"/>
                <w:szCs w:val="21"/>
              </w:rPr>
              <w:t>4</w:t>
            </w:r>
          </w:p>
        </w:tc>
        <w:tc>
          <w:tcPr>
            <w:tcW w:w="925" w:type="pct"/>
            <w:vAlign w:val="center"/>
          </w:tcPr>
          <w:p w14:paraId="7B3448F0">
            <w:pPr>
              <w:ind w:firstLine="199" w:firstLineChars="95"/>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辅助性指标</w:t>
            </w:r>
          </w:p>
        </w:tc>
        <w:tc>
          <w:tcPr>
            <w:tcW w:w="1498" w:type="pct"/>
            <w:vAlign w:val="center"/>
          </w:tcPr>
          <w:p w14:paraId="41787205">
            <w:pPr>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集中连片原则</w:t>
            </w:r>
          </w:p>
        </w:tc>
        <w:tc>
          <w:tcPr>
            <w:tcW w:w="2206" w:type="pct"/>
            <w:vAlign w:val="center"/>
          </w:tcPr>
          <w:p w14:paraId="5CE586CB">
            <w:pPr>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根据集中连片原则进行重点治理区适当修正</w:t>
            </w:r>
          </w:p>
        </w:tc>
      </w:tr>
    </w:tbl>
    <w:p w14:paraId="3C926685">
      <w:pPr>
        <w:pStyle w:val="64"/>
        <w:spacing w:line="360" w:lineRule="auto"/>
        <w:ind w:firstLine="480"/>
        <w:rPr>
          <w:rFonts w:hint="default" w:ascii="Times New Roman" w:hAnsi="Times New Roman" w:cs="Times New Roman"/>
          <w:sz w:val="24"/>
          <w:szCs w:val="24"/>
        </w:rPr>
      </w:pPr>
    </w:p>
    <w:p w14:paraId="59AEB102">
      <w:pPr>
        <w:pStyle w:val="2"/>
        <w:ind w:firstLine="480"/>
        <w:rPr>
          <w:rFonts w:hint="default" w:ascii="Times New Roman" w:hAnsi="Times New Roman" w:cs="Times New Roman"/>
          <w:lang w:eastAsia="zh-CN"/>
        </w:rPr>
      </w:pPr>
    </w:p>
    <w:p w14:paraId="3D588D02">
      <w:pPr>
        <w:pStyle w:val="2"/>
        <w:ind w:firstLine="480"/>
        <w:rPr>
          <w:rFonts w:hint="default" w:ascii="Times New Roman" w:hAnsi="Times New Roman" w:cs="Times New Roman"/>
          <w:lang w:eastAsia="zh-CN"/>
        </w:rPr>
      </w:pPr>
    </w:p>
    <w:p w14:paraId="18B924CD">
      <w:pPr>
        <w:pStyle w:val="2"/>
        <w:ind w:firstLine="480"/>
        <w:rPr>
          <w:rFonts w:hint="default" w:ascii="Times New Roman" w:hAnsi="Times New Roman" w:cs="Times New Roman"/>
          <w:lang w:eastAsia="zh-CN"/>
        </w:rPr>
        <w:sectPr>
          <w:pgSz w:w="11907" w:h="16840"/>
          <w:pgMar w:top="1418" w:right="1418" w:bottom="1418" w:left="1985" w:header="851" w:footer="851" w:gutter="0"/>
          <w:cols w:space="425" w:num="1"/>
          <w:docGrid w:linePitch="312" w:charSpace="0"/>
        </w:sectPr>
      </w:pPr>
    </w:p>
    <w:p w14:paraId="400F214F">
      <w:pPr>
        <w:pStyle w:val="6"/>
        <w:numPr>
          <w:ilvl w:val="0"/>
          <w:numId w:val="0"/>
        </w:numPr>
        <w:tabs>
          <w:tab w:val="left" w:pos="432"/>
        </w:tabs>
        <w:spacing w:before="120" w:beforeLines="50" w:after="120" w:afterLines="50"/>
        <w:rPr>
          <w:rFonts w:hint="default" w:ascii="Times New Roman" w:hAnsi="Times New Roman" w:cs="Times New Roman"/>
          <w:sz w:val="30"/>
          <w:szCs w:val="30"/>
        </w:rPr>
      </w:pPr>
      <w:bookmarkStart w:id="127" w:name="_Toc520723995"/>
      <w:bookmarkStart w:id="128" w:name="_Toc16032"/>
      <w:r>
        <w:rPr>
          <w:rFonts w:hint="default" w:ascii="Times New Roman" w:hAnsi="Times New Roman" w:cs="Times New Roman"/>
          <w:sz w:val="30"/>
          <w:szCs w:val="30"/>
        </w:rPr>
        <w:t>4重点防治区划分成果</w:t>
      </w:r>
      <w:bookmarkEnd w:id="127"/>
      <w:bookmarkEnd w:id="128"/>
    </w:p>
    <w:p w14:paraId="159F0E41">
      <w:pPr>
        <w:pStyle w:val="7"/>
        <w:numPr>
          <w:ilvl w:val="0"/>
          <w:numId w:val="0"/>
        </w:numPr>
        <w:spacing w:before="120" w:beforeAutospacing="0" w:after="120" w:afterAutospacing="0"/>
        <w:rPr>
          <w:rFonts w:hint="default" w:ascii="Times New Roman" w:hAnsi="Times New Roman" w:cs="Times New Roman"/>
          <w:lang w:eastAsia="zh-CN"/>
        </w:rPr>
      </w:pPr>
      <w:bookmarkStart w:id="129" w:name="_Toc520723996"/>
      <w:bookmarkStart w:id="130" w:name="_Toc17549"/>
      <w:r>
        <w:rPr>
          <w:rFonts w:hint="default" w:ascii="Times New Roman" w:hAnsi="Times New Roman" w:cs="Times New Roman"/>
          <w:szCs w:val="24"/>
          <w:highlight w:val="none"/>
          <w:lang w:eastAsia="zh-CN"/>
        </w:rPr>
        <w:t>4.1</w:t>
      </w:r>
      <w:r>
        <w:rPr>
          <w:rFonts w:hint="default" w:ascii="Times New Roman" w:hAnsi="Times New Roman" w:cs="Times New Roman"/>
          <w:lang w:eastAsia="zh-CN"/>
        </w:rPr>
        <w:t>总体划分结果</w:t>
      </w:r>
      <w:bookmarkEnd w:id="129"/>
      <w:bookmarkEnd w:id="130"/>
    </w:p>
    <w:p w14:paraId="2AEE26C6">
      <w:pPr>
        <w:ind w:firstLine="480"/>
        <w:jc w:val="both"/>
        <w:rPr>
          <w:rFonts w:hint="default" w:ascii="Times New Roman" w:hAnsi="Times New Roman" w:cs="Times New Roman"/>
          <w:lang w:eastAsia="zh-CN"/>
        </w:rPr>
      </w:pPr>
      <w:r>
        <w:rPr>
          <w:rFonts w:hint="default" w:ascii="Times New Roman" w:hAnsi="Times New Roman" w:cs="Times New Roman"/>
          <w:lang w:eastAsia="zh-CN"/>
        </w:rPr>
        <w:t>雷州市水土流失重点防治区划分成果见图4-3。其中，雷州市水土流失重点预防区面积约620.83km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，约占雷州市面积的20.51%；雷州市水土流失重点治理区面积约为594.87km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，约占湛江市面积的</w:t>
      </w:r>
      <w:r>
        <w:rPr>
          <w:rFonts w:hint="default" w:ascii="Times New Roman" w:hAnsi="Times New Roman" w:cs="Times New Roman"/>
          <w:lang w:val="en-US" w:eastAsia="zh-CN"/>
        </w:rPr>
        <w:t>19.67</w:t>
      </w:r>
      <w:r>
        <w:rPr>
          <w:rFonts w:hint="default" w:ascii="Times New Roman" w:hAnsi="Times New Roman" w:cs="Times New Roman"/>
          <w:lang w:eastAsia="zh-CN"/>
        </w:rPr>
        <w:t>%，重点防治区面积在各镇街分布情况详见表</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p>
    <w:p w14:paraId="68B30FE2">
      <w:pPr>
        <w:wordWrap w:val="0"/>
        <w:snapToGrid w:val="0"/>
        <w:spacing w:line="240" w:lineRule="auto"/>
        <w:jc w:val="right"/>
        <w:rPr>
          <w:rFonts w:hint="default" w:ascii="Times New Roman" w:hAnsi="Times New Roman" w:cs="Times New Roman" w:eastAsiaTheme="minorEastAsia"/>
          <w:b/>
          <w:kern w:val="2"/>
          <w:sz w:val="24"/>
          <w:szCs w:val="24"/>
          <w:lang w:eastAsia="zh-CN"/>
        </w:rPr>
      </w:pPr>
      <w:r>
        <w:rPr>
          <w:rFonts w:hint="default" w:ascii="Times New Roman" w:hAnsi="Times New Roman" w:cs="Times New Roman" w:eastAsiaTheme="minorEastAsia"/>
          <w:b/>
          <w:kern w:val="2"/>
          <w:sz w:val="24"/>
          <w:szCs w:val="24"/>
          <w:lang w:eastAsia="zh-CN"/>
        </w:rPr>
        <w:t>表</w:t>
      </w:r>
      <w:r>
        <w:rPr>
          <w:rFonts w:hint="default" w:ascii="Times New Roman" w:hAnsi="Times New Roman" w:cs="Times New Roman" w:eastAsiaTheme="minorEastAsia"/>
          <w:b/>
          <w:kern w:val="2"/>
          <w:sz w:val="24"/>
          <w:szCs w:val="24"/>
          <w:lang w:val="en-US" w:eastAsia="zh-CN"/>
        </w:rPr>
        <w:t>4</w:t>
      </w:r>
      <w:r>
        <w:rPr>
          <w:rFonts w:hint="default" w:ascii="Times New Roman" w:hAnsi="Times New Roman" w:cs="Times New Roman" w:eastAsiaTheme="minorEastAsia"/>
          <w:b/>
          <w:kern w:val="2"/>
          <w:sz w:val="24"/>
          <w:szCs w:val="24"/>
          <w:lang w:eastAsia="zh-CN"/>
        </w:rPr>
        <w:t>-</w:t>
      </w:r>
      <w:r>
        <w:rPr>
          <w:rFonts w:hint="default" w:ascii="Times New Roman" w:hAnsi="Times New Roman" w:cs="Times New Roman" w:eastAsiaTheme="minorEastAsia"/>
          <w:b/>
          <w:kern w:val="2"/>
          <w:sz w:val="24"/>
          <w:szCs w:val="24"/>
          <w:lang w:val="en-US" w:eastAsia="zh-CN"/>
        </w:rPr>
        <w:t>1</w:t>
      </w:r>
      <w:r>
        <w:rPr>
          <w:rFonts w:hint="default" w:ascii="Times New Roman" w:hAnsi="Times New Roman" w:cs="Times New Roman" w:eastAsiaTheme="minorEastAsia"/>
          <w:b/>
          <w:kern w:val="2"/>
          <w:sz w:val="24"/>
          <w:szCs w:val="24"/>
          <w:lang w:eastAsia="zh-CN"/>
        </w:rPr>
        <w:t xml:space="preserve">  雷州市重点防治区在各镇街的面积分布         单位：km</w:t>
      </w:r>
      <w:r>
        <w:rPr>
          <w:rFonts w:hint="default" w:ascii="Times New Roman" w:hAnsi="Times New Roman" w:cs="Times New Roman" w:eastAsiaTheme="minorEastAsia"/>
          <w:b/>
          <w:kern w:val="2"/>
          <w:sz w:val="24"/>
          <w:szCs w:val="24"/>
          <w:vertAlign w:val="superscript"/>
          <w:lang w:eastAsia="zh-CN"/>
        </w:rPr>
        <w:t>2</w:t>
      </w:r>
    </w:p>
    <w:tbl>
      <w:tblPr>
        <w:tblStyle w:val="26"/>
        <w:tblW w:w="5000" w:type="pct"/>
        <w:tblInd w:w="0" w:type="dxa"/>
        <w:tblLayout w:type="autofit"/>
        <w:tblCellMar>
          <w:top w:w="0" w:type="dxa"/>
          <w:left w:w="108" w:type="dxa"/>
          <w:bottom w:w="0" w:type="dxa"/>
          <w:right w:w="108" w:type="dxa"/>
        </w:tblCellMar>
      </w:tblPr>
      <w:tblGrid>
        <w:gridCol w:w="1354"/>
        <w:gridCol w:w="1802"/>
        <w:gridCol w:w="2697"/>
        <w:gridCol w:w="2697"/>
      </w:tblGrid>
      <w:tr w14:paraId="44880CC3">
        <w:tblPrEx>
          <w:tblCellMar>
            <w:top w:w="0" w:type="dxa"/>
            <w:left w:w="108" w:type="dxa"/>
            <w:bottom w:w="0" w:type="dxa"/>
            <w:right w:w="108" w:type="dxa"/>
          </w:tblCellMar>
        </w:tblPrEx>
        <w:trPr>
          <w:trHeight w:val="340" w:hRule="atLeast"/>
        </w:trPr>
        <w:tc>
          <w:tcPr>
            <w:tcW w:w="792" w:type="pct"/>
            <w:tcBorders>
              <w:top w:val="single" w:color="auto" w:sz="8" w:space="0"/>
              <w:left w:val="single" w:color="auto" w:sz="8" w:space="0"/>
              <w:bottom w:val="single" w:color="auto" w:sz="8" w:space="0"/>
              <w:right w:val="single" w:color="auto" w:sz="8" w:space="0"/>
            </w:tcBorders>
            <w:shd w:val="clear" w:color="auto" w:fill="auto"/>
            <w:noWrap/>
            <w:vAlign w:val="center"/>
          </w:tcPr>
          <w:p w14:paraId="7E9E1B9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序号</w:t>
            </w:r>
          </w:p>
        </w:tc>
        <w:tc>
          <w:tcPr>
            <w:tcW w:w="1054" w:type="pct"/>
            <w:tcBorders>
              <w:top w:val="single" w:color="auto" w:sz="8" w:space="0"/>
              <w:left w:val="nil"/>
              <w:bottom w:val="single" w:color="auto" w:sz="8" w:space="0"/>
              <w:right w:val="single" w:color="auto" w:sz="8" w:space="0"/>
            </w:tcBorders>
            <w:shd w:val="clear" w:color="auto" w:fill="auto"/>
            <w:noWrap/>
            <w:vAlign w:val="center"/>
          </w:tcPr>
          <w:p w14:paraId="5D75BE6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镇</w:t>
            </w:r>
          </w:p>
        </w:tc>
        <w:tc>
          <w:tcPr>
            <w:tcW w:w="1577" w:type="pct"/>
            <w:tcBorders>
              <w:top w:val="single" w:color="auto" w:sz="8" w:space="0"/>
              <w:left w:val="nil"/>
              <w:bottom w:val="single" w:color="auto" w:sz="8" w:space="0"/>
              <w:right w:val="single" w:color="auto" w:sz="8" w:space="0"/>
            </w:tcBorders>
            <w:shd w:val="clear" w:color="auto" w:fill="auto"/>
            <w:vAlign w:val="center"/>
          </w:tcPr>
          <w:p w14:paraId="47DA20F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重点预防区</w:t>
            </w:r>
          </w:p>
        </w:tc>
        <w:tc>
          <w:tcPr>
            <w:tcW w:w="1577" w:type="pct"/>
            <w:tcBorders>
              <w:top w:val="single" w:color="auto" w:sz="8" w:space="0"/>
              <w:left w:val="nil"/>
              <w:bottom w:val="single" w:color="auto" w:sz="8" w:space="0"/>
              <w:right w:val="single" w:color="auto" w:sz="8" w:space="0"/>
            </w:tcBorders>
            <w:shd w:val="clear" w:color="auto" w:fill="auto"/>
            <w:noWrap/>
            <w:vAlign w:val="center"/>
          </w:tcPr>
          <w:p w14:paraId="29B4BDD5">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重点治理区</w:t>
            </w:r>
          </w:p>
        </w:tc>
      </w:tr>
      <w:tr w14:paraId="38321179">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7042CC0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1</w:t>
            </w:r>
          </w:p>
        </w:tc>
        <w:tc>
          <w:tcPr>
            <w:tcW w:w="1054" w:type="pct"/>
            <w:tcBorders>
              <w:top w:val="nil"/>
              <w:left w:val="nil"/>
              <w:bottom w:val="single" w:color="auto" w:sz="8" w:space="0"/>
              <w:right w:val="single" w:color="auto" w:sz="8" w:space="0"/>
            </w:tcBorders>
            <w:shd w:val="clear" w:color="auto" w:fill="auto"/>
            <w:vAlign w:val="center"/>
          </w:tcPr>
          <w:p w14:paraId="19E695AF">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松竹镇</w:t>
            </w:r>
          </w:p>
        </w:tc>
        <w:tc>
          <w:tcPr>
            <w:tcW w:w="1577" w:type="pct"/>
            <w:tcBorders>
              <w:top w:val="nil"/>
              <w:left w:val="nil"/>
              <w:bottom w:val="single" w:color="auto" w:sz="8" w:space="0"/>
              <w:right w:val="single" w:color="auto" w:sz="8" w:space="0"/>
            </w:tcBorders>
            <w:shd w:val="clear" w:color="auto" w:fill="auto"/>
            <w:vAlign w:val="center"/>
          </w:tcPr>
          <w:p w14:paraId="168C01DD">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58.52</w:t>
            </w:r>
          </w:p>
        </w:tc>
        <w:tc>
          <w:tcPr>
            <w:tcW w:w="1577" w:type="pct"/>
            <w:tcBorders>
              <w:top w:val="nil"/>
              <w:left w:val="nil"/>
              <w:bottom w:val="single" w:color="auto" w:sz="8" w:space="0"/>
              <w:right w:val="single" w:color="auto" w:sz="8" w:space="0"/>
            </w:tcBorders>
            <w:shd w:val="clear" w:color="auto" w:fill="auto"/>
            <w:vAlign w:val="center"/>
          </w:tcPr>
          <w:p w14:paraId="2CF19350">
            <w:pPr>
              <w:spacing w:line="240" w:lineRule="auto"/>
              <w:jc w:val="center"/>
              <w:rPr>
                <w:rFonts w:hint="default" w:ascii="Times New Roman" w:hAnsi="Times New Roman" w:cs="Times New Roman"/>
                <w:color w:val="000000"/>
                <w:sz w:val="21"/>
                <w:szCs w:val="21"/>
                <w:lang w:eastAsia="zh-CN"/>
              </w:rPr>
            </w:pPr>
          </w:p>
        </w:tc>
      </w:tr>
      <w:tr w14:paraId="4D474FE4">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651049A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2</w:t>
            </w:r>
          </w:p>
        </w:tc>
        <w:tc>
          <w:tcPr>
            <w:tcW w:w="1054" w:type="pct"/>
            <w:tcBorders>
              <w:top w:val="nil"/>
              <w:left w:val="nil"/>
              <w:bottom w:val="single" w:color="auto" w:sz="8" w:space="0"/>
              <w:right w:val="single" w:color="auto" w:sz="8" w:space="0"/>
            </w:tcBorders>
            <w:shd w:val="clear" w:color="auto" w:fill="auto"/>
            <w:vAlign w:val="center"/>
          </w:tcPr>
          <w:p w14:paraId="130FE54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杨家镇</w:t>
            </w:r>
          </w:p>
        </w:tc>
        <w:tc>
          <w:tcPr>
            <w:tcW w:w="1577" w:type="pct"/>
            <w:tcBorders>
              <w:top w:val="nil"/>
              <w:left w:val="nil"/>
              <w:bottom w:val="single" w:color="auto" w:sz="8" w:space="0"/>
              <w:right w:val="single" w:color="auto" w:sz="8" w:space="0"/>
            </w:tcBorders>
            <w:shd w:val="clear" w:color="auto" w:fill="auto"/>
            <w:vAlign w:val="center"/>
          </w:tcPr>
          <w:p w14:paraId="3CC0570E">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189.04</w:t>
            </w:r>
          </w:p>
        </w:tc>
        <w:tc>
          <w:tcPr>
            <w:tcW w:w="1577" w:type="pct"/>
            <w:tcBorders>
              <w:top w:val="nil"/>
              <w:left w:val="nil"/>
              <w:bottom w:val="single" w:color="auto" w:sz="8" w:space="0"/>
              <w:right w:val="single" w:color="auto" w:sz="8" w:space="0"/>
            </w:tcBorders>
            <w:shd w:val="clear" w:color="auto" w:fill="auto"/>
            <w:vAlign w:val="center"/>
          </w:tcPr>
          <w:p w14:paraId="66161900">
            <w:pPr>
              <w:spacing w:line="240" w:lineRule="auto"/>
              <w:jc w:val="center"/>
              <w:rPr>
                <w:rFonts w:hint="default" w:ascii="Times New Roman" w:hAnsi="Times New Roman" w:cs="Times New Roman"/>
                <w:color w:val="000000"/>
                <w:sz w:val="21"/>
                <w:szCs w:val="21"/>
                <w:lang w:eastAsia="zh-CN"/>
              </w:rPr>
            </w:pPr>
          </w:p>
        </w:tc>
      </w:tr>
      <w:tr w14:paraId="391422F3">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32EFC51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3</w:t>
            </w:r>
          </w:p>
        </w:tc>
        <w:tc>
          <w:tcPr>
            <w:tcW w:w="1054" w:type="pct"/>
            <w:tcBorders>
              <w:top w:val="nil"/>
              <w:left w:val="nil"/>
              <w:bottom w:val="single" w:color="auto" w:sz="8" w:space="0"/>
              <w:right w:val="single" w:color="auto" w:sz="8" w:space="0"/>
            </w:tcBorders>
            <w:shd w:val="clear" w:color="auto" w:fill="auto"/>
            <w:vAlign w:val="center"/>
          </w:tcPr>
          <w:p w14:paraId="0BDFC9D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纪家镇</w:t>
            </w:r>
          </w:p>
        </w:tc>
        <w:tc>
          <w:tcPr>
            <w:tcW w:w="1577" w:type="pct"/>
            <w:tcBorders>
              <w:top w:val="nil"/>
              <w:left w:val="nil"/>
              <w:bottom w:val="single" w:color="auto" w:sz="8" w:space="0"/>
              <w:right w:val="single" w:color="auto" w:sz="8" w:space="0"/>
            </w:tcBorders>
            <w:shd w:val="clear" w:color="auto" w:fill="auto"/>
            <w:vAlign w:val="center"/>
          </w:tcPr>
          <w:p w14:paraId="6C34CF91">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287.38</w:t>
            </w:r>
          </w:p>
        </w:tc>
        <w:tc>
          <w:tcPr>
            <w:tcW w:w="1577" w:type="pct"/>
            <w:tcBorders>
              <w:top w:val="nil"/>
              <w:left w:val="nil"/>
              <w:bottom w:val="single" w:color="auto" w:sz="8" w:space="0"/>
              <w:right w:val="single" w:color="auto" w:sz="8" w:space="0"/>
            </w:tcBorders>
            <w:shd w:val="clear" w:color="auto" w:fill="auto"/>
            <w:vAlign w:val="center"/>
          </w:tcPr>
          <w:p w14:paraId="3B53DD14">
            <w:pPr>
              <w:spacing w:line="240" w:lineRule="auto"/>
              <w:jc w:val="center"/>
              <w:rPr>
                <w:rFonts w:hint="default" w:ascii="Times New Roman" w:hAnsi="Times New Roman" w:cs="Times New Roman"/>
                <w:color w:val="000000"/>
                <w:sz w:val="21"/>
                <w:szCs w:val="21"/>
                <w:lang w:eastAsia="zh-CN"/>
              </w:rPr>
            </w:pPr>
          </w:p>
        </w:tc>
      </w:tr>
      <w:tr w14:paraId="5A091729">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5307FAA9">
            <w:pPr>
              <w:spacing w:line="240" w:lineRule="auto"/>
              <w:jc w:val="center"/>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4</w:t>
            </w:r>
          </w:p>
        </w:tc>
        <w:tc>
          <w:tcPr>
            <w:tcW w:w="1054" w:type="pct"/>
            <w:tcBorders>
              <w:top w:val="nil"/>
              <w:left w:val="nil"/>
              <w:bottom w:val="single" w:color="auto" w:sz="8" w:space="0"/>
              <w:right w:val="single" w:color="auto" w:sz="8" w:space="0"/>
            </w:tcBorders>
            <w:shd w:val="clear" w:color="auto" w:fill="auto"/>
            <w:vAlign w:val="center"/>
          </w:tcPr>
          <w:p w14:paraId="11D3F64F">
            <w:pPr>
              <w:spacing w:line="240" w:lineRule="auto"/>
              <w:jc w:val="center"/>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企水镇</w:t>
            </w:r>
          </w:p>
        </w:tc>
        <w:tc>
          <w:tcPr>
            <w:tcW w:w="1577" w:type="pct"/>
            <w:tcBorders>
              <w:top w:val="nil"/>
              <w:left w:val="nil"/>
              <w:bottom w:val="single" w:color="auto" w:sz="8" w:space="0"/>
              <w:right w:val="single" w:color="auto" w:sz="8" w:space="0"/>
            </w:tcBorders>
            <w:shd w:val="clear" w:color="auto" w:fill="auto"/>
            <w:vAlign w:val="center"/>
          </w:tcPr>
          <w:p w14:paraId="16961AFC">
            <w:pPr>
              <w:spacing w:line="240" w:lineRule="auto"/>
              <w:jc w:val="center"/>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85.59</w:t>
            </w:r>
          </w:p>
        </w:tc>
        <w:tc>
          <w:tcPr>
            <w:tcW w:w="1577" w:type="pct"/>
            <w:tcBorders>
              <w:top w:val="nil"/>
              <w:left w:val="nil"/>
              <w:bottom w:val="single" w:color="auto" w:sz="8" w:space="0"/>
              <w:right w:val="single" w:color="auto" w:sz="8" w:space="0"/>
            </w:tcBorders>
            <w:shd w:val="clear" w:color="auto" w:fill="auto"/>
            <w:vAlign w:val="center"/>
          </w:tcPr>
          <w:p w14:paraId="7E2314A6">
            <w:pPr>
              <w:spacing w:line="240" w:lineRule="auto"/>
              <w:jc w:val="center"/>
              <w:rPr>
                <w:rFonts w:hint="default" w:ascii="Times New Roman" w:hAnsi="Times New Roman" w:cs="Times New Roman"/>
                <w:color w:val="000000"/>
                <w:sz w:val="21"/>
                <w:szCs w:val="21"/>
                <w:highlight w:val="none"/>
                <w:lang w:eastAsia="zh-CN"/>
              </w:rPr>
            </w:pPr>
          </w:p>
        </w:tc>
      </w:tr>
      <w:tr w14:paraId="56D2AB93">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7D7057AA">
            <w:pPr>
              <w:spacing w:line="240" w:lineRule="auto"/>
              <w:jc w:val="center"/>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小计</w:t>
            </w:r>
          </w:p>
        </w:tc>
        <w:tc>
          <w:tcPr>
            <w:tcW w:w="1054" w:type="pct"/>
            <w:tcBorders>
              <w:top w:val="nil"/>
              <w:left w:val="nil"/>
              <w:bottom w:val="single" w:color="auto" w:sz="8" w:space="0"/>
              <w:right w:val="single" w:color="auto" w:sz="8" w:space="0"/>
            </w:tcBorders>
            <w:shd w:val="clear" w:color="auto" w:fill="auto"/>
            <w:vAlign w:val="center"/>
          </w:tcPr>
          <w:p w14:paraId="3F0071F9">
            <w:pPr>
              <w:spacing w:line="240" w:lineRule="auto"/>
              <w:jc w:val="center"/>
              <w:rPr>
                <w:rFonts w:hint="default" w:ascii="Times New Roman" w:hAnsi="Times New Roman" w:cs="Times New Roman"/>
                <w:color w:val="000000"/>
                <w:sz w:val="21"/>
                <w:szCs w:val="21"/>
                <w:highlight w:val="none"/>
                <w:lang w:eastAsia="zh-CN"/>
              </w:rPr>
            </w:pPr>
          </w:p>
        </w:tc>
        <w:tc>
          <w:tcPr>
            <w:tcW w:w="1577" w:type="pct"/>
            <w:tcBorders>
              <w:top w:val="nil"/>
              <w:left w:val="nil"/>
              <w:bottom w:val="single" w:color="auto" w:sz="8" w:space="0"/>
              <w:right w:val="single" w:color="auto" w:sz="8" w:space="0"/>
            </w:tcBorders>
            <w:shd w:val="clear" w:color="auto" w:fill="auto"/>
            <w:vAlign w:val="center"/>
          </w:tcPr>
          <w:p w14:paraId="518D2243">
            <w:pPr>
              <w:spacing w:line="240" w:lineRule="auto"/>
              <w:jc w:val="center"/>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620.83</w:t>
            </w:r>
          </w:p>
        </w:tc>
        <w:tc>
          <w:tcPr>
            <w:tcW w:w="1577" w:type="pct"/>
            <w:tcBorders>
              <w:top w:val="nil"/>
              <w:left w:val="nil"/>
              <w:bottom w:val="single" w:color="auto" w:sz="8" w:space="0"/>
              <w:right w:val="single" w:color="auto" w:sz="8" w:space="0"/>
            </w:tcBorders>
            <w:shd w:val="clear" w:color="auto" w:fill="auto"/>
            <w:vAlign w:val="center"/>
          </w:tcPr>
          <w:p w14:paraId="554D1703">
            <w:pPr>
              <w:spacing w:line="240" w:lineRule="auto"/>
              <w:jc w:val="center"/>
              <w:rPr>
                <w:rFonts w:hint="default" w:ascii="Times New Roman" w:hAnsi="Times New Roman" w:cs="Times New Roman"/>
                <w:color w:val="000000"/>
                <w:sz w:val="21"/>
                <w:szCs w:val="21"/>
                <w:highlight w:val="none"/>
                <w:lang w:eastAsia="zh-CN"/>
              </w:rPr>
            </w:pPr>
          </w:p>
        </w:tc>
      </w:tr>
      <w:tr w14:paraId="08F4BD4F">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419DF44A">
            <w:pPr>
              <w:spacing w:line="240" w:lineRule="auto"/>
              <w:jc w:val="center"/>
              <w:rPr>
                <w:rFonts w:hint="default" w:ascii="Times New Roman" w:hAnsi="Times New Roman" w:cs="Times New Roman"/>
                <w:color w:val="000000"/>
                <w:sz w:val="21"/>
                <w:szCs w:val="21"/>
                <w:lang w:eastAsia="zh-CN"/>
              </w:rPr>
            </w:pPr>
            <w:r>
              <w:rPr>
                <w:rFonts w:hint="eastAsia" w:cs="Times New Roman"/>
                <w:color w:val="000000"/>
                <w:sz w:val="21"/>
                <w:szCs w:val="21"/>
                <w:lang w:val="en-US" w:eastAsia="zh-CN"/>
              </w:rPr>
              <w:t>5</w:t>
            </w:r>
          </w:p>
        </w:tc>
        <w:tc>
          <w:tcPr>
            <w:tcW w:w="1054" w:type="pct"/>
            <w:tcBorders>
              <w:top w:val="nil"/>
              <w:left w:val="nil"/>
              <w:bottom w:val="single" w:color="auto" w:sz="8" w:space="0"/>
              <w:right w:val="single" w:color="auto" w:sz="8" w:space="0"/>
            </w:tcBorders>
            <w:shd w:val="clear" w:color="auto" w:fill="auto"/>
            <w:vAlign w:val="center"/>
          </w:tcPr>
          <w:p w14:paraId="3176106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龙门</w:t>
            </w:r>
            <w:r>
              <w:rPr>
                <w:rFonts w:hint="default" w:ascii="Times New Roman" w:hAnsi="Times New Roman" w:cs="Times New Roman"/>
                <w:color w:val="000000"/>
                <w:sz w:val="21"/>
                <w:szCs w:val="21"/>
                <w:lang w:eastAsia="zh-CN"/>
              </w:rPr>
              <w:t>镇</w:t>
            </w:r>
          </w:p>
        </w:tc>
        <w:tc>
          <w:tcPr>
            <w:tcW w:w="1577" w:type="pct"/>
            <w:tcBorders>
              <w:top w:val="nil"/>
              <w:left w:val="nil"/>
              <w:bottom w:val="single" w:color="auto" w:sz="8" w:space="0"/>
              <w:right w:val="single" w:color="auto" w:sz="8" w:space="0"/>
            </w:tcBorders>
            <w:shd w:val="clear" w:color="auto" w:fill="auto"/>
            <w:vAlign w:val="center"/>
          </w:tcPr>
          <w:p w14:paraId="555F7FA5">
            <w:pPr>
              <w:spacing w:line="240" w:lineRule="auto"/>
              <w:jc w:val="center"/>
              <w:rPr>
                <w:rFonts w:hint="default" w:ascii="Times New Roman" w:hAnsi="Times New Roman" w:cs="Times New Roman"/>
                <w:color w:val="000000"/>
                <w:sz w:val="21"/>
                <w:szCs w:val="21"/>
                <w:lang w:eastAsia="zh-CN"/>
              </w:rPr>
            </w:pPr>
          </w:p>
        </w:tc>
        <w:tc>
          <w:tcPr>
            <w:tcW w:w="1577" w:type="pct"/>
            <w:tcBorders>
              <w:top w:val="nil"/>
              <w:left w:val="nil"/>
              <w:bottom w:val="single" w:color="auto" w:sz="8" w:space="0"/>
              <w:right w:val="single" w:color="auto" w:sz="8" w:space="0"/>
            </w:tcBorders>
            <w:shd w:val="clear" w:color="auto" w:fill="auto"/>
            <w:vAlign w:val="center"/>
          </w:tcPr>
          <w:p w14:paraId="35D2FA94">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323.74 </w:t>
            </w:r>
          </w:p>
        </w:tc>
      </w:tr>
      <w:tr w14:paraId="4B8FFF74">
        <w:tblPrEx>
          <w:tblCellMar>
            <w:top w:w="0" w:type="dxa"/>
            <w:left w:w="108" w:type="dxa"/>
            <w:bottom w:w="0" w:type="dxa"/>
            <w:right w:w="108" w:type="dxa"/>
          </w:tblCellMar>
        </w:tblPrEx>
        <w:trPr>
          <w:trHeight w:val="340" w:hRule="atLeast"/>
        </w:trPr>
        <w:tc>
          <w:tcPr>
            <w:tcW w:w="792" w:type="pct"/>
            <w:tcBorders>
              <w:top w:val="nil"/>
              <w:left w:val="single" w:color="auto" w:sz="8" w:space="0"/>
              <w:bottom w:val="single" w:color="auto" w:sz="8" w:space="0"/>
              <w:right w:val="single" w:color="auto" w:sz="8" w:space="0"/>
            </w:tcBorders>
            <w:shd w:val="clear" w:color="auto" w:fill="auto"/>
            <w:noWrap/>
            <w:vAlign w:val="center"/>
          </w:tcPr>
          <w:p w14:paraId="66CA5991">
            <w:pPr>
              <w:spacing w:line="240" w:lineRule="auto"/>
              <w:jc w:val="center"/>
              <w:rPr>
                <w:rFonts w:hint="default" w:ascii="Times New Roman" w:hAnsi="Times New Roman" w:cs="Times New Roman"/>
                <w:color w:val="000000"/>
                <w:sz w:val="21"/>
                <w:szCs w:val="21"/>
                <w:lang w:eastAsia="zh-CN"/>
              </w:rPr>
            </w:pPr>
            <w:r>
              <w:rPr>
                <w:rFonts w:hint="eastAsia" w:cs="Times New Roman"/>
                <w:color w:val="000000"/>
                <w:sz w:val="21"/>
                <w:szCs w:val="21"/>
                <w:lang w:val="en-US" w:eastAsia="zh-CN"/>
              </w:rPr>
              <w:t>6</w:t>
            </w:r>
          </w:p>
        </w:tc>
        <w:tc>
          <w:tcPr>
            <w:tcW w:w="1054" w:type="pct"/>
            <w:tcBorders>
              <w:top w:val="nil"/>
              <w:left w:val="nil"/>
              <w:bottom w:val="single" w:color="auto" w:sz="8" w:space="0"/>
              <w:right w:val="single" w:color="auto" w:sz="8" w:space="0"/>
            </w:tcBorders>
            <w:shd w:val="clear" w:color="auto" w:fill="auto"/>
            <w:vAlign w:val="center"/>
          </w:tcPr>
          <w:p w14:paraId="70507FE0">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调风镇</w:t>
            </w:r>
          </w:p>
        </w:tc>
        <w:tc>
          <w:tcPr>
            <w:tcW w:w="1577" w:type="pct"/>
            <w:tcBorders>
              <w:top w:val="nil"/>
              <w:left w:val="nil"/>
              <w:bottom w:val="single" w:color="auto" w:sz="8" w:space="0"/>
              <w:right w:val="single" w:color="auto" w:sz="8" w:space="0"/>
            </w:tcBorders>
            <w:shd w:val="clear" w:color="auto" w:fill="auto"/>
            <w:vAlign w:val="center"/>
          </w:tcPr>
          <w:p w14:paraId="04B7E3A8">
            <w:pPr>
              <w:spacing w:line="240" w:lineRule="auto"/>
              <w:jc w:val="center"/>
              <w:rPr>
                <w:rFonts w:hint="default" w:ascii="Times New Roman" w:hAnsi="Times New Roman" w:cs="Times New Roman"/>
                <w:color w:val="000000"/>
                <w:sz w:val="21"/>
                <w:szCs w:val="21"/>
                <w:lang w:eastAsia="zh-CN"/>
              </w:rPr>
            </w:pPr>
          </w:p>
        </w:tc>
        <w:tc>
          <w:tcPr>
            <w:tcW w:w="1577" w:type="pct"/>
            <w:tcBorders>
              <w:top w:val="nil"/>
              <w:left w:val="nil"/>
              <w:bottom w:val="single" w:color="auto" w:sz="8" w:space="0"/>
              <w:right w:val="single" w:color="auto" w:sz="8" w:space="0"/>
            </w:tcBorders>
            <w:shd w:val="clear" w:color="auto" w:fill="auto"/>
            <w:vAlign w:val="center"/>
          </w:tcPr>
          <w:p w14:paraId="6C64656C">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271.13</w:t>
            </w:r>
          </w:p>
        </w:tc>
      </w:tr>
      <w:tr w14:paraId="46A37A55">
        <w:tblPrEx>
          <w:tblCellMar>
            <w:top w:w="0" w:type="dxa"/>
            <w:left w:w="108" w:type="dxa"/>
            <w:bottom w:w="0" w:type="dxa"/>
            <w:right w:w="108" w:type="dxa"/>
          </w:tblCellMar>
        </w:tblPrEx>
        <w:trPr>
          <w:trHeight w:val="340" w:hRule="atLeast"/>
        </w:trPr>
        <w:tc>
          <w:tcPr>
            <w:tcW w:w="1846"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14:paraId="2BFD01CA">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合计</w:t>
            </w:r>
          </w:p>
        </w:tc>
        <w:tc>
          <w:tcPr>
            <w:tcW w:w="1577" w:type="pct"/>
            <w:tcBorders>
              <w:top w:val="nil"/>
              <w:left w:val="nil"/>
              <w:bottom w:val="single" w:color="auto" w:sz="8" w:space="0"/>
              <w:right w:val="single" w:color="auto" w:sz="8" w:space="0"/>
            </w:tcBorders>
            <w:shd w:val="clear" w:color="auto" w:fill="auto"/>
            <w:vAlign w:val="center"/>
          </w:tcPr>
          <w:p w14:paraId="56B71962">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620.83</w:t>
            </w:r>
          </w:p>
        </w:tc>
        <w:tc>
          <w:tcPr>
            <w:tcW w:w="1577" w:type="pct"/>
            <w:tcBorders>
              <w:top w:val="nil"/>
              <w:left w:val="nil"/>
              <w:bottom w:val="single" w:color="auto" w:sz="8" w:space="0"/>
              <w:right w:val="single" w:color="auto" w:sz="8" w:space="0"/>
            </w:tcBorders>
            <w:shd w:val="clear" w:color="auto" w:fill="auto"/>
            <w:vAlign w:val="center"/>
          </w:tcPr>
          <w:p w14:paraId="639C9767">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594.87</w:t>
            </w:r>
          </w:p>
        </w:tc>
      </w:tr>
    </w:tbl>
    <w:p w14:paraId="08CDED39">
      <w:pPr>
        <w:pStyle w:val="7"/>
        <w:numPr>
          <w:ilvl w:val="0"/>
          <w:numId w:val="0"/>
        </w:numPr>
        <w:spacing w:before="120" w:beforeAutospacing="0" w:after="120" w:afterAutospacing="0"/>
        <w:rPr>
          <w:rFonts w:hint="default" w:ascii="Times New Roman" w:hAnsi="Times New Roman" w:cs="Times New Roman"/>
          <w:lang w:eastAsia="zh-CN"/>
        </w:rPr>
      </w:pPr>
      <w:bookmarkStart w:id="131" w:name="_Toc520723997"/>
      <w:bookmarkStart w:id="132" w:name="_Toc5278"/>
      <w:r>
        <w:rPr>
          <w:rFonts w:hint="default" w:ascii="Times New Roman" w:hAnsi="Times New Roman" w:cs="Times New Roman"/>
          <w:lang w:eastAsia="zh-CN"/>
        </w:rPr>
        <w:t>4.2水土流失重点预防区介绍</w:t>
      </w:r>
      <w:bookmarkEnd w:id="131"/>
      <w:bookmarkEnd w:id="132"/>
    </w:p>
    <w:p w14:paraId="403232A6">
      <w:pPr>
        <w:ind w:firstLine="480"/>
        <w:jc w:val="both"/>
        <w:rPr>
          <w:rFonts w:hint="default" w:ascii="Times New Roman" w:hAnsi="Times New Roman" w:cs="Times New Roman"/>
          <w:lang w:eastAsia="zh-CN"/>
        </w:rPr>
      </w:pPr>
      <w:r>
        <w:rPr>
          <w:rFonts w:hint="default" w:ascii="Times New Roman" w:hAnsi="Times New Roman" w:cs="Times New Roman"/>
          <w:lang w:eastAsia="zh-CN"/>
        </w:rPr>
        <w:t>（1）范围</w:t>
      </w:r>
    </w:p>
    <w:p w14:paraId="4F2B0C4F">
      <w:pPr>
        <w:ind w:firstLine="480"/>
        <w:jc w:val="both"/>
        <w:rPr>
          <w:rFonts w:hint="default" w:ascii="Times New Roman" w:hAnsi="Times New Roman" w:cs="Times New Roman"/>
          <w:highlight w:val="yellow"/>
          <w:lang w:eastAsia="zh-CN"/>
        </w:rPr>
      </w:pPr>
      <w:r>
        <w:rPr>
          <w:rFonts w:hint="default" w:ascii="Times New Roman" w:hAnsi="Times New Roman" w:cs="Times New Roman"/>
          <w:lang w:eastAsia="zh-CN"/>
        </w:rPr>
        <w:t>雷州市水土流失重点预防区，主要分布于雷州市北部，包括杨家镇、纪家镇、松竹镇和企水镇四个镇级行政区范围，总面积约620.83km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，约占雷州市面积的20.51%。详见图4-1。</w:t>
      </w:r>
    </w:p>
    <w:p w14:paraId="28AB3DB4">
      <w:pPr>
        <w:ind w:firstLine="480"/>
        <w:jc w:val="both"/>
        <w:rPr>
          <w:rFonts w:hint="default" w:ascii="Times New Roman" w:hAnsi="Times New Roman" w:cs="Times New Roman"/>
          <w:lang w:eastAsia="zh-CN"/>
        </w:rPr>
      </w:pPr>
      <w:r>
        <w:rPr>
          <w:rFonts w:hint="default" w:ascii="Times New Roman" w:hAnsi="Times New Roman" w:cs="Times New Roman"/>
          <w:lang w:eastAsia="zh-CN"/>
        </w:rPr>
        <w:t>（2）区域特点</w:t>
      </w:r>
    </w:p>
    <w:p w14:paraId="6D910B88">
      <w:pPr>
        <w:ind w:firstLine="480"/>
        <w:jc w:val="both"/>
        <w:rPr>
          <w:rFonts w:hint="default" w:ascii="Times New Roman" w:hAnsi="Times New Roman" w:cs="Times New Roman"/>
          <w:lang w:eastAsia="zh-CN"/>
        </w:rPr>
      </w:pPr>
      <w:r>
        <w:rPr>
          <w:rFonts w:hint="default" w:ascii="Times New Roman" w:hAnsi="Times New Roman" w:cs="Times New Roman"/>
          <w:lang w:eastAsia="zh-CN"/>
        </w:rPr>
        <w:t>水土流失重点预防区指目前水土流失较轻，林草植被覆盖率较高，但存在水土流失加剧的潜在危险，水土流失潜在的危险程度较高。区域内主要为人类社会经济活动强度较低、林草植被覆盖率较高的区域。松竹镇和杨家镇位于南渡河中上游，属于南渡河饮用水源保护区。纪家镇位于东运河段饮用水源保护区，且有林面积居全市首位，植被覆盖率高。企水镇位于雷州市西部，被规划为珍稀水生生物省级自然保护区。此外镇区古迹较多，还有自然保护区、风景名胜区、森林公园等具有重大生态服务功能价值的区域，土壤侵蚀强度大多属于微度侵蚀区和轻度侵蚀区。预防保护区内物种丰富、自然资源相对集中、生态环境良好。</w:t>
      </w:r>
    </w:p>
    <w:p w14:paraId="1ED7EF7D">
      <w:pPr>
        <w:ind w:firstLine="480"/>
        <w:jc w:val="both"/>
        <w:rPr>
          <w:rFonts w:hint="default" w:ascii="Times New Roman" w:hAnsi="Times New Roman" w:cs="Times New Roman"/>
          <w:lang w:eastAsia="zh-CN"/>
        </w:rPr>
      </w:pPr>
      <w:r>
        <w:rPr>
          <w:rFonts w:hint="default" w:ascii="Times New Roman" w:hAnsi="Times New Roman" w:cs="Times New Roman"/>
          <w:lang w:eastAsia="zh-CN"/>
        </w:rPr>
        <w:t>（3）土壤侵蚀现状</w:t>
      </w:r>
    </w:p>
    <w:p w14:paraId="6C97C24F">
      <w:pPr>
        <w:ind w:firstLine="480"/>
        <w:jc w:val="both"/>
        <w:rPr>
          <w:rFonts w:hint="default" w:ascii="Times New Roman" w:hAnsi="Times New Roman" w:cs="Times New Roman"/>
          <w:bCs/>
          <w:kern w:val="2"/>
          <w:lang w:eastAsia="zh-CN"/>
        </w:rPr>
      </w:pPr>
      <w:r>
        <w:rPr>
          <w:rFonts w:hint="default" w:ascii="Times New Roman" w:hAnsi="Times New Roman" w:cs="Times New Roman"/>
          <w:lang w:eastAsia="zh-CN"/>
        </w:rPr>
        <w:t>经统计，雷州市水土流失重点预防区内水土流失面积约</w:t>
      </w:r>
      <w:r>
        <w:rPr>
          <w:rFonts w:hint="default" w:ascii="Times New Roman" w:hAnsi="Times New Roman" w:cs="Times New Roman"/>
          <w:lang w:val="en-US" w:eastAsia="zh-CN"/>
        </w:rPr>
        <w:t>13.12</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w:t>
      </w:r>
      <w:r>
        <w:rPr>
          <w:rFonts w:hint="default" w:ascii="Times New Roman" w:hAnsi="Times New Roman" w:cs="Times New Roman"/>
          <w:bCs/>
          <w:kern w:val="2"/>
          <w:lang w:eastAsia="zh-CN"/>
        </w:rPr>
        <w:t>其中，自然侵蚀面积</w:t>
      </w:r>
      <w:r>
        <w:rPr>
          <w:rFonts w:hint="default" w:ascii="Times New Roman" w:hAnsi="Times New Roman" w:cs="Times New Roman"/>
          <w:bCs/>
          <w:kern w:val="2"/>
          <w:lang w:val="en-US" w:eastAsia="zh-CN"/>
        </w:rPr>
        <w:t>2.95</w:t>
      </w:r>
      <w:r>
        <w:rPr>
          <w:rFonts w:hint="default" w:ascii="Times New Roman" w:hAnsi="Times New Roman" w:cs="Times New Roman"/>
          <w:bCs/>
          <w:kern w:val="2"/>
          <w:lang w:eastAsia="zh-CN"/>
        </w:rPr>
        <w:t>km</w:t>
      </w:r>
      <w:r>
        <w:rPr>
          <w:rFonts w:hint="default" w:ascii="Times New Roman" w:hAnsi="Times New Roman" w:cs="Times New Roman"/>
          <w:bCs/>
          <w:kern w:val="2"/>
          <w:vertAlign w:val="superscript"/>
          <w:lang w:eastAsia="zh-CN"/>
        </w:rPr>
        <w:t>2</w:t>
      </w:r>
      <w:r>
        <w:rPr>
          <w:rFonts w:hint="default" w:ascii="Times New Roman" w:hAnsi="Times New Roman" w:cs="Times New Roman"/>
          <w:bCs/>
          <w:kern w:val="2"/>
          <w:lang w:eastAsia="zh-CN"/>
        </w:rPr>
        <w:t>，人为侵蚀面积</w:t>
      </w:r>
      <w:r>
        <w:rPr>
          <w:rFonts w:hint="default" w:ascii="Times New Roman" w:hAnsi="Times New Roman" w:cs="Times New Roman"/>
          <w:bCs/>
          <w:kern w:val="2"/>
          <w:lang w:val="en-US" w:eastAsia="zh-CN"/>
        </w:rPr>
        <w:t>10.17</w:t>
      </w:r>
      <w:r>
        <w:rPr>
          <w:rFonts w:hint="default" w:ascii="Times New Roman" w:hAnsi="Times New Roman" w:cs="Times New Roman"/>
          <w:bCs/>
          <w:kern w:val="2"/>
          <w:lang w:eastAsia="zh-CN"/>
        </w:rPr>
        <w:t>hm</w:t>
      </w:r>
      <w:r>
        <w:rPr>
          <w:rFonts w:hint="default" w:ascii="Times New Roman" w:hAnsi="Times New Roman" w:cs="Times New Roman"/>
          <w:bCs/>
          <w:kern w:val="2"/>
          <w:vertAlign w:val="superscript"/>
          <w:lang w:eastAsia="zh-CN"/>
        </w:rPr>
        <w:t>2</w:t>
      </w:r>
      <w:r>
        <w:rPr>
          <w:rFonts w:hint="default" w:ascii="Times New Roman" w:hAnsi="Times New Roman" w:cs="Times New Roman"/>
          <w:bCs/>
          <w:kern w:val="2"/>
          <w:lang w:eastAsia="zh-CN"/>
        </w:rPr>
        <w:t>。</w:t>
      </w:r>
    </w:p>
    <w:p w14:paraId="330B2ED6">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雷州市水土流失重点预防区内水土流失侵蚀类型以</w:t>
      </w:r>
      <w:r>
        <w:rPr>
          <w:rFonts w:hint="default" w:ascii="Times New Roman" w:hAnsi="Times New Roman" w:cs="Times New Roman"/>
          <w:lang w:val="en-US" w:eastAsia="zh-CN"/>
        </w:rPr>
        <w:t>人为</w:t>
      </w:r>
      <w:r>
        <w:rPr>
          <w:rFonts w:hint="default" w:ascii="Times New Roman" w:hAnsi="Times New Roman" w:cs="Times New Roman"/>
          <w:lang w:eastAsia="zh-CN"/>
        </w:rPr>
        <w:t>侵蚀为主，</w:t>
      </w:r>
      <w:r>
        <w:rPr>
          <w:rFonts w:hint="default" w:ascii="Times New Roman" w:hAnsi="Times New Roman" w:cs="Times New Roman"/>
          <w:lang w:val="en-US" w:eastAsia="zh-CN"/>
        </w:rPr>
        <w:t>人为</w:t>
      </w:r>
      <w:r>
        <w:rPr>
          <w:rFonts w:hint="default" w:ascii="Times New Roman" w:hAnsi="Times New Roman" w:cs="Times New Roman"/>
          <w:lang w:eastAsia="zh-CN"/>
        </w:rPr>
        <w:t>侵蚀中，</w:t>
      </w:r>
      <w:r>
        <w:rPr>
          <w:rFonts w:hint="default" w:ascii="Times New Roman" w:hAnsi="Times New Roman" w:cs="Times New Roman"/>
          <w:lang w:val="en-US" w:eastAsia="zh-CN"/>
        </w:rPr>
        <w:t>主要是坡耕地，</w:t>
      </w:r>
      <w:r>
        <w:rPr>
          <w:rFonts w:hint="default" w:ascii="Times New Roman" w:hAnsi="Times New Roman" w:cs="Times New Roman"/>
          <w:lang w:eastAsia="zh-CN"/>
        </w:rPr>
        <w:t>侵蚀强度以轻度为主。</w:t>
      </w:r>
    </w:p>
    <w:p w14:paraId="42AB0AA7">
      <w:pPr>
        <w:pStyle w:val="7"/>
        <w:numPr>
          <w:ilvl w:val="0"/>
          <w:numId w:val="0"/>
        </w:numPr>
        <w:snapToGrid w:val="0"/>
        <w:spacing w:before="120" w:beforeAutospacing="0" w:after="120" w:afterAutospacing="0"/>
        <w:rPr>
          <w:rFonts w:hint="default" w:ascii="Times New Roman" w:hAnsi="Times New Roman" w:cs="Times New Roman"/>
          <w:lang w:eastAsia="zh-CN"/>
        </w:rPr>
      </w:pPr>
      <w:bookmarkStart w:id="133" w:name="_Toc520723998"/>
      <w:bookmarkStart w:id="134" w:name="_Toc22290"/>
      <w:r>
        <w:rPr>
          <w:rFonts w:hint="default" w:ascii="Times New Roman" w:hAnsi="Times New Roman" w:cs="Times New Roman"/>
          <w:lang w:eastAsia="zh-CN"/>
        </w:rPr>
        <w:t>4.3水土流失重点治理区介绍</w:t>
      </w:r>
      <w:bookmarkEnd w:id="133"/>
      <w:bookmarkEnd w:id="134"/>
    </w:p>
    <w:p w14:paraId="688B4D74">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（1）范围</w:t>
      </w:r>
    </w:p>
    <w:p w14:paraId="206FC9A5">
      <w:pPr>
        <w:snapToGrid w:val="0"/>
        <w:ind w:firstLine="480"/>
        <w:jc w:val="both"/>
        <w:rPr>
          <w:rFonts w:hint="default" w:ascii="Times New Roman" w:hAnsi="Times New Roman" w:cs="Times New Roman"/>
          <w:lang w:eastAsia="zh-CN"/>
        </w:rPr>
      </w:pPr>
      <w:r>
        <w:rPr>
          <w:rFonts w:hint="default" w:ascii="Times New Roman" w:hAnsi="Times New Roman" w:cs="Times New Roman"/>
          <w:lang w:eastAsia="zh-CN"/>
        </w:rPr>
        <w:t>湛江市水土流失重点治理区为唐家镇和调风镇，总面积约594.87km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，约占雷州市面积的</w:t>
      </w:r>
      <w:r>
        <w:rPr>
          <w:rFonts w:hint="default" w:ascii="Times New Roman" w:hAnsi="Times New Roman" w:cs="Times New Roman"/>
          <w:lang w:val="en-US" w:eastAsia="zh-CN"/>
        </w:rPr>
        <w:t>19.67</w:t>
      </w:r>
      <w:r>
        <w:rPr>
          <w:rFonts w:hint="default" w:ascii="Times New Roman" w:hAnsi="Times New Roman" w:cs="Times New Roman"/>
          <w:lang w:eastAsia="zh-CN"/>
        </w:rPr>
        <w:t>%。</w:t>
      </w:r>
    </w:p>
    <w:p w14:paraId="00EE6AC2">
      <w:pPr>
        <w:ind w:firstLine="480"/>
        <w:jc w:val="both"/>
        <w:rPr>
          <w:rFonts w:hint="default" w:ascii="Times New Roman" w:hAnsi="Times New Roman" w:cs="Times New Roman"/>
          <w:lang w:eastAsia="zh-CN"/>
        </w:rPr>
      </w:pPr>
      <w:r>
        <w:rPr>
          <w:rFonts w:hint="default" w:ascii="Times New Roman" w:hAnsi="Times New Roman" w:cs="Times New Roman"/>
          <w:lang w:eastAsia="zh-CN"/>
        </w:rPr>
        <w:t>（2）区域特点</w:t>
      </w:r>
    </w:p>
    <w:p w14:paraId="12693EA2">
      <w:pPr>
        <w:ind w:firstLine="480"/>
        <w:jc w:val="both"/>
        <w:rPr>
          <w:rFonts w:hint="default" w:ascii="Times New Roman" w:hAnsi="Times New Roman" w:cs="Times New Roman"/>
          <w:lang w:eastAsia="zh-CN"/>
        </w:rPr>
      </w:pPr>
      <w:r>
        <w:rPr>
          <w:rFonts w:hint="default" w:ascii="Times New Roman" w:hAnsi="Times New Roman" w:cs="Times New Roman"/>
          <w:lang w:eastAsia="zh-CN"/>
        </w:rPr>
        <w:t>水土流失重点治理区大多地区水土流失较为严重，人口密度较大、人为活动较为频繁，生态环境恶化，水土流失是当地和下游国民经济和社会发展主要制约因素的区域。这些区域所在地区的特点为：区域内水土流失严重，主要为工程开发建设与采石取土所引起的。</w:t>
      </w:r>
    </w:p>
    <w:p w14:paraId="3C9723D8">
      <w:pPr>
        <w:ind w:firstLine="480"/>
        <w:jc w:val="both"/>
        <w:rPr>
          <w:rFonts w:hint="default" w:ascii="Times New Roman" w:hAnsi="Times New Roman" w:cs="Times New Roman"/>
          <w:lang w:eastAsia="zh-CN"/>
        </w:rPr>
      </w:pPr>
      <w:r>
        <w:rPr>
          <w:rFonts w:hint="default" w:ascii="Times New Roman" w:hAnsi="Times New Roman" w:cs="Times New Roman"/>
          <w:lang w:eastAsia="zh-CN"/>
        </w:rPr>
        <w:t>重点治理区内人为活动强烈、自然环境相对脆弱、易发生水土流失，也是水土保持监督工作的重点。</w:t>
      </w:r>
    </w:p>
    <w:p w14:paraId="116EDB76">
      <w:pPr>
        <w:ind w:firstLine="480"/>
        <w:jc w:val="both"/>
        <w:rPr>
          <w:rFonts w:hint="default" w:ascii="Times New Roman" w:hAnsi="Times New Roman" w:cs="Times New Roman"/>
          <w:lang w:eastAsia="zh-CN"/>
        </w:rPr>
      </w:pPr>
      <w:r>
        <w:rPr>
          <w:rFonts w:hint="default" w:ascii="Times New Roman" w:hAnsi="Times New Roman" w:cs="Times New Roman"/>
          <w:lang w:eastAsia="zh-CN"/>
        </w:rPr>
        <w:t>（3）土壤侵蚀现状</w:t>
      </w:r>
    </w:p>
    <w:p w14:paraId="1C01D22E">
      <w:pPr>
        <w:ind w:firstLine="480"/>
        <w:jc w:val="both"/>
        <w:rPr>
          <w:rFonts w:hint="default" w:ascii="Times New Roman" w:hAnsi="Times New Roman" w:cs="Times New Roman"/>
          <w:bCs/>
          <w:kern w:val="2"/>
          <w:lang w:eastAsia="zh-CN"/>
        </w:rPr>
      </w:pPr>
      <w:r>
        <w:rPr>
          <w:rFonts w:hint="default" w:ascii="Times New Roman" w:hAnsi="Times New Roman" w:cs="Times New Roman"/>
          <w:lang w:eastAsia="zh-CN"/>
        </w:rPr>
        <w:t>经统计，雷州市水土流失重点治理区内水土流失面积约</w:t>
      </w:r>
      <w:r>
        <w:rPr>
          <w:rFonts w:hint="default" w:ascii="Times New Roman" w:hAnsi="Times New Roman" w:cs="Times New Roman"/>
          <w:lang w:val="en-US" w:eastAsia="zh-CN"/>
        </w:rPr>
        <w:t>33.42</w:t>
      </w:r>
      <w:r>
        <w:rPr>
          <w:rFonts w:hint="default" w:ascii="Times New Roman" w:hAnsi="Times New Roman" w:cs="Times New Roman"/>
          <w:lang w:eastAsia="zh-CN"/>
        </w:rPr>
        <w:t>km</w:t>
      </w:r>
      <w:r>
        <w:rPr>
          <w:rFonts w:hint="default" w:ascii="Times New Roman" w:hAnsi="Times New Roman" w:cs="Times New Roman"/>
          <w:vertAlign w:val="superscript"/>
          <w:lang w:eastAsia="zh-CN"/>
        </w:rPr>
        <w:t>2</w:t>
      </w:r>
      <w:r>
        <w:rPr>
          <w:rFonts w:hint="default" w:ascii="Times New Roman" w:hAnsi="Times New Roman" w:cs="Times New Roman"/>
          <w:lang w:eastAsia="zh-CN"/>
        </w:rPr>
        <w:t>，占雷州市侵蚀总面积的</w:t>
      </w:r>
      <w:r>
        <w:rPr>
          <w:rFonts w:hint="default" w:ascii="Times New Roman" w:hAnsi="Times New Roman" w:cs="Times New Roman"/>
          <w:lang w:val="en-US" w:eastAsia="zh-CN"/>
        </w:rPr>
        <w:t>34.78</w:t>
      </w:r>
      <w:r>
        <w:rPr>
          <w:rFonts w:hint="default" w:ascii="Times New Roman" w:hAnsi="Times New Roman" w:cs="Times New Roman"/>
          <w:lang w:eastAsia="zh-CN"/>
        </w:rPr>
        <w:t>%，</w:t>
      </w:r>
      <w:r>
        <w:rPr>
          <w:rFonts w:hint="default" w:ascii="Times New Roman" w:hAnsi="Times New Roman" w:cs="Times New Roman"/>
          <w:bCs/>
          <w:kern w:val="2"/>
          <w:lang w:eastAsia="zh-CN"/>
        </w:rPr>
        <w:t>其中，自然侵蚀面积</w:t>
      </w:r>
      <w:r>
        <w:rPr>
          <w:rFonts w:hint="default" w:ascii="Times New Roman" w:hAnsi="Times New Roman" w:cs="Times New Roman"/>
          <w:bCs/>
          <w:kern w:val="2"/>
          <w:lang w:val="en-US" w:eastAsia="zh-CN"/>
        </w:rPr>
        <w:t>6.23</w:t>
      </w:r>
      <w:r>
        <w:rPr>
          <w:rFonts w:hint="default" w:ascii="Times New Roman" w:hAnsi="Times New Roman" w:cs="Times New Roman"/>
          <w:bCs/>
          <w:kern w:val="2"/>
          <w:lang w:eastAsia="zh-CN"/>
        </w:rPr>
        <w:t>km</w:t>
      </w:r>
      <w:r>
        <w:rPr>
          <w:rFonts w:hint="default" w:ascii="Times New Roman" w:hAnsi="Times New Roman" w:cs="Times New Roman"/>
          <w:bCs/>
          <w:kern w:val="2"/>
          <w:vertAlign w:val="superscript"/>
          <w:lang w:eastAsia="zh-CN"/>
        </w:rPr>
        <w:t>2</w:t>
      </w:r>
      <w:r>
        <w:rPr>
          <w:rFonts w:hint="default" w:ascii="Times New Roman" w:hAnsi="Times New Roman" w:cs="Times New Roman"/>
          <w:bCs/>
          <w:kern w:val="2"/>
          <w:lang w:eastAsia="zh-CN"/>
        </w:rPr>
        <w:t>，人为侵蚀面积</w:t>
      </w:r>
      <w:r>
        <w:rPr>
          <w:rFonts w:hint="default" w:ascii="Times New Roman" w:hAnsi="Times New Roman" w:cs="Times New Roman"/>
          <w:bCs/>
          <w:kern w:val="2"/>
          <w:lang w:val="en-US" w:eastAsia="zh-CN"/>
        </w:rPr>
        <w:t>24.19</w:t>
      </w:r>
      <w:r>
        <w:rPr>
          <w:rFonts w:hint="default" w:ascii="Times New Roman" w:hAnsi="Times New Roman" w:cs="Times New Roman"/>
          <w:bCs/>
          <w:kern w:val="2"/>
          <w:lang w:eastAsia="zh-CN"/>
        </w:rPr>
        <w:t>km</w:t>
      </w:r>
      <w:r>
        <w:rPr>
          <w:rFonts w:hint="default" w:ascii="Times New Roman" w:hAnsi="Times New Roman" w:cs="Times New Roman"/>
          <w:bCs/>
          <w:kern w:val="2"/>
          <w:vertAlign w:val="superscript"/>
          <w:lang w:eastAsia="zh-CN"/>
        </w:rPr>
        <w:t>2</w:t>
      </w:r>
      <w:r>
        <w:rPr>
          <w:rFonts w:hint="default" w:ascii="Times New Roman" w:hAnsi="Times New Roman" w:cs="Times New Roman"/>
          <w:bCs/>
          <w:kern w:val="2"/>
          <w:lang w:eastAsia="zh-CN"/>
        </w:rPr>
        <w:t>。</w:t>
      </w:r>
    </w:p>
    <w:p w14:paraId="7B7EB3D4">
      <w:pPr>
        <w:ind w:firstLine="480"/>
        <w:jc w:val="both"/>
        <w:rPr>
          <w:rFonts w:hint="default" w:ascii="Times New Roman" w:hAnsi="Times New Roman" w:cs="Times New Roman"/>
          <w:bCs/>
          <w:kern w:val="2"/>
          <w:lang w:eastAsia="zh-CN"/>
        </w:rPr>
      </w:pPr>
      <w:r>
        <w:rPr>
          <w:rFonts w:hint="default" w:ascii="Times New Roman" w:hAnsi="Times New Roman" w:cs="Times New Roman"/>
          <w:bCs/>
          <w:kern w:val="2"/>
          <w:lang w:eastAsia="zh-CN"/>
        </w:rPr>
        <w:t>自然侵蚀中，</w:t>
      </w:r>
      <w:r>
        <w:rPr>
          <w:rFonts w:hint="default" w:ascii="Times New Roman" w:hAnsi="Times New Roman" w:cs="Times New Roman"/>
          <w:bCs/>
          <w:kern w:val="2"/>
          <w:lang w:val="en-US" w:eastAsia="zh-CN"/>
        </w:rPr>
        <w:t>主要为轻度侵蚀</w:t>
      </w:r>
      <w:r>
        <w:rPr>
          <w:rFonts w:hint="default" w:ascii="Times New Roman" w:hAnsi="Times New Roman" w:cs="Times New Roman"/>
          <w:bCs/>
          <w:kern w:val="2"/>
          <w:lang w:eastAsia="zh-CN"/>
        </w:rPr>
        <w:t>。</w:t>
      </w:r>
      <w:r>
        <w:rPr>
          <w:rFonts w:hint="default" w:ascii="Times New Roman" w:hAnsi="Times New Roman" w:cs="Times New Roman"/>
          <w:kern w:val="2"/>
          <w:lang w:eastAsia="zh-CN"/>
        </w:rPr>
        <w:t>人为侵蚀中，坡耕地侵蚀面积为</w:t>
      </w:r>
      <w:r>
        <w:rPr>
          <w:rFonts w:hint="default" w:ascii="Times New Roman" w:hAnsi="Times New Roman" w:cs="Times New Roman"/>
          <w:kern w:val="2"/>
          <w:lang w:val="en-US" w:eastAsia="zh-CN"/>
        </w:rPr>
        <w:t>22.94</w:t>
      </w:r>
      <w:r>
        <w:rPr>
          <w:rFonts w:hint="default" w:ascii="Times New Roman" w:hAnsi="Times New Roman" w:cs="Times New Roman"/>
          <w:bCs/>
          <w:kern w:val="2"/>
          <w:lang w:eastAsia="zh-CN"/>
        </w:rPr>
        <w:t>km</w:t>
      </w:r>
      <w:r>
        <w:rPr>
          <w:rFonts w:hint="default" w:ascii="Times New Roman" w:hAnsi="Times New Roman" w:cs="Times New Roman"/>
          <w:bCs/>
          <w:kern w:val="2"/>
          <w:vertAlign w:val="superscript"/>
          <w:lang w:eastAsia="zh-CN"/>
        </w:rPr>
        <w:t>2</w:t>
      </w:r>
      <w:r>
        <w:rPr>
          <w:rFonts w:hint="default" w:ascii="Times New Roman" w:hAnsi="Times New Roman" w:cs="Times New Roman"/>
          <w:kern w:val="2"/>
          <w:lang w:eastAsia="zh-CN"/>
        </w:rPr>
        <w:t>，</w:t>
      </w:r>
      <w:r>
        <w:rPr>
          <w:rFonts w:hint="default" w:ascii="Times New Roman" w:hAnsi="Times New Roman" w:cs="Times New Roman"/>
          <w:bCs/>
          <w:kern w:val="2"/>
          <w:lang w:eastAsia="zh-CN"/>
        </w:rPr>
        <w:t>占人为侵蚀总面积的</w:t>
      </w:r>
      <w:r>
        <w:rPr>
          <w:rFonts w:hint="default" w:ascii="Times New Roman" w:hAnsi="Times New Roman" w:cs="Times New Roman"/>
          <w:bCs/>
          <w:kern w:val="2"/>
          <w:lang w:val="en-US" w:eastAsia="zh-CN"/>
        </w:rPr>
        <w:t>68.65</w:t>
      </w:r>
      <w:r>
        <w:rPr>
          <w:rFonts w:hint="default" w:ascii="Times New Roman" w:hAnsi="Times New Roman" w:cs="Times New Roman"/>
          <w:bCs/>
          <w:kern w:val="2"/>
          <w:lang w:eastAsia="zh-CN"/>
        </w:rPr>
        <w:t>%。</w:t>
      </w:r>
    </w:p>
    <w:p w14:paraId="72B74FC5">
      <w:pPr>
        <w:ind w:firstLine="480"/>
        <w:jc w:val="both"/>
        <w:rPr>
          <w:rFonts w:hint="default" w:ascii="Times New Roman" w:hAnsi="Times New Roman" w:cs="Times New Roman"/>
          <w:lang w:eastAsia="zh-CN"/>
        </w:rPr>
      </w:pPr>
      <w:r>
        <w:rPr>
          <w:rFonts w:hint="default" w:ascii="Times New Roman" w:hAnsi="Times New Roman" w:cs="Times New Roman"/>
          <w:lang w:eastAsia="zh-CN"/>
        </w:rPr>
        <w:t>可见，雷州市水土流失重点治理区内水土流失较重，强度以轻度为主。</w:t>
      </w:r>
    </w:p>
    <w:p w14:paraId="31F30D9A">
      <w:pPr>
        <w:ind w:left="720" w:firstLine="560"/>
        <w:jc w:val="both"/>
        <w:rPr>
          <w:rFonts w:hint="default" w:ascii="Times New Roman" w:hAnsi="Times New Roman" w:eastAsia="黑体" w:cs="Times New Roman"/>
          <w:kern w:val="2"/>
          <w:sz w:val="28"/>
          <w:szCs w:val="28"/>
          <w:highlight w:val="yellow"/>
          <w:lang w:eastAsia="zh-CN"/>
        </w:rPr>
        <w:sectPr>
          <w:pgSz w:w="11907" w:h="16840"/>
          <w:pgMar w:top="1418" w:right="1588" w:bottom="1418" w:left="1985" w:header="851" w:footer="992" w:gutter="0"/>
          <w:cols w:space="425" w:num="1"/>
          <w:docGrid w:linePitch="312" w:charSpace="0"/>
        </w:sectPr>
      </w:pPr>
    </w:p>
    <w:p w14:paraId="2C307627">
      <w:pPr>
        <w:jc w:val="center"/>
        <w:rPr>
          <w:rFonts w:hint="default" w:ascii="Times New Roman" w:hAnsi="Times New Roman" w:cs="Times New Roman" w:eastAsiaTheme="minorEastAsia"/>
          <w:b/>
          <w:szCs w:val="24"/>
          <w:lang w:eastAsia="zh-CN"/>
        </w:rPr>
      </w:pPr>
      <w:r>
        <w:rPr>
          <w:rFonts w:hint="default" w:ascii="Times New Roman" w:hAnsi="Times New Roman" w:cs="Times New Roman" w:eastAsiaTheme="minorEastAsia"/>
          <w:b/>
          <w:szCs w:val="24"/>
          <w:lang w:eastAsia="zh-CN"/>
        </w:rPr>
        <w:drawing>
          <wp:inline distT="0" distB="0" distL="114300" distR="114300">
            <wp:extent cx="5181600" cy="7248525"/>
            <wp:effectExtent l="0" t="0" r="0" b="9525"/>
            <wp:docPr id="7" name="图片 7" descr="174236986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2369868913"/>
                    <pic:cNvPicPr>
                      <a:picLocks noChangeAspect="1"/>
                    </pic:cNvPicPr>
                  </pic:nvPicPr>
                  <pic:blipFill>
                    <a:blip r:embed="rId43"/>
                    <a:stretch>
                      <a:fillRect/>
                    </a:stretch>
                  </pic:blipFill>
                  <pic:spPr>
                    <a:xfrm>
                      <a:off x="0" y="0"/>
                      <a:ext cx="5181600" cy="7248525"/>
                    </a:xfrm>
                    <a:prstGeom prst="rect">
                      <a:avLst/>
                    </a:prstGeom>
                  </pic:spPr>
                </pic:pic>
              </a:graphicData>
            </a:graphic>
          </wp:inline>
        </w:drawing>
      </w:r>
      <w:r>
        <w:rPr>
          <w:rFonts w:hint="default" w:ascii="Times New Roman" w:hAnsi="Times New Roman" w:cs="Times New Roman" w:eastAsiaTheme="minorEastAsia"/>
          <w:b/>
          <w:szCs w:val="24"/>
          <w:lang w:eastAsia="zh-CN"/>
        </w:rPr>
        <w:t>图</w:t>
      </w:r>
      <w:r>
        <w:rPr>
          <w:rFonts w:hint="default" w:ascii="Times New Roman" w:hAnsi="Times New Roman" w:cs="Times New Roman" w:eastAsiaTheme="minorEastAsia"/>
          <w:b/>
          <w:szCs w:val="24"/>
          <w:lang w:val="en-US" w:eastAsia="zh-CN"/>
        </w:rPr>
        <w:t>4</w:t>
      </w:r>
      <w:r>
        <w:rPr>
          <w:rFonts w:hint="default" w:ascii="Times New Roman" w:hAnsi="Times New Roman" w:cs="Times New Roman" w:eastAsiaTheme="minorEastAsia"/>
          <w:b/>
          <w:szCs w:val="24"/>
          <w:lang w:eastAsia="zh-CN"/>
        </w:rPr>
        <w:t>-1 雷州市水土流失重点防治区划分图</w:t>
      </w:r>
    </w:p>
    <w:sectPr>
      <w:pgSz w:w="11850" w:h="16783"/>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1512">
    <w:pPr>
      <w:pStyle w:val="20"/>
      <w:pBdr>
        <w:top w:val="none" w:color="auto" w:sz="0" w:space="0"/>
      </w:pBdr>
      <w:ind w:firstLine="5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82E8E">
    <w:pPr>
      <w:pStyle w:val="20"/>
      <w:pBdr>
        <w:top w:val="none" w:color="auto" w:sz="0" w:space="0"/>
      </w:pBdr>
      <w:ind w:firstLine="480"/>
      <w:jc w:val="center"/>
    </w:pPr>
  </w:p>
  <w:p w14:paraId="4824095E">
    <w:pPr>
      <w:pStyle w:val="20"/>
      <w:pBdr>
        <w:top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763664"/>
      <w:docPartObj>
        <w:docPartGallery w:val="autotext"/>
      </w:docPartObj>
    </w:sdtPr>
    <w:sdtContent>
      <w:p w14:paraId="67408860">
        <w:pPr>
          <w:pStyle w:val="20"/>
          <w:pBdr>
            <w:top w:val="none" w:color="auto" w:sz="0" w:space="0"/>
          </w:pBdr>
          <w:jc w:val="center"/>
        </w:pPr>
        <w:r>
          <w:fldChar w:fldCharType="begin"/>
        </w:r>
        <w:r>
          <w:instrText xml:space="preserve">PAGE   \* MERGEFORMAT</w:instrText>
        </w:r>
        <w:r>
          <w:fldChar w:fldCharType="separate"/>
        </w:r>
        <w: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EB89D">
    <w:pPr>
      <w:pStyle w:val="20"/>
      <w:pBdr>
        <w:top w:val="none" w:color="auto" w:sz="0" w:space="0"/>
      </w:pBdr>
      <w:jc w:val="both"/>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C1328">
                          <w:pPr>
                            <w:pStyle w:val="20"/>
                            <w:pBdr>
                              <w:top w:val="none" w:color="auto" w:sz="0" w:space="1"/>
                            </w:pBdr>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14:paraId="41CC1328">
                    <w:pPr>
                      <w:pStyle w:val="20"/>
                      <w:pBdr>
                        <w:top w:val="none" w:color="auto" w:sz="0" w:space="1"/>
                      </w:pBdr>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37C82">
    <w:pPr>
      <w:pStyle w:val="20"/>
      <w:pBdr>
        <w:top w:val="none" w:color="auto" w:sz="0" w:space="0"/>
      </w:pBdr>
      <w:jc w:val="both"/>
    </w:pPr>
    <w:r>
      <w:rPr>
        <w:lang w:val="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33799">
                          <w:pPr>
                            <w:pStyle w:val="20"/>
                            <w:pBdr>
                              <w:top w:val="none" w:color="auto" w:sz="0" w:space="1"/>
                            </w:pBd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DD33799">
                    <w:pPr>
                      <w:pStyle w:val="20"/>
                      <w:pBdr>
                        <w:top w:val="none" w:color="auto" w:sz="0" w:space="1"/>
                      </w:pBd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2520738"/>
      <w:docPartObj>
        <w:docPartGallery w:val="autotext"/>
      </w:docPartObj>
    </w:sdtPr>
    <w:sdtContent>
      <w:p w14:paraId="0DFA6E06">
        <w:pPr>
          <w:pStyle w:val="20"/>
          <w:pBdr>
            <w:top w:val="none" w:color="auto" w:sz="0" w:space="0"/>
          </w:pBdr>
          <w:ind w:firstLine="480"/>
          <w:jc w:val="center"/>
        </w:pPr>
        <w:r>
          <w:fldChar w:fldCharType="begin"/>
        </w:r>
        <w:r>
          <w:instrText xml:space="preserve">PAGE   \* MERGEFORMAT</w:instrText>
        </w:r>
        <w:r>
          <w:fldChar w:fldCharType="separate"/>
        </w:r>
        <w:r>
          <w:t>7</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1308974"/>
      <w:docPartObj>
        <w:docPartGallery w:val="autotext"/>
      </w:docPartObj>
    </w:sdtPr>
    <w:sdtContent>
      <w:p w14:paraId="3FB5CB7D">
        <w:pPr>
          <w:pStyle w:val="20"/>
          <w:pBdr>
            <w:top w:val="none" w:color="auto" w:sz="0" w:space="0"/>
          </w:pBdr>
          <w:ind w:firstLine="480"/>
          <w:jc w:val="center"/>
        </w:pPr>
        <w:r>
          <w:fldChar w:fldCharType="begin"/>
        </w:r>
        <w:r>
          <w:instrText xml:space="preserve">PAGE   \* MERGEFORMAT</w:instrText>
        </w:r>
        <w:r>
          <w:fldChar w:fldCharType="separate"/>
        </w:r>
        <w: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8E820">
    <w:pPr>
      <w:spacing w:line="240" w:lineRule="auto"/>
      <w:ind w:firstLine="420"/>
      <w:jc w:val="center"/>
      <w:rPr>
        <w:rFonts w:ascii="楷体" w:hAnsi="楷体" w:eastAsia="楷体" w:cs="楷体"/>
        <w:sz w:val="21"/>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1EC28">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22E89">
    <w:pPr>
      <w:pStyle w:val="21"/>
      <w:ind w:firstLine="199" w:firstLineChars="111"/>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F0974"/>
    <w:multiLevelType w:val="multilevel"/>
    <w:tmpl w:val="06BF0974"/>
    <w:lvl w:ilvl="0" w:tentative="0">
      <w:start w:val="1"/>
      <w:numFmt w:val="decimal"/>
      <w:pStyle w:val="6"/>
      <w:lvlText w:val="%1"/>
      <w:lvlJc w:val="left"/>
      <w:pPr>
        <w:ind w:left="425" w:hanging="425"/>
      </w:pPr>
      <w:rPr>
        <w:rFonts w:hint="eastAsia"/>
      </w:rPr>
    </w:lvl>
    <w:lvl w:ilvl="1" w:tentative="0">
      <w:start w:val="1"/>
      <w:numFmt w:val="decimal"/>
      <w:pStyle w:val="7"/>
      <w:lvlText w:val="%1.%2"/>
      <w:lvlJc w:val="left"/>
      <w:pPr>
        <w:ind w:left="992" w:hanging="567"/>
      </w:pPr>
      <w:rPr>
        <w:rFonts w:hint="eastAsia"/>
      </w:rPr>
    </w:lvl>
    <w:lvl w:ilvl="2" w:tentative="0">
      <w:start w:val="1"/>
      <w:numFmt w:val="decimal"/>
      <w:pStyle w:val="9"/>
      <w:lvlText w:val="%1.%2.%3"/>
      <w:lvlJc w:val="left"/>
      <w:pPr>
        <w:ind w:left="567" w:hanging="567"/>
      </w:pPr>
      <w:rPr>
        <w:rFonts w:hint="eastAsia" w:ascii="Times New Roman" w:hAnsi="Times New Roman" w:eastAsia="宋体"/>
      </w:rPr>
    </w:lvl>
    <w:lvl w:ilvl="3" w:tentative="0">
      <w:start w:val="1"/>
      <w:numFmt w:val="decimal"/>
      <w:pStyle w:val="10"/>
      <w:lvlText w:val="（%4）"/>
      <w:lvlJc w:val="left"/>
      <w:pPr>
        <w:ind w:left="2268" w:hanging="708"/>
      </w:pPr>
      <w:rPr>
        <w:rFonts w:hint="default" w:ascii="Times New Roman" w:hAnsi="Times New Roman"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D452578"/>
    <w:multiLevelType w:val="multilevel"/>
    <w:tmpl w:val="1D452578"/>
    <w:lvl w:ilvl="0" w:tentative="0">
      <w:start w:val="1"/>
      <w:numFmt w:val="japaneseCounting"/>
      <w:lvlText w:val="%1、"/>
      <w:lvlJc w:val="left"/>
      <w:pPr>
        <w:ind w:left="2891" w:hanging="480"/>
      </w:pPr>
      <w:rPr>
        <w:rFonts w:hint="default"/>
      </w:rPr>
    </w:lvl>
    <w:lvl w:ilvl="1" w:tentative="0">
      <w:start w:val="1"/>
      <w:numFmt w:val="lowerLetter"/>
      <w:lvlText w:val="%2)"/>
      <w:lvlJc w:val="left"/>
      <w:pPr>
        <w:ind w:left="3251" w:hanging="420"/>
      </w:pPr>
    </w:lvl>
    <w:lvl w:ilvl="2" w:tentative="0">
      <w:start w:val="1"/>
      <w:numFmt w:val="lowerRoman"/>
      <w:lvlText w:val="%3."/>
      <w:lvlJc w:val="right"/>
      <w:pPr>
        <w:ind w:left="3671" w:hanging="420"/>
      </w:pPr>
    </w:lvl>
    <w:lvl w:ilvl="3" w:tentative="0">
      <w:start w:val="1"/>
      <w:numFmt w:val="decimal"/>
      <w:lvlText w:val="%4."/>
      <w:lvlJc w:val="left"/>
      <w:pPr>
        <w:ind w:left="4091" w:hanging="420"/>
      </w:pPr>
    </w:lvl>
    <w:lvl w:ilvl="4" w:tentative="0">
      <w:start w:val="1"/>
      <w:numFmt w:val="lowerLetter"/>
      <w:lvlText w:val="%5)"/>
      <w:lvlJc w:val="left"/>
      <w:pPr>
        <w:ind w:left="4511" w:hanging="420"/>
      </w:pPr>
    </w:lvl>
    <w:lvl w:ilvl="5" w:tentative="0">
      <w:start w:val="1"/>
      <w:numFmt w:val="lowerRoman"/>
      <w:lvlText w:val="%6."/>
      <w:lvlJc w:val="right"/>
      <w:pPr>
        <w:ind w:left="4931" w:hanging="420"/>
      </w:pPr>
    </w:lvl>
    <w:lvl w:ilvl="6" w:tentative="0">
      <w:start w:val="1"/>
      <w:numFmt w:val="decimal"/>
      <w:lvlText w:val="%7."/>
      <w:lvlJc w:val="left"/>
      <w:pPr>
        <w:ind w:left="5351" w:hanging="420"/>
      </w:pPr>
    </w:lvl>
    <w:lvl w:ilvl="7" w:tentative="0">
      <w:start w:val="1"/>
      <w:numFmt w:val="lowerLetter"/>
      <w:lvlText w:val="%8)"/>
      <w:lvlJc w:val="left"/>
      <w:pPr>
        <w:ind w:left="5771" w:hanging="420"/>
      </w:pPr>
    </w:lvl>
    <w:lvl w:ilvl="8" w:tentative="0">
      <w:start w:val="1"/>
      <w:numFmt w:val="lowerRoman"/>
      <w:lvlText w:val="%9."/>
      <w:lvlJc w:val="right"/>
      <w:pPr>
        <w:ind w:left="6191" w:hanging="420"/>
      </w:pPr>
    </w:lvl>
  </w:abstractNum>
  <w:abstractNum w:abstractNumId="2">
    <w:nsid w:val="2F8EBEA9"/>
    <w:multiLevelType w:val="singleLevel"/>
    <w:tmpl w:val="2F8EBEA9"/>
    <w:lvl w:ilvl="0" w:tentative="0">
      <w:start w:val="1"/>
      <w:numFmt w:val="decimal"/>
      <w:suff w:val="nothing"/>
      <w:lvlText w:val="（%1）"/>
      <w:lvlJc w:val="left"/>
    </w:lvl>
  </w:abstractNum>
  <w:abstractNum w:abstractNumId="3">
    <w:nsid w:val="5C54955D"/>
    <w:multiLevelType w:val="singleLevel"/>
    <w:tmpl w:val="5C54955D"/>
    <w:lvl w:ilvl="0" w:tentative="0">
      <w:start w:val="2"/>
      <w:numFmt w:val="decimal"/>
      <w:suff w:val="nothing"/>
      <w:lvlText w:val="（%1）"/>
      <w:lvlJc w:val="left"/>
      <w:pPr>
        <w:ind w:left="-2"/>
      </w:pPr>
    </w:lvl>
  </w:abstractNum>
  <w:abstractNum w:abstractNumId="4">
    <w:nsid w:val="66CB4386"/>
    <w:multiLevelType w:val="multilevel"/>
    <w:tmpl w:val="66CB4386"/>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kMDliMzFlMmNjZjIxNzcwOTk0MTRiOTg4NTlmMmMifQ=="/>
  </w:docVars>
  <w:rsids>
    <w:rsidRoot w:val="74481006"/>
    <w:rsid w:val="000167AC"/>
    <w:rsid w:val="00022928"/>
    <w:rsid w:val="00040349"/>
    <w:rsid w:val="000433B4"/>
    <w:rsid w:val="00046C3B"/>
    <w:rsid w:val="00057269"/>
    <w:rsid w:val="00077264"/>
    <w:rsid w:val="00083F84"/>
    <w:rsid w:val="00090CD2"/>
    <w:rsid w:val="000A42A9"/>
    <w:rsid w:val="000A62A2"/>
    <w:rsid w:val="000B24B0"/>
    <w:rsid w:val="000C7035"/>
    <w:rsid w:val="000D2190"/>
    <w:rsid w:val="000E256E"/>
    <w:rsid w:val="000F653A"/>
    <w:rsid w:val="00126961"/>
    <w:rsid w:val="00127B9C"/>
    <w:rsid w:val="001352DA"/>
    <w:rsid w:val="00165A90"/>
    <w:rsid w:val="00172E83"/>
    <w:rsid w:val="001859AA"/>
    <w:rsid w:val="00185D55"/>
    <w:rsid w:val="001A7E5F"/>
    <w:rsid w:val="001B783A"/>
    <w:rsid w:val="001C7875"/>
    <w:rsid w:val="001D2F32"/>
    <w:rsid w:val="001D54F6"/>
    <w:rsid w:val="001E3281"/>
    <w:rsid w:val="001F35E8"/>
    <w:rsid w:val="001F3DBA"/>
    <w:rsid w:val="0020298A"/>
    <w:rsid w:val="00206501"/>
    <w:rsid w:val="002104B0"/>
    <w:rsid w:val="00210944"/>
    <w:rsid w:val="0021204A"/>
    <w:rsid w:val="002222BF"/>
    <w:rsid w:val="00225E73"/>
    <w:rsid w:val="00252749"/>
    <w:rsid w:val="00257206"/>
    <w:rsid w:val="002938E0"/>
    <w:rsid w:val="002A0161"/>
    <w:rsid w:val="002C0F81"/>
    <w:rsid w:val="002C2716"/>
    <w:rsid w:val="002D0BC8"/>
    <w:rsid w:val="002D3CA0"/>
    <w:rsid w:val="002E3EA7"/>
    <w:rsid w:val="002E4A14"/>
    <w:rsid w:val="002F0D87"/>
    <w:rsid w:val="00305C94"/>
    <w:rsid w:val="00307AE9"/>
    <w:rsid w:val="0031181D"/>
    <w:rsid w:val="00320AD1"/>
    <w:rsid w:val="00326E75"/>
    <w:rsid w:val="00341093"/>
    <w:rsid w:val="00354A24"/>
    <w:rsid w:val="00375AEA"/>
    <w:rsid w:val="00376F7F"/>
    <w:rsid w:val="003A1CA0"/>
    <w:rsid w:val="003A247B"/>
    <w:rsid w:val="003B02F0"/>
    <w:rsid w:val="003B332C"/>
    <w:rsid w:val="003D3221"/>
    <w:rsid w:val="003F4E62"/>
    <w:rsid w:val="0041317E"/>
    <w:rsid w:val="00431BD1"/>
    <w:rsid w:val="00440F63"/>
    <w:rsid w:val="00443135"/>
    <w:rsid w:val="00496BAB"/>
    <w:rsid w:val="004A21BA"/>
    <w:rsid w:val="004B7630"/>
    <w:rsid w:val="004D6C98"/>
    <w:rsid w:val="004D79F0"/>
    <w:rsid w:val="004E1B83"/>
    <w:rsid w:val="004E409A"/>
    <w:rsid w:val="004E71BE"/>
    <w:rsid w:val="004F6F27"/>
    <w:rsid w:val="00501F33"/>
    <w:rsid w:val="00502ABF"/>
    <w:rsid w:val="005209D1"/>
    <w:rsid w:val="0054454B"/>
    <w:rsid w:val="00555549"/>
    <w:rsid w:val="00571DF6"/>
    <w:rsid w:val="0057525A"/>
    <w:rsid w:val="005759DA"/>
    <w:rsid w:val="005A2AF4"/>
    <w:rsid w:val="005C33C5"/>
    <w:rsid w:val="005F1C70"/>
    <w:rsid w:val="005F4809"/>
    <w:rsid w:val="005F5301"/>
    <w:rsid w:val="005F6CE0"/>
    <w:rsid w:val="006170A2"/>
    <w:rsid w:val="00636F55"/>
    <w:rsid w:val="00653DFA"/>
    <w:rsid w:val="00681535"/>
    <w:rsid w:val="00696D90"/>
    <w:rsid w:val="006B3D1C"/>
    <w:rsid w:val="006C6489"/>
    <w:rsid w:val="006D7CED"/>
    <w:rsid w:val="006F0CEF"/>
    <w:rsid w:val="007050F5"/>
    <w:rsid w:val="00705FA9"/>
    <w:rsid w:val="007065DC"/>
    <w:rsid w:val="0070669D"/>
    <w:rsid w:val="00711597"/>
    <w:rsid w:val="00716B00"/>
    <w:rsid w:val="00743323"/>
    <w:rsid w:val="007724D0"/>
    <w:rsid w:val="00794D11"/>
    <w:rsid w:val="0079678A"/>
    <w:rsid w:val="007C64B8"/>
    <w:rsid w:val="007D1241"/>
    <w:rsid w:val="007F3AA5"/>
    <w:rsid w:val="008074AD"/>
    <w:rsid w:val="008149AF"/>
    <w:rsid w:val="00817D8E"/>
    <w:rsid w:val="00820BF0"/>
    <w:rsid w:val="00824B98"/>
    <w:rsid w:val="00855116"/>
    <w:rsid w:val="00856CF2"/>
    <w:rsid w:val="008864CD"/>
    <w:rsid w:val="00892601"/>
    <w:rsid w:val="00893E10"/>
    <w:rsid w:val="008A2BA5"/>
    <w:rsid w:val="008A3190"/>
    <w:rsid w:val="008A3D8F"/>
    <w:rsid w:val="008A544B"/>
    <w:rsid w:val="008C59E2"/>
    <w:rsid w:val="008D3D51"/>
    <w:rsid w:val="008D4D60"/>
    <w:rsid w:val="008E7ACC"/>
    <w:rsid w:val="008F13F4"/>
    <w:rsid w:val="008F1F0C"/>
    <w:rsid w:val="00905B1D"/>
    <w:rsid w:val="00933D21"/>
    <w:rsid w:val="009414A6"/>
    <w:rsid w:val="00942CEA"/>
    <w:rsid w:val="0095096D"/>
    <w:rsid w:val="00954872"/>
    <w:rsid w:val="0095495A"/>
    <w:rsid w:val="00956591"/>
    <w:rsid w:val="009616BE"/>
    <w:rsid w:val="009851F7"/>
    <w:rsid w:val="00991403"/>
    <w:rsid w:val="009A1764"/>
    <w:rsid w:val="009C1C34"/>
    <w:rsid w:val="009C7816"/>
    <w:rsid w:val="009C7F21"/>
    <w:rsid w:val="009D0EAB"/>
    <w:rsid w:val="009D515A"/>
    <w:rsid w:val="009E0ED4"/>
    <w:rsid w:val="00A1765F"/>
    <w:rsid w:val="00A20FA7"/>
    <w:rsid w:val="00A21BA1"/>
    <w:rsid w:val="00A231C6"/>
    <w:rsid w:val="00A3172D"/>
    <w:rsid w:val="00A35609"/>
    <w:rsid w:val="00A43329"/>
    <w:rsid w:val="00A4773D"/>
    <w:rsid w:val="00A6209E"/>
    <w:rsid w:val="00A71DFB"/>
    <w:rsid w:val="00A91397"/>
    <w:rsid w:val="00A956A1"/>
    <w:rsid w:val="00AA3F8C"/>
    <w:rsid w:val="00AB045C"/>
    <w:rsid w:val="00AB6E3C"/>
    <w:rsid w:val="00B21F59"/>
    <w:rsid w:val="00B25861"/>
    <w:rsid w:val="00B44162"/>
    <w:rsid w:val="00B679D0"/>
    <w:rsid w:val="00B721FF"/>
    <w:rsid w:val="00B74DB7"/>
    <w:rsid w:val="00B755FC"/>
    <w:rsid w:val="00B76409"/>
    <w:rsid w:val="00B773C6"/>
    <w:rsid w:val="00B821F5"/>
    <w:rsid w:val="00B96D8B"/>
    <w:rsid w:val="00B972F9"/>
    <w:rsid w:val="00BA77BF"/>
    <w:rsid w:val="00BB3F22"/>
    <w:rsid w:val="00BB7B01"/>
    <w:rsid w:val="00BC2789"/>
    <w:rsid w:val="00BD2413"/>
    <w:rsid w:val="00BD3F01"/>
    <w:rsid w:val="00BD4BCE"/>
    <w:rsid w:val="00BD6D4E"/>
    <w:rsid w:val="00BE6CAB"/>
    <w:rsid w:val="00C06CBC"/>
    <w:rsid w:val="00C11A24"/>
    <w:rsid w:val="00C2058B"/>
    <w:rsid w:val="00C457DF"/>
    <w:rsid w:val="00C63E31"/>
    <w:rsid w:val="00C76E9D"/>
    <w:rsid w:val="00C962FD"/>
    <w:rsid w:val="00CD7AF6"/>
    <w:rsid w:val="00CF254E"/>
    <w:rsid w:val="00CF53C6"/>
    <w:rsid w:val="00D00AD7"/>
    <w:rsid w:val="00D12CB5"/>
    <w:rsid w:val="00D15267"/>
    <w:rsid w:val="00D15ABE"/>
    <w:rsid w:val="00D21CC4"/>
    <w:rsid w:val="00D23A93"/>
    <w:rsid w:val="00D23D61"/>
    <w:rsid w:val="00D31684"/>
    <w:rsid w:val="00D64139"/>
    <w:rsid w:val="00D77E65"/>
    <w:rsid w:val="00D8369F"/>
    <w:rsid w:val="00D87FAA"/>
    <w:rsid w:val="00D97AE2"/>
    <w:rsid w:val="00DB55BF"/>
    <w:rsid w:val="00DE7506"/>
    <w:rsid w:val="00DF4B3F"/>
    <w:rsid w:val="00E01935"/>
    <w:rsid w:val="00E21F94"/>
    <w:rsid w:val="00E42E2A"/>
    <w:rsid w:val="00E4433A"/>
    <w:rsid w:val="00E6092C"/>
    <w:rsid w:val="00E64ADA"/>
    <w:rsid w:val="00E95793"/>
    <w:rsid w:val="00EB0145"/>
    <w:rsid w:val="00EC462F"/>
    <w:rsid w:val="00EC757C"/>
    <w:rsid w:val="00ED5B98"/>
    <w:rsid w:val="00EE0638"/>
    <w:rsid w:val="00EE180C"/>
    <w:rsid w:val="00EE1F4B"/>
    <w:rsid w:val="00EE306F"/>
    <w:rsid w:val="00EE580F"/>
    <w:rsid w:val="00EE5D99"/>
    <w:rsid w:val="00EF3E67"/>
    <w:rsid w:val="00F261E5"/>
    <w:rsid w:val="00F27DB1"/>
    <w:rsid w:val="00F40C54"/>
    <w:rsid w:val="00F41BBE"/>
    <w:rsid w:val="00F70077"/>
    <w:rsid w:val="00F7745A"/>
    <w:rsid w:val="00FC089A"/>
    <w:rsid w:val="00FC1458"/>
    <w:rsid w:val="00FD3CE1"/>
    <w:rsid w:val="00FD458E"/>
    <w:rsid w:val="00FD47BC"/>
    <w:rsid w:val="00FD6093"/>
    <w:rsid w:val="00FE4F47"/>
    <w:rsid w:val="00FE6CD9"/>
    <w:rsid w:val="00FF3369"/>
    <w:rsid w:val="00FF7DF7"/>
    <w:rsid w:val="03887BE8"/>
    <w:rsid w:val="052B1173"/>
    <w:rsid w:val="08DC7DEF"/>
    <w:rsid w:val="09112EA1"/>
    <w:rsid w:val="0A0E5175"/>
    <w:rsid w:val="0D323E13"/>
    <w:rsid w:val="0D7F205C"/>
    <w:rsid w:val="0D905941"/>
    <w:rsid w:val="0F5476A6"/>
    <w:rsid w:val="10FE598E"/>
    <w:rsid w:val="112A7CDC"/>
    <w:rsid w:val="115B180E"/>
    <w:rsid w:val="11F9045B"/>
    <w:rsid w:val="12D76C70"/>
    <w:rsid w:val="12DC4132"/>
    <w:rsid w:val="140A3CB4"/>
    <w:rsid w:val="140D5BF4"/>
    <w:rsid w:val="140F762F"/>
    <w:rsid w:val="15FB3CC2"/>
    <w:rsid w:val="16104199"/>
    <w:rsid w:val="190304B8"/>
    <w:rsid w:val="192A56DE"/>
    <w:rsid w:val="1C1A3ED3"/>
    <w:rsid w:val="1C29358E"/>
    <w:rsid w:val="1CE22235"/>
    <w:rsid w:val="1DCD6B90"/>
    <w:rsid w:val="1FA64F87"/>
    <w:rsid w:val="21A67760"/>
    <w:rsid w:val="22AF1516"/>
    <w:rsid w:val="22DE22B8"/>
    <w:rsid w:val="23301187"/>
    <w:rsid w:val="240605F7"/>
    <w:rsid w:val="24D366FA"/>
    <w:rsid w:val="255F3B86"/>
    <w:rsid w:val="25A87CA4"/>
    <w:rsid w:val="25D46694"/>
    <w:rsid w:val="273157E4"/>
    <w:rsid w:val="27980BCC"/>
    <w:rsid w:val="27C928A1"/>
    <w:rsid w:val="27DF672A"/>
    <w:rsid w:val="27E9697A"/>
    <w:rsid w:val="28345AA5"/>
    <w:rsid w:val="28BF6223"/>
    <w:rsid w:val="28C67E45"/>
    <w:rsid w:val="29654EB9"/>
    <w:rsid w:val="2A0164EF"/>
    <w:rsid w:val="2AB078A1"/>
    <w:rsid w:val="2AC63934"/>
    <w:rsid w:val="2BBE2765"/>
    <w:rsid w:val="2CEA769C"/>
    <w:rsid w:val="2DC74EBA"/>
    <w:rsid w:val="2E786590"/>
    <w:rsid w:val="2F531F81"/>
    <w:rsid w:val="2FA95037"/>
    <w:rsid w:val="306854E5"/>
    <w:rsid w:val="30D3000B"/>
    <w:rsid w:val="327359E5"/>
    <w:rsid w:val="34AC39D5"/>
    <w:rsid w:val="34FB6CC1"/>
    <w:rsid w:val="3533661E"/>
    <w:rsid w:val="355E5E3D"/>
    <w:rsid w:val="35D161DB"/>
    <w:rsid w:val="36B424C7"/>
    <w:rsid w:val="36C35AA1"/>
    <w:rsid w:val="36E27034"/>
    <w:rsid w:val="37712AED"/>
    <w:rsid w:val="37C329C2"/>
    <w:rsid w:val="3809239F"/>
    <w:rsid w:val="38E726EC"/>
    <w:rsid w:val="393F633A"/>
    <w:rsid w:val="3ACA74EF"/>
    <w:rsid w:val="3BB7526A"/>
    <w:rsid w:val="3CDC2325"/>
    <w:rsid w:val="3D586BC1"/>
    <w:rsid w:val="3E7F160D"/>
    <w:rsid w:val="3E892D15"/>
    <w:rsid w:val="3F1E3997"/>
    <w:rsid w:val="3F2C33D1"/>
    <w:rsid w:val="3F6C6CE6"/>
    <w:rsid w:val="3F917849"/>
    <w:rsid w:val="417344F9"/>
    <w:rsid w:val="42614D21"/>
    <w:rsid w:val="43495692"/>
    <w:rsid w:val="43B104BA"/>
    <w:rsid w:val="441C308B"/>
    <w:rsid w:val="443A16D6"/>
    <w:rsid w:val="44714A10"/>
    <w:rsid w:val="45400CFC"/>
    <w:rsid w:val="46D85D5E"/>
    <w:rsid w:val="472837E6"/>
    <w:rsid w:val="47C06874"/>
    <w:rsid w:val="47EF5959"/>
    <w:rsid w:val="49D547D7"/>
    <w:rsid w:val="49E33545"/>
    <w:rsid w:val="4AD043DB"/>
    <w:rsid w:val="4BBE6D9A"/>
    <w:rsid w:val="4C0D6465"/>
    <w:rsid w:val="4C8344E8"/>
    <w:rsid w:val="4CA50490"/>
    <w:rsid w:val="4E9B6921"/>
    <w:rsid w:val="4F164530"/>
    <w:rsid w:val="4F3652B3"/>
    <w:rsid w:val="4F4246BC"/>
    <w:rsid w:val="514E559A"/>
    <w:rsid w:val="52005D6A"/>
    <w:rsid w:val="52CC5111"/>
    <w:rsid w:val="535B79BC"/>
    <w:rsid w:val="54D60B03"/>
    <w:rsid w:val="571E5A0F"/>
    <w:rsid w:val="572D5493"/>
    <w:rsid w:val="57880E59"/>
    <w:rsid w:val="57DD6F37"/>
    <w:rsid w:val="58F30C01"/>
    <w:rsid w:val="5D4477AD"/>
    <w:rsid w:val="5DCB1D21"/>
    <w:rsid w:val="61960444"/>
    <w:rsid w:val="61D937DF"/>
    <w:rsid w:val="61DC4A5F"/>
    <w:rsid w:val="62C0475F"/>
    <w:rsid w:val="62FF2873"/>
    <w:rsid w:val="6448438A"/>
    <w:rsid w:val="649A43DB"/>
    <w:rsid w:val="66F44545"/>
    <w:rsid w:val="671E2E0E"/>
    <w:rsid w:val="68157F91"/>
    <w:rsid w:val="69824B9F"/>
    <w:rsid w:val="6A136F29"/>
    <w:rsid w:val="6C3F3C55"/>
    <w:rsid w:val="6C896FD2"/>
    <w:rsid w:val="6CB512E4"/>
    <w:rsid w:val="6DAB0174"/>
    <w:rsid w:val="6DC628DB"/>
    <w:rsid w:val="6E3B79C1"/>
    <w:rsid w:val="6E5F1356"/>
    <w:rsid w:val="6EEB1815"/>
    <w:rsid w:val="6F1C418A"/>
    <w:rsid w:val="6FAA5938"/>
    <w:rsid w:val="704B761F"/>
    <w:rsid w:val="704D36AF"/>
    <w:rsid w:val="733028FA"/>
    <w:rsid w:val="734F36DD"/>
    <w:rsid w:val="73703BBD"/>
    <w:rsid w:val="73A411AE"/>
    <w:rsid w:val="73A6550C"/>
    <w:rsid w:val="74481006"/>
    <w:rsid w:val="746C127A"/>
    <w:rsid w:val="754D0C54"/>
    <w:rsid w:val="7754219F"/>
    <w:rsid w:val="783438BC"/>
    <w:rsid w:val="7A610AF3"/>
    <w:rsid w:val="7AC74F3B"/>
    <w:rsid w:val="7BF00E78"/>
    <w:rsid w:val="7CAB7343"/>
    <w:rsid w:val="7D003DDE"/>
    <w:rsid w:val="7EC85A56"/>
    <w:rsid w:val="7EFE1AFE"/>
    <w:rsid w:val="7F155309"/>
    <w:rsid w:val="7FB85EFE"/>
    <w:rsid w:val="7FD13BB2"/>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spacing w:line="360" w:lineRule="auto"/>
    </w:pPr>
    <w:rPr>
      <w:rFonts w:ascii="Times New Roman" w:hAnsi="Times New Roman" w:eastAsia="宋体" w:cs="Times New Roman"/>
      <w:sz w:val="24"/>
      <w:szCs w:val="22"/>
      <w:lang w:val="en-US" w:eastAsia="en-US" w:bidi="ar-SA"/>
    </w:rPr>
  </w:style>
  <w:style w:type="paragraph" w:styleId="6">
    <w:name w:val="heading 1"/>
    <w:basedOn w:val="1"/>
    <w:next w:val="1"/>
    <w:qFormat/>
    <w:uiPriority w:val="0"/>
    <w:pPr>
      <w:keepNext/>
      <w:keepLines/>
      <w:numPr>
        <w:ilvl w:val="0"/>
        <w:numId w:val="1"/>
      </w:numPr>
      <w:spacing w:before="100" w:beforeLines="100" w:after="100" w:afterLines="100"/>
      <w:outlineLvl w:val="0"/>
    </w:pPr>
    <w:rPr>
      <w:rFonts w:eastAsia="黑体"/>
      <w:b/>
      <w:bCs/>
      <w:kern w:val="44"/>
      <w:sz w:val="32"/>
      <w:szCs w:val="44"/>
      <w:lang w:eastAsia="zh-CN"/>
    </w:rPr>
  </w:style>
  <w:style w:type="paragraph" w:styleId="7">
    <w:name w:val="heading 2"/>
    <w:basedOn w:val="1"/>
    <w:next w:val="8"/>
    <w:qFormat/>
    <w:uiPriority w:val="0"/>
    <w:pPr>
      <w:keepNext/>
      <w:keepLines/>
      <w:numPr>
        <w:ilvl w:val="1"/>
        <w:numId w:val="1"/>
      </w:numPr>
      <w:spacing w:before="100" w:beforeAutospacing="1" w:after="100" w:afterAutospacing="1"/>
      <w:ind w:firstLine="0"/>
      <w:outlineLvl w:val="1"/>
    </w:pPr>
    <w:rPr>
      <w:rFonts w:eastAsia="黑体"/>
      <w:b/>
      <w:bCs/>
      <w:szCs w:val="32"/>
    </w:rPr>
  </w:style>
  <w:style w:type="paragraph" w:styleId="9">
    <w:name w:val="heading 3"/>
    <w:basedOn w:val="1"/>
    <w:next w:val="8"/>
    <w:qFormat/>
    <w:uiPriority w:val="0"/>
    <w:pPr>
      <w:keepNext/>
      <w:keepLines/>
      <w:numPr>
        <w:ilvl w:val="2"/>
        <w:numId w:val="1"/>
      </w:numPr>
      <w:spacing w:before="50" w:beforeLines="50"/>
      <w:ind w:firstLine="0"/>
      <w:outlineLvl w:val="2"/>
    </w:pPr>
    <w:rPr>
      <w:b/>
      <w:bCs/>
      <w:szCs w:val="32"/>
    </w:rPr>
  </w:style>
  <w:style w:type="paragraph" w:styleId="10">
    <w:name w:val="heading 4"/>
    <w:basedOn w:val="1"/>
    <w:next w:val="1"/>
    <w:qFormat/>
    <w:uiPriority w:val="9"/>
    <w:pPr>
      <w:keepNext/>
      <w:keepLines/>
      <w:numPr>
        <w:ilvl w:val="3"/>
        <w:numId w:val="1"/>
      </w:numPr>
      <w:ind w:left="0" w:firstLine="0"/>
      <w:outlineLvl w:val="3"/>
    </w:pPr>
    <w:rPr>
      <w:rFonts w:ascii="Calibri Light" w:hAnsi="Calibri Light"/>
      <w:b/>
      <w:bCs/>
      <w:szCs w:val="28"/>
    </w:rPr>
  </w:style>
  <w:style w:type="paragraph" w:styleId="11">
    <w:name w:val="heading 5"/>
    <w:basedOn w:val="1"/>
    <w:next w:val="8"/>
    <w:link w:val="37"/>
    <w:qFormat/>
    <w:uiPriority w:val="0"/>
    <w:pPr>
      <w:keepNext/>
      <w:keepLines/>
      <w:tabs>
        <w:tab w:val="left" w:pos="1008"/>
      </w:tabs>
      <w:spacing w:before="280" w:after="290" w:line="376" w:lineRule="auto"/>
      <w:ind w:left="1008" w:hanging="1008"/>
      <w:outlineLvl w:val="4"/>
    </w:pPr>
    <w:rPr>
      <w:rFonts w:ascii="宋体" w:hAnsi="宋体" w:cs="宋体"/>
      <w:b/>
      <w:sz w:val="28"/>
      <w:szCs w:val="24"/>
      <w:lang w:eastAsia="zh-CN"/>
    </w:rPr>
  </w:style>
  <w:style w:type="paragraph" w:styleId="12">
    <w:name w:val="heading 6"/>
    <w:basedOn w:val="1"/>
    <w:next w:val="8"/>
    <w:link w:val="38"/>
    <w:qFormat/>
    <w:uiPriority w:val="0"/>
    <w:pPr>
      <w:keepNext/>
      <w:keepLines/>
      <w:tabs>
        <w:tab w:val="left" w:pos="1152"/>
      </w:tabs>
      <w:spacing w:before="240" w:after="64" w:line="320" w:lineRule="auto"/>
      <w:ind w:left="1152" w:hanging="1152"/>
      <w:outlineLvl w:val="5"/>
    </w:pPr>
    <w:rPr>
      <w:rFonts w:ascii="Arial" w:hAnsi="Arial" w:eastAsia="黑体" w:cs="宋体"/>
      <w:b/>
      <w:szCs w:val="24"/>
      <w:lang w:eastAsia="zh-CN"/>
    </w:rPr>
  </w:style>
  <w:style w:type="paragraph" w:styleId="13">
    <w:name w:val="heading 7"/>
    <w:basedOn w:val="1"/>
    <w:next w:val="8"/>
    <w:link w:val="39"/>
    <w:qFormat/>
    <w:uiPriority w:val="0"/>
    <w:pPr>
      <w:keepNext/>
      <w:keepLines/>
      <w:tabs>
        <w:tab w:val="left" w:pos="1296"/>
      </w:tabs>
      <w:spacing w:before="240" w:after="64" w:line="320" w:lineRule="auto"/>
      <w:ind w:left="1296" w:hanging="1296"/>
      <w:outlineLvl w:val="6"/>
    </w:pPr>
    <w:rPr>
      <w:rFonts w:ascii="宋体" w:hAnsi="宋体" w:cs="宋体"/>
      <w:b/>
      <w:szCs w:val="24"/>
      <w:lang w:eastAsia="zh-CN"/>
    </w:rPr>
  </w:style>
  <w:style w:type="paragraph" w:styleId="14">
    <w:name w:val="heading 8"/>
    <w:basedOn w:val="1"/>
    <w:next w:val="8"/>
    <w:link w:val="40"/>
    <w:qFormat/>
    <w:uiPriority w:val="0"/>
    <w:pPr>
      <w:keepNext/>
      <w:keepLines/>
      <w:tabs>
        <w:tab w:val="left" w:pos="1440"/>
      </w:tabs>
      <w:spacing w:before="240" w:after="64" w:line="320" w:lineRule="auto"/>
      <w:ind w:left="1440" w:hanging="1440"/>
      <w:outlineLvl w:val="7"/>
    </w:pPr>
    <w:rPr>
      <w:rFonts w:ascii="Arial" w:hAnsi="Arial" w:eastAsia="黑体" w:cs="宋体"/>
      <w:szCs w:val="24"/>
      <w:lang w:eastAsia="zh-CN"/>
    </w:rPr>
  </w:style>
  <w:style w:type="paragraph" w:styleId="15">
    <w:name w:val="heading 9"/>
    <w:basedOn w:val="1"/>
    <w:next w:val="8"/>
    <w:link w:val="41"/>
    <w:qFormat/>
    <w:uiPriority w:val="0"/>
    <w:pPr>
      <w:keepNext/>
      <w:keepLines/>
      <w:tabs>
        <w:tab w:val="left" w:pos="1584"/>
      </w:tabs>
      <w:spacing w:before="240" w:after="64" w:line="320" w:lineRule="auto"/>
      <w:ind w:left="1584" w:hanging="1584"/>
      <w:outlineLvl w:val="8"/>
    </w:pPr>
    <w:rPr>
      <w:rFonts w:ascii="Arial" w:hAnsi="Arial" w:eastAsia="黑体" w:cs="宋体"/>
      <w:szCs w:val="24"/>
      <w:lang w:eastAsia="zh-CN"/>
    </w:rPr>
  </w:style>
  <w:style w:type="character" w:default="1" w:styleId="28">
    <w:name w:val="Default Paragraph Font"/>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34"/>
    <w:qFormat/>
    <w:uiPriority w:val="99"/>
    <w:pPr>
      <w:ind w:firstLine="560"/>
    </w:pPr>
  </w:style>
  <w:style w:type="paragraph" w:styleId="3">
    <w:name w:val="Body Text Indent"/>
    <w:basedOn w:val="1"/>
    <w:link w:val="35"/>
    <w:autoRedefine/>
    <w:qFormat/>
    <w:uiPriority w:val="99"/>
    <w:rPr>
      <w:rFonts w:ascii="宋体" w:hAnsi="宋体"/>
      <w:sz w:val="28"/>
    </w:rPr>
  </w:style>
  <w:style w:type="paragraph" w:styleId="4">
    <w:name w:val="Body Text First Indent"/>
    <w:basedOn w:val="5"/>
    <w:unhideWhenUsed/>
    <w:qFormat/>
    <w:uiPriority w:val="99"/>
    <w:pPr>
      <w:spacing w:line="360" w:lineRule="auto"/>
      <w:ind w:firstLine="420"/>
    </w:pPr>
    <w:rPr>
      <w:sz w:val="30"/>
    </w:rPr>
  </w:style>
  <w:style w:type="paragraph" w:styleId="5">
    <w:name w:val="Body Text"/>
    <w:basedOn w:val="1"/>
    <w:link w:val="44"/>
    <w:qFormat/>
    <w:uiPriority w:val="0"/>
    <w:pPr>
      <w:spacing w:line="324" w:lineRule="auto"/>
    </w:pPr>
    <w:rPr>
      <w:rFonts w:ascii="宋体" w:hAnsi="宋体"/>
      <w:color w:val="000000"/>
      <w:sz w:val="28"/>
      <w:szCs w:val="20"/>
    </w:rPr>
  </w:style>
  <w:style w:type="paragraph" w:styleId="8">
    <w:name w:val="Normal Indent"/>
    <w:basedOn w:val="1"/>
    <w:link w:val="36"/>
    <w:autoRedefine/>
    <w:qFormat/>
    <w:uiPriority w:val="0"/>
    <w:pPr>
      <w:ind w:firstLine="420"/>
    </w:pPr>
    <w:rPr>
      <w:sz w:val="20"/>
      <w:szCs w:val="20"/>
    </w:rPr>
  </w:style>
  <w:style w:type="paragraph" w:styleId="16">
    <w:name w:val="caption"/>
    <w:basedOn w:val="1"/>
    <w:next w:val="1"/>
    <w:autoRedefine/>
    <w:qFormat/>
    <w:uiPriority w:val="35"/>
    <w:rPr>
      <w:rFonts w:ascii="Cambria" w:hAnsi="Cambria" w:eastAsia="黑体"/>
      <w:sz w:val="20"/>
      <w:szCs w:val="20"/>
      <w:lang w:val="zh-CN" w:eastAsia="zh-CN"/>
    </w:rPr>
  </w:style>
  <w:style w:type="paragraph" w:styleId="17">
    <w:name w:val="annotation text"/>
    <w:basedOn w:val="1"/>
    <w:link w:val="42"/>
    <w:autoRedefine/>
    <w:unhideWhenUsed/>
    <w:qFormat/>
    <w:uiPriority w:val="99"/>
  </w:style>
  <w:style w:type="paragraph" w:styleId="18">
    <w:name w:val="toc 3"/>
    <w:basedOn w:val="1"/>
    <w:next w:val="1"/>
    <w:qFormat/>
    <w:uiPriority w:val="39"/>
    <w:pPr>
      <w:ind w:left="840" w:leftChars="400"/>
    </w:pPr>
  </w:style>
  <w:style w:type="paragraph" w:styleId="19">
    <w:name w:val="Balloon Text"/>
    <w:basedOn w:val="1"/>
    <w:link w:val="45"/>
    <w:qFormat/>
    <w:uiPriority w:val="0"/>
    <w:pPr>
      <w:spacing w:line="240" w:lineRule="auto"/>
    </w:pPr>
    <w:rPr>
      <w:sz w:val="18"/>
      <w:szCs w:val="18"/>
    </w:rPr>
  </w:style>
  <w:style w:type="paragraph" w:styleId="20">
    <w:name w:val="footer"/>
    <w:basedOn w:val="1"/>
    <w:link w:val="46"/>
    <w:qFormat/>
    <w:uiPriority w:val="99"/>
    <w:pPr>
      <w:pBdr>
        <w:top w:val="single" w:color="auto" w:sz="4" w:space="1"/>
      </w:pBdr>
      <w:tabs>
        <w:tab w:val="center" w:pos="4153"/>
        <w:tab w:val="right" w:pos="8306"/>
      </w:tabs>
      <w:snapToGrid w:val="0"/>
      <w:spacing w:line="240" w:lineRule="auto"/>
    </w:pPr>
    <w:rPr>
      <w:kern w:val="2"/>
      <w:sz w:val="18"/>
      <w:szCs w:val="20"/>
      <w:lang w:val="zh-CN" w:eastAsia="zh-CN"/>
    </w:rPr>
  </w:style>
  <w:style w:type="paragraph" w:styleId="21">
    <w:name w:val="header"/>
    <w:basedOn w:val="1"/>
    <w:link w:val="4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toc 1"/>
    <w:basedOn w:val="1"/>
    <w:next w:val="1"/>
    <w:qFormat/>
    <w:uiPriority w:val="39"/>
  </w:style>
  <w:style w:type="paragraph" w:styleId="23">
    <w:name w:val="toc 2"/>
    <w:basedOn w:val="1"/>
    <w:next w:val="1"/>
    <w:qFormat/>
    <w:uiPriority w:val="39"/>
    <w:pPr>
      <w:ind w:left="420" w:leftChars="200"/>
    </w:pPr>
  </w:style>
  <w:style w:type="paragraph" w:styleId="24">
    <w:name w:val="Normal (Web)"/>
    <w:basedOn w:val="1"/>
    <w:autoRedefine/>
    <w:qFormat/>
    <w:uiPriority w:val="0"/>
    <w:pPr>
      <w:spacing w:before="100" w:beforeAutospacing="1" w:after="100" w:afterAutospacing="1"/>
    </w:pPr>
    <w:rPr>
      <w:lang w:eastAsia="zh-CN"/>
    </w:rPr>
  </w:style>
  <w:style w:type="paragraph" w:styleId="25">
    <w:name w:val="annotation subject"/>
    <w:basedOn w:val="17"/>
    <w:next w:val="17"/>
    <w:link w:val="43"/>
    <w:autoRedefine/>
    <w:qFormat/>
    <w:uiPriority w:val="0"/>
    <w:rPr>
      <w:b/>
      <w:bCs/>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Emphasis"/>
    <w:autoRedefine/>
    <w:qFormat/>
    <w:uiPriority w:val="0"/>
    <w:rPr>
      <w:color w:val="CC0000"/>
    </w:rPr>
  </w:style>
  <w:style w:type="character" w:styleId="31">
    <w:name w:val="Hyperlink"/>
    <w:autoRedefine/>
    <w:qFormat/>
    <w:uiPriority w:val="99"/>
    <w:rPr>
      <w:color w:val="0000FF"/>
      <w:u w:val="single"/>
    </w:rPr>
  </w:style>
  <w:style w:type="character" w:styleId="32">
    <w:name w:val="annotation reference"/>
    <w:autoRedefine/>
    <w:qFormat/>
    <w:uiPriority w:val="0"/>
    <w:rPr>
      <w:sz w:val="21"/>
      <w:szCs w:val="21"/>
    </w:rPr>
  </w:style>
  <w:style w:type="character" w:styleId="33">
    <w:name w:val="HTML Cite"/>
    <w:autoRedefine/>
    <w:qFormat/>
    <w:uiPriority w:val="0"/>
    <w:rPr>
      <w:color w:val="008000"/>
    </w:rPr>
  </w:style>
  <w:style w:type="character" w:customStyle="1" w:styleId="34">
    <w:name w:val="正文首行缩进 2 Char"/>
    <w:basedOn w:val="35"/>
    <w:link w:val="2"/>
    <w:qFormat/>
    <w:uiPriority w:val="99"/>
    <w:rPr>
      <w:rFonts w:ascii="宋体" w:hAnsi="宋体"/>
      <w:sz w:val="24"/>
      <w:szCs w:val="22"/>
      <w:lang w:eastAsia="en-US"/>
    </w:rPr>
  </w:style>
  <w:style w:type="character" w:customStyle="1" w:styleId="35">
    <w:name w:val="正文文本缩进 Char"/>
    <w:basedOn w:val="28"/>
    <w:link w:val="3"/>
    <w:autoRedefine/>
    <w:qFormat/>
    <w:uiPriority w:val="99"/>
    <w:rPr>
      <w:rFonts w:ascii="宋体" w:hAnsi="宋体"/>
      <w:sz w:val="28"/>
      <w:szCs w:val="22"/>
      <w:lang w:eastAsia="en-US"/>
    </w:rPr>
  </w:style>
  <w:style w:type="character" w:customStyle="1" w:styleId="36">
    <w:name w:val="正文缩进 Char2"/>
    <w:link w:val="8"/>
    <w:autoRedefine/>
    <w:qFormat/>
    <w:uiPriority w:val="0"/>
    <w:rPr>
      <w:lang w:eastAsia="en-US"/>
    </w:rPr>
  </w:style>
  <w:style w:type="character" w:customStyle="1" w:styleId="37">
    <w:name w:val="标题 5 Char"/>
    <w:basedOn w:val="28"/>
    <w:link w:val="11"/>
    <w:qFormat/>
    <w:uiPriority w:val="0"/>
    <w:rPr>
      <w:rFonts w:ascii="宋体" w:hAnsi="宋体" w:cs="宋体"/>
      <w:b/>
      <w:sz w:val="28"/>
      <w:szCs w:val="24"/>
    </w:rPr>
  </w:style>
  <w:style w:type="character" w:customStyle="1" w:styleId="38">
    <w:name w:val="标题 6 Char"/>
    <w:basedOn w:val="28"/>
    <w:link w:val="12"/>
    <w:autoRedefine/>
    <w:qFormat/>
    <w:uiPriority w:val="0"/>
    <w:rPr>
      <w:rFonts w:ascii="Arial" w:hAnsi="Arial" w:eastAsia="黑体" w:cs="宋体"/>
      <w:b/>
      <w:sz w:val="24"/>
      <w:szCs w:val="24"/>
    </w:rPr>
  </w:style>
  <w:style w:type="character" w:customStyle="1" w:styleId="39">
    <w:name w:val="标题 7 Char"/>
    <w:basedOn w:val="28"/>
    <w:link w:val="13"/>
    <w:autoRedefine/>
    <w:qFormat/>
    <w:uiPriority w:val="0"/>
    <w:rPr>
      <w:rFonts w:ascii="宋体" w:hAnsi="宋体" w:cs="宋体"/>
      <w:b/>
      <w:sz w:val="24"/>
      <w:szCs w:val="24"/>
    </w:rPr>
  </w:style>
  <w:style w:type="character" w:customStyle="1" w:styleId="40">
    <w:name w:val="标题 8 Char"/>
    <w:basedOn w:val="28"/>
    <w:link w:val="14"/>
    <w:autoRedefine/>
    <w:qFormat/>
    <w:uiPriority w:val="0"/>
    <w:rPr>
      <w:rFonts w:ascii="Arial" w:hAnsi="Arial" w:eastAsia="黑体" w:cs="宋体"/>
      <w:sz w:val="24"/>
      <w:szCs w:val="24"/>
    </w:rPr>
  </w:style>
  <w:style w:type="character" w:customStyle="1" w:styleId="41">
    <w:name w:val="标题 9 Char"/>
    <w:basedOn w:val="28"/>
    <w:link w:val="15"/>
    <w:autoRedefine/>
    <w:qFormat/>
    <w:uiPriority w:val="0"/>
    <w:rPr>
      <w:rFonts w:ascii="Arial" w:hAnsi="Arial" w:eastAsia="黑体" w:cs="宋体"/>
      <w:sz w:val="24"/>
      <w:szCs w:val="24"/>
    </w:rPr>
  </w:style>
  <w:style w:type="character" w:customStyle="1" w:styleId="42">
    <w:name w:val="批注文字 Char"/>
    <w:link w:val="17"/>
    <w:autoRedefine/>
    <w:qFormat/>
    <w:uiPriority w:val="99"/>
    <w:rPr>
      <w:rFonts w:ascii="Calibri" w:hAnsi="Calibri"/>
      <w:sz w:val="28"/>
      <w:szCs w:val="22"/>
      <w:lang w:eastAsia="en-US"/>
    </w:rPr>
  </w:style>
  <w:style w:type="character" w:customStyle="1" w:styleId="43">
    <w:name w:val="批注主题 Char"/>
    <w:link w:val="25"/>
    <w:autoRedefine/>
    <w:qFormat/>
    <w:uiPriority w:val="0"/>
    <w:rPr>
      <w:rFonts w:ascii="Calibri" w:hAnsi="Calibri"/>
      <w:b/>
      <w:bCs/>
      <w:sz w:val="28"/>
      <w:szCs w:val="22"/>
      <w:lang w:eastAsia="en-US"/>
    </w:rPr>
  </w:style>
  <w:style w:type="character" w:customStyle="1" w:styleId="44">
    <w:name w:val="正文文本 Char"/>
    <w:link w:val="5"/>
    <w:autoRedefine/>
    <w:qFormat/>
    <w:uiPriority w:val="0"/>
    <w:rPr>
      <w:rFonts w:ascii="宋体" w:hAnsi="宋体"/>
      <w:color w:val="000000"/>
      <w:sz w:val="28"/>
      <w:szCs w:val="20"/>
    </w:rPr>
  </w:style>
  <w:style w:type="character" w:customStyle="1" w:styleId="45">
    <w:name w:val="批注框文本 Char"/>
    <w:link w:val="19"/>
    <w:qFormat/>
    <w:uiPriority w:val="0"/>
    <w:rPr>
      <w:rFonts w:ascii="Calibri" w:hAnsi="Calibri"/>
      <w:sz w:val="18"/>
      <w:szCs w:val="18"/>
      <w:lang w:eastAsia="en-US"/>
    </w:rPr>
  </w:style>
  <w:style w:type="character" w:customStyle="1" w:styleId="46">
    <w:name w:val="页脚 Char"/>
    <w:link w:val="20"/>
    <w:autoRedefine/>
    <w:qFormat/>
    <w:uiPriority w:val="99"/>
    <w:rPr>
      <w:kern w:val="2"/>
      <w:sz w:val="18"/>
      <w:lang w:val="zh-CN"/>
    </w:rPr>
  </w:style>
  <w:style w:type="character" w:customStyle="1" w:styleId="47">
    <w:name w:val="页眉 Char"/>
    <w:basedOn w:val="28"/>
    <w:link w:val="21"/>
    <w:autoRedefine/>
    <w:qFormat/>
    <w:uiPriority w:val="99"/>
    <w:rPr>
      <w:sz w:val="18"/>
      <w:szCs w:val="22"/>
      <w:lang w:eastAsia="en-US"/>
    </w:rPr>
  </w:style>
  <w:style w:type="paragraph" w:customStyle="1" w:styleId="48">
    <w:name w:val="表"/>
    <w:basedOn w:val="1"/>
    <w:qFormat/>
    <w:uiPriority w:val="0"/>
    <w:pPr>
      <w:spacing w:before="50" w:beforeLines="50"/>
      <w:jc w:val="center"/>
    </w:pPr>
    <w:rPr>
      <w:rFonts w:eastAsia="黑体"/>
      <w:kern w:val="2"/>
      <w:sz w:val="21"/>
      <w:szCs w:val="21"/>
      <w:lang w:eastAsia="zh-CN"/>
    </w:rPr>
  </w:style>
  <w:style w:type="paragraph" w:customStyle="1" w:styleId="49">
    <w:name w:val="WPSOffice手动目录 1"/>
    <w:autoRedefine/>
    <w:qFormat/>
    <w:uiPriority w:val="0"/>
    <w:pPr>
      <w:spacing w:line="360" w:lineRule="auto"/>
    </w:pPr>
    <w:rPr>
      <w:rFonts w:ascii="Calibri" w:hAnsi="Calibri" w:eastAsia="宋体" w:cs="Times New Roman"/>
      <w:lang w:val="en-US" w:eastAsia="zh-CN" w:bidi="ar-SA"/>
    </w:rPr>
  </w:style>
  <w:style w:type="paragraph" w:customStyle="1" w:styleId="50">
    <w:name w:val="WPSOffice手动目录 2"/>
    <w:autoRedefine/>
    <w:qFormat/>
    <w:uiPriority w:val="0"/>
    <w:pPr>
      <w:spacing w:line="360" w:lineRule="auto"/>
      <w:ind w:left="200" w:leftChars="200"/>
    </w:pPr>
    <w:rPr>
      <w:rFonts w:ascii="Calibri" w:hAnsi="Calibri" w:eastAsia="宋体" w:cs="Times New Roman"/>
      <w:lang w:val="en-US" w:eastAsia="zh-CN" w:bidi="ar-SA"/>
    </w:rPr>
  </w:style>
  <w:style w:type="paragraph" w:customStyle="1" w:styleId="51">
    <w:name w:val="图"/>
    <w:autoRedefine/>
    <w:qFormat/>
    <w:uiPriority w:val="0"/>
    <w:pPr>
      <w:widowControl w:val="0"/>
      <w:spacing w:line="360" w:lineRule="auto"/>
      <w:jc w:val="center"/>
    </w:pPr>
    <w:rPr>
      <w:rFonts w:ascii="Calibri" w:hAnsi="Calibri" w:eastAsia="黑体" w:cs="Times New Roman"/>
      <w:bCs/>
      <w:sz w:val="21"/>
      <w:lang w:val="en-US" w:eastAsia="zh-CN" w:bidi="ar-SA"/>
    </w:rPr>
  </w:style>
  <w:style w:type="paragraph" w:customStyle="1" w:styleId="52">
    <w:name w:val="WPSOffice手动目录 3"/>
    <w:qFormat/>
    <w:uiPriority w:val="0"/>
    <w:pPr>
      <w:spacing w:line="360" w:lineRule="auto"/>
      <w:ind w:left="400" w:leftChars="400"/>
    </w:pPr>
    <w:rPr>
      <w:rFonts w:ascii="Calibri" w:hAnsi="Calibri" w:eastAsia="宋体" w:cs="Times New Roman"/>
      <w:lang w:val="en-US" w:eastAsia="zh-CN" w:bidi="ar-SA"/>
    </w:rPr>
  </w:style>
  <w:style w:type="character" w:customStyle="1" w:styleId="53">
    <w:name w:val="font21"/>
    <w:autoRedefine/>
    <w:qFormat/>
    <w:uiPriority w:val="0"/>
    <w:rPr>
      <w:rFonts w:hint="eastAsia" w:ascii="宋体" w:hAnsi="宋体" w:eastAsia="宋体" w:cs="宋体"/>
      <w:color w:val="000000"/>
      <w:sz w:val="21"/>
      <w:szCs w:val="21"/>
      <w:u w:val="none"/>
    </w:rPr>
  </w:style>
  <w:style w:type="character" w:customStyle="1" w:styleId="54">
    <w:name w:val="font01"/>
    <w:qFormat/>
    <w:uiPriority w:val="0"/>
    <w:rPr>
      <w:rFonts w:hint="eastAsia" w:ascii="宋体" w:hAnsi="宋体" w:eastAsia="宋体" w:cs="宋体"/>
      <w:color w:val="000000"/>
      <w:sz w:val="21"/>
      <w:szCs w:val="21"/>
      <w:u w:val="none"/>
    </w:rPr>
  </w:style>
  <w:style w:type="character" w:customStyle="1" w:styleId="55">
    <w:name w:val="c-icon"/>
    <w:basedOn w:val="28"/>
    <w:qFormat/>
    <w:uiPriority w:val="0"/>
  </w:style>
  <w:style w:type="character" w:customStyle="1" w:styleId="56">
    <w:name w:val="font11"/>
    <w:autoRedefine/>
    <w:qFormat/>
    <w:uiPriority w:val="0"/>
    <w:rPr>
      <w:rFonts w:hint="default" w:ascii="Times New Roman" w:hAnsi="Times New Roman" w:cs="Times New Roman"/>
      <w:color w:val="000000"/>
      <w:sz w:val="21"/>
      <w:szCs w:val="21"/>
      <w:u w:val="none"/>
    </w:rPr>
  </w:style>
  <w:style w:type="character" w:customStyle="1" w:styleId="57">
    <w:name w:val="font31"/>
    <w:basedOn w:val="28"/>
    <w:autoRedefine/>
    <w:qFormat/>
    <w:uiPriority w:val="0"/>
    <w:rPr>
      <w:rFonts w:hint="default" w:ascii="Times New Roman" w:hAnsi="Times New Roman" w:cs="Times New Roman"/>
      <w:color w:val="000000"/>
      <w:sz w:val="21"/>
      <w:szCs w:val="21"/>
      <w:u w:val="none"/>
    </w:rPr>
  </w:style>
  <w:style w:type="paragraph" w:customStyle="1" w:styleId="58">
    <w:name w:val="Char Char Char Char Char Char Char Char Char1"/>
    <w:basedOn w:val="1"/>
    <w:qFormat/>
    <w:uiPriority w:val="0"/>
    <w:pPr>
      <w:spacing w:after="160" w:line="240" w:lineRule="exact"/>
    </w:pPr>
    <w:rPr>
      <w:rFonts w:ascii="Verdana" w:hAnsi="Verdana" w:eastAsia="仿宋_GB2312"/>
      <w:szCs w:val="20"/>
    </w:rPr>
  </w:style>
  <w:style w:type="paragraph" w:customStyle="1" w:styleId="59">
    <w:name w:val="1V正文"/>
    <w:basedOn w:val="1"/>
    <w:qFormat/>
    <w:uiPriority w:val="0"/>
    <w:pPr>
      <w:snapToGrid w:val="0"/>
      <w:ind w:firstLine="420"/>
    </w:pPr>
  </w:style>
  <w:style w:type="paragraph" w:customStyle="1" w:styleId="60">
    <w:name w:val="表格文字"/>
    <w:autoRedefine/>
    <w:qFormat/>
    <w:uiPriority w:val="0"/>
    <w:pPr>
      <w:widowControl w:val="0"/>
      <w:spacing w:line="360" w:lineRule="auto"/>
      <w:jc w:val="center"/>
    </w:pPr>
    <w:rPr>
      <w:rFonts w:ascii="Times New Roman" w:hAnsi="Times New Roman" w:eastAsia="宋体" w:cs="Times New Roman"/>
      <w:sz w:val="21"/>
      <w:lang w:val="en-US" w:eastAsia="zh-CN" w:bidi="ar-SA"/>
    </w:rPr>
  </w:style>
  <w:style w:type="character" w:customStyle="1" w:styleId="61">
    <w:name w:val="font51"/>
    <w:basedOn w:val="28"/>
    <w:autoRedefine/>
    <w:qFormat/>
    <w:uiPriority w:val="0"/>
    <w:rPr>
      <w:rFonts w:hint="default" w:ascii="Times New Roman" w:hAnsi="Times New Roman" w:cs="Times New Roman"/>
      <w:b/>
      <w:color w:val="000000"/>
      <w:sz w:val="20"/>
      <w:szCs w:val="20"/>
      <w:u w:val="none"/>
    </w:rPr>
  </w:style>
  <w:style w:type="character" w:customStyle="1" w:styleId="62">
    <w:name w:val="font81"/>
    <w:basedOn w:val="28"/>
    <w:autoRedefine/>
    <w:qFormat/>
    <w:uiPriority w:val="0"/>
    <w:rPr>
      <w:rFonts w:hint="default" w:ascii="Times New Roman" w:hAnsi="Times New Roman" w:cs="Times New Roman"/>
      <w:b/>
      <w:color w:val="000000"/>
      <w:sz w:val="20"/>
      <w:szCs w:val="20"/>
      <w:u w:val="none"/>
      <w:vertAlign w:val="superscript"/>
    </w:rPr>
  </w:style>
  <w:style w:type="character" w:customStyle="1" w:styleId="63">
    <w:name w:val="font41"/>
    <w:basedOn w:val="28"/>
    <w:qFormat/>
    <w:uiPriority w:val="0"/>
    <w:rPr>
      <w:rFonts w:hint="default" w:ascii="Times New Roman" w:hAnsi="Times New Roman" w:cs="Times New Roman"/>
      <w:b/>
      <w:color w:val="000000"/>
      <w:sz w:val="20"/>
      <w:szCs w:val="20"/>
      <w:u w:val="none"/>
    </w:rPr>
  </w:style>
  <w:style w:type="paragraph" w:customStyle="1" w:styleId="64">
    <w:name w:val="正文_方"/>
    <w:basedOn w:val="1"/>
    <w:autoRedefine/>
    <w:qFormat/>
    <w:uiPriority w:val="0"/>
    <w:pPr>
      <w:spacing w:line="500" w:lineRule="exact"/>
      <w:jc w:val="both"/>
    </w:pPr>
    <w:rPr>
      <w:rFonts w:cs="宋体"/>
      <w:sz w:val="28"/>
      <w:szCs w:val="20"/>
      <w:lang w:eastAsia="zh-CN"/>
    </w:rPr>
  </w:style>
  <w:style w:type="paragraph" w:customStyle="1" w:styleId="65">
    <w:name w:val="样式 表格 + 居中 段前: 15.6 磅 行距: 单倍行距"/>
    <w:basedOn w:val="1"/>
    <w:qFormat/>
    <w:uiPriority w:val="0"/>
    <w:pPr>
      <w:spacing w:line="240" w:lineRule="auto"/>
      <w:jc w:val="center"/>
    </w:pPr>
    <w:rPr>
      <w:kern w:val="2"/>
      <w:sz w:val="21"/>
      <w:szCs w:val="20"/>
      <w:lang w:eastAsia="zh-CN"/>
    </w:rPr>
  </w:style>
  <w:style w:type="paragraph" w:styleId="66">
    <w:name w:val="List Paragraph"/>
    <w:basedOn w:val="1"/>
    <w:autoRedefine/>
    <w:unhideWhenUsed/>
    <w:qFormat/>
    <w:uiPriority w:val="99"/>
    <w:pPr>
      <w:ind w:firstLine="420"/>
    </w:pPr>
  </w:style>
  <w:style w:type="paragraph" w:customStyle="1" w:styleId="67">
    <w:name w:val="TOC Heading"/>
    <w:basedOn w:val="6"/>
    <w:next w:val="1"/>
    <w:autoRedefine/>
    <w:semiHidden/>
    <w:unhideWhenUsed/>
    <w:qFormat/>
    <w:uiPriority w:val="39"/>
    <w:pPr>
      <w:numPr>
        <w:numId w:val="0"/>
      </w:numPr>
      <w:spacing w:before="480" w:beforeLines="0" w:after="0" w:afterLines="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68">
    <w:name w:val=" Char Char Char Char Char Char1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69">
    <w:name w:val="font61"/>
    <w:basedOn w:val="28"/>
    <w:qFormat/>
    <w:uiPriority w:val="0"/>
    <w:rPr>
      <w:rFonts w:hint="eastAsia" w:ascii="宋体" w:hAnsi="宋体" w:eastAsia="宋体" w:cs="宋体"/>
      <w:b/>
      <w:bCs/>
      <w:color w:val="000000"/>
      <w:sz w:val="20"/>
      <w:szCs w:val="20"/>
      <w:u w:val="none"/>
    </w:rPr>
  </w:style>
  <w:style w:type="character" w:customStyle="1" w:styleId="70">
    <w:name w:val="font71"/>
    <w:basedOn w:val="28"/>
    <w:qFormat/>
    <w:uiPriority w:val="0"/>
    <w:rPr>
      <w:rFonts w:hint="default" w:ascii="Times New Roman" w:hAnsi="Times New Roman" w:cs="Times New Roman"/>
      <w:b/>
      <w:bCs/>
      <w:color w:val="000000"/>
      <w:sz w:val="20"/>
      <w:szCs w:val="20"/>
      <w:u w:val="none"/>
      <w:vertAlign w:val="superscript"/>
    </w:rPr>
  </w:style>
  <w:style w:type="character" w:customStyle="1" w:styleId="71">
    <w:name w:val="font91"/>
    <w:basedOn w:val="2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1.png"/><Relationship Id="rId42" Type="http://schemas.openxmlformats.org/officeDocument/2006/relationships/image" Target="media/image20.jpeg"/><Relationship Id="rId41" Type="http://schemas.openxmlformats.org/officeDocument/2006/relationships/image" Target="media/image19.wmf"/><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image" Target="media/image16.wmf"/><Relationship Id="rId37" Type="http://schemas.openxmlformats.org/officeDocument/2006/relationships/chart" Target="charts/chart7.xml"/><Relationship Id="rId36" Type="http://schemas.openxmlformats.org/officeDocument/2006/relationships/chart" Target="charts/chart6.xml"/><Relationship Id="rId35" Type="http://schemas.openxmlformats.org/officeDocument/2006/relationships/chart" Target="charts/chart5.xml"/><Relationship Id="rId34" Type="http://schemas.openxmlformats.org/officeDocument/2006/relationships/chart" Target="charts/chart4.xml"/><Relationship Id="rId33" Type="http://schemas.openxmlformats.org/officeDocument/2006/relationships/chart" Target="charts/chart3.xml"/><Relationship Id="rId32" Type="http://schemas.openxmlformats.org/officeDocument/2006/relationships/chart" Target="charts/chart2.xml"/><Relationship Id="rId31" Type="http://schemas.openxmlformats.org/officeDocument/2006/relationships/chart" Target="charts/chart1.xml"/><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wmf"/><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1.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20107;&#19994;\2024&#24180;&#24037;&#20316;\2024&#24180;&#39033;&#30446;\&#38647;&#24030;&#24066;&#27700;&#22303;&#20445;&#25345;&#35268;&#21010;\&#25104;&#26524;2024&#24180;\&#38647;&#24030;&#24066;&#27700;&#22303;&#20445;&#25345;&#35268;&#21010;&#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69736842105263"/>
          <c:y val="0.176388888888889"/>
          <c:w val="0.942105263157895"/>
          <c:h val="0.772685185185185"/>
        </c:manualLayout>
      </c:layout>
      <c:pie3DChart>
        <c:varyColors val="1"/>
        <c:ser>
          <c:idx val="0"/>
          <c:order val="0"/>
          <c:spPr>
            <a:scene3d>
              <a:camera prst="orthographicFront"/>
              <a:lightRig rig="threePt" dir="t"/>
            </a:scene3d>
            <a:sp3d contourW="9525"/>
          </c:spPr>
          <c:explosion val="0"/>
          <c:dPt>
            <c:idx val="0"/>
            <c:bubble3D val="0"/>
            <c:spPr>
              <a:gradFill>
                <a:gsLst>
                  <a:gs pos="0">
                    <a:srgbClr val="B9CDE5">
                      <a:lumMod val="40000"/>
                      <a:lumOff val="60000"/>
                    </a:srgbClr>
                  </a:gs>
                  <a:gs pos="90000">
                    <a:srgbClr val="4F81BD"/>
                  </a:gs>
                </a:gsLst>
                <a:lin ang="5400000" scaled="0"/>
              </a:gradFill>
              <a:ln>
                <a:gradFill>
                  <a:gsLst>
                    <a:gs pos="0">
                      <a:srgbClr val="4F81BD"/>
                    </a:gs>
                    <a:gs pos="100000">
                      <a:srgbClr val="376092">
                        <a:lumMod val="75000"/>
                      </a:srgbClr>
                    </a:gs>
                  </a:gsLst>
                  <a:lin ang="5400000" scaled="1"/>
                </a:gradFill>
              </a:ln>
              <a:effectLst>
                <a:outerShdw blurRad="76200" dist="25400" dir="2700000" algn="tl" rotWithShape="0">
                  <a:srgbClr val="000000">
                    <a:lumMod val="50000"/>
                    <a:alpha val="30000"/>
                  </a:srgbClr>
                </a:outerShdw>
              </a:effectLst>
              <a:scene3d>
                <a:camera prst="orthographicFront"/>
                <a:lightRig rig="threePt" dir="t"/>
              </a:scene3d>
              <a:sp3d contourW="9525"/>
            </c:spPr>
          </c:dPt>
          <c:dPt>
            <c:idx val="1"/>
            <c:bubble3D val="0"/>
            <c:spPr>
              <a:gradFill>
                <a:gsLst>
                  <a:gs pos="0">
                    <a:srgbClr val="E6B9B8">
                      <a:lumMod val="40000"/>
                      <a:lumOff val="60000"/>
                    </a:srgbClr>
                  </a:gs>
                  <a:gs pos="90000">
                    <a:srgbClr val="C0504D"/>
                  </a:gs>
                </a:gsLst>
                <a:lin ang="5400000" scaled="0"/>
              </a:gradFill>
              <a:ln>
                <a:gradFill>
                  <a:gsLst>
                    <a:gs pos="0">
                      <a:srgbClr val="C0504D"/>
                    </a:gs>
                    <a:gs pos="100000">
                      <a:srgbClr val="953735">
                        <a:lumMod val="75000"/>
                      </a:srgbClr>
                    </a:gs>
                  </a:gsLst>
                  <a:lin ang="5400000" scaled="1"/>
                </a:gradFill>
              </a:ln>
              <a:effectLst>
                <a:outerShdw blurRad="76200" dist="25400" dir="2700000" algn="tl" rotWithShape="0">
                  <a:srgbClr val="000000">
                    <a:lumMod val="50000"/>
                    <a:alpha val="30000"/>
                  </a:srgbClr>
                </a:outerShdw>
              </a:effectLst>
              <a:scene3d>
                <a:camera prst="orthographicFront"/>
                <a:lightRig rig="threePt" dir="t"/>
              </a:scene3d>
              <a:sp3d contourW="9525"/>
            </c:spPr>
          </c:dPt>
          <c:dPt>
            <c:idx val="2"/>
            <c:bubble3D val="0"/>
            <c:spPr>
              <a:gradFill>
                <a:gsLst>
                  <a:gs pos="0">
                    <a:srgbClr val="D7E4BD">
                      <a:lumMod val="40000"/>
                      <a:lumOff val="60000"/>
                    </a:srgbClr>
                  </a:gs>
                  <a:gs pos="90000">
                    <a:srgbClr val="9BBB59"/>
                  </a:gs>
                </a:gsLst>
                <a:lin ang="5400000" scaled="0"/>
              </a:gradFill>
              <a:ln>
                <a:gradFill>
                  <a:gsLst>
                    <a:gs pos="0">
                      <a:srgbClr val="9BBB59"/>
                    </a:gs>
                    <a:gs pos="100000">
                      <a:srgbClr val="77933C">
                        <a:lumMod val="75000"/>
                      </a:srgbClr>
                    </a:gs>
                  </a:gsLst>
                  <a:lin ang="5400000" scaled="1"/>
                </a:gradFill>
              </a:ln>
              <a:effectLst>
                <a:outerShdw blurRad="76200" dist="25400" dir="2700000" algn="tl" rotWithShape="0">
                  <a:srgbClr val="000000">
                    <a:lumMod val="50000"/>
                    <a:alpha val="30000"/>
                  </a:srgbClr>
                </a:outerShdw>
              </a:effectLst>
              <a:scene3d>
                <a:camera prst="orthographicFront"/>
                <a:lightRig rig="threePt" dir="t"/>
              </a:scene3d>
              <a:sp3d contourW="9525"/>
            </c:spPr>
          </c:dPt>
          <c:dPt>
            <c:idx val="3"/>
            <c:bubble3D val="0"/>
            <c:spPr>
              <a:gradFill>
                <a:gsLst>
                  <a:gs pos="0">
                    <a:srgbClr val="CCC1DA">
                      <a:lumMod val="40000"/>
                      <a:lumOff val="60000"/>
                    </a:srgbClr>
                  </a:gs>
                  <a:gs pos="90000">
                    <a:srgbClr val="8064A2"/>
                  </a:gs>
                </a:gsLst>
                <a:lin ang="5400000" scaled="0"/>
              </a:gradFill>
              <a:ln>
                <a:gradFill>
                  <a:gsLst>
                    <a:gs pos="0">
                      <a:srgbClr val="8064A2"/>
                    </a:gs>
                    <a:gs pos="100000">
                      <a:srgbClr val="604A7B">
                        <a:lumMod val="75000"/>
                      </a:srgbClr>
                    </a:gs>
                  </a:gsLst>
                  <a:lin ang="5400000" scaled="1"/>
                </a:gradFill>
              </a:ln>
              <a:effectLst>
                <a:outerShdw blurRad="76200" dist="25400" dir="2700000" algn="tl" rotWithShape="0">
                  <a:srgbClr val="000000">
                    <a:lumMod val="50000"/>
                    <a:alpha val="30000"/>
                  </a:srgbClr>
                </a:outerShdw>
              </a:effectLst>
              <a:scene3d>
                <a:camera prst="orthographicFront"/>
                <a:lightRig rig="threePt" dir="t"/>
              </a:scene3d>
              <a:sp3d contourW="9525"/>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rgbClr val="404040">
                            <a:lumMod val="75000"/>
                            <a:lumOff val="25000"/>
                          </a:srgbClr>
                        </a:solidFill>
                        <a:latin typeface="+mn-lt"/>
                        <a:ea typeface="+mn-ea"/>
                        <a:cs typeface="+mn-cs"/>
                      </a:defRPr>
                    </a:pPr>
                    <a:r>
                      <a:rPr b="1"/>
                      <a:t>轻度</a:t>
                    </a:r>
                    <a:endParaRPr b="1"/>
                  </a:p>
                  <a:p>
                    <a:pPr defTabSz="914400">
                      <a:defRPr lang="zh-CN" sz="1000" b="1" i="0" u="none" strike="noStrike" kern="1200" baseline="0">
                        <a:solidFill>
                          <a:srgbClr val="404040">
                            <a:lumMod val="75000"/>
                            <a:lumOff val="25000"/>
                          </a:srgbClr>
                        </a:solidFill>
                        <a:latin typeface="+mn-lt"/>
                        <a:ea typeface="+mn-ea"/>
                        <a:cs typeface="+mn-cs"/>
                      </a:defRPr>
                    </a:pPr>
                    <a:r>
                      <a:rPr lang="en-US" altLang="zh-CN" b="1"/>
                      <a:t>91.29  </a:t>
                    </a:r>
                    <a:r>
                      <a:rPr b="1"/>
                      <a:t>9</a:t>
                    </a:r>
                    <a:r>
                      <a:rPr lang="en-US" altLang="zh-CN" b="1"/>
                      <a:t>4.98</a:t>
                    </a:r>
                    <a:r>
                      <a:rPr b="1"/>
                      <a:t>%</a:t>
                    </a:r>
                    <a:endParaRPr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rgbClr val="404040">
                            <a:lumMod val="75000"/>
                            <a:lumOff val="25000"/>
                          </a:srgbClr>
                        </a:solidFill>
                        <a:latin typeface="+mn-lt"/>
                        <a:ea typeface="+mn-ea"/>
                        <a:cs typeface="+mn-cs"/>
                      </a:defRPr>
                    </a:pPr>
                    <a:r>
                      <a:rPr b="1"/>
                      <a:t>中度</a:t>
                    </a:r>
                    <a:endParaRPr b="1"/>
                  </a:p>
                  <a:p>
                    <a:pPr defTabSz="914400">
                      <a:defRPr lang="zh-CN" sz="1000" b="1" i="0" u="none" strike="noStrike" kern="1200" baseline="0">
                        <a:solidFill>
                          <a:srgbClr val="404040">
                            <a:lumMod val="75000"/>
                            <a:lumOff val="25000"/>
                          </a:srgbClr>
                        </a:solidFill>
                        <a:latin typeface="+mn-lt"/>
                        <a:ea typeface="+mn-ea"/>
                        <a:cs typeface="+mn-cs"/>
                      </a:defRPr>
                    </a:pPr>
                    <a:r>
                      <a:rPr lang="en-US" altLang="zh-CN" b="1"/>
                      <a:t>4.60  4.78</a:t>
                    </a:r>
                    <a:r>
                      <a:rPr b="1"/>
                      <a:t>%</a:t>
                    </a:r>
                    <a:endParaRPr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35424843416666"/>
                  <c:y val="-0.0413342023883256"/>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rgbClr val="404040">
                            <a:lumMod val="75000"/>
                            <a:lumOff val="25000"/>
                          </a:srgbClr>
                        </a:solidFill>
                        <a:latin typeface="+mn-lt"/>
                        <a:ea typeface="+mn-ea"/>
                        <a:cs typeface="+mn-cs"/>
                      </a:defRPr>
                    </a:pPr>
                    <a:r>
                      <a:rPr b="1"/>
                      <a:t>强烈</a:t>
                    </a:r>
                    <a:endParaRPr b="1"/>
                  </a:p>
                  <a:p>
                    <a:pPr defTabSz="914400">
                      <a:defRPr lang="zh-CN" sz="1000" b="1" i="0" u="none" strike="noStrike" kern="1200" baseline="0">
                        <a:solidFill>
                          <a:srgbClr val="404040">
                            <a:lumMod val="75000"/>
                            <a:lumOff val="25000"/>
                          </a:srgbClr>
                        </a:solidFill>
                        <a:latin typeface="+mn-lt"/>
                        <a:ea typeface="+mn-ea"/>
                        <a:cs typeface="+mn-cs"/>
                      </a:defRPr>
                    </a:pPr>
                    <a:r>
                      <a:rPr lang="en-US" altLang="zh-CN" b="1"/>
                      <a:t>0.19  </a:t>
                    </a:r>
                    <a:r>
                      <a:rPr b="1"/>
                      <a:t>0</a:t>
                    </a:r>
                    <a:r>
                      <a:rPr lang="en-US" altLang="zh-CN" b="1"/>
                      <a:t>.20</a:t>
                    </a:r>
                    <a:r>
                      <a:rPr b="1"/>
                      <a:t>%</a:t>
                    </a:r>
                    <a:endParaRPr b="1"/>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85774713219671"/>
                  <c:y val="-0.0274259611682697"/>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rgbClr val="404040">
                            <a:lumMod val="75000"/>
                            <a:lumOff val="25000"/>
                          </a:srgbClr>
                        </a:solidFill>
                        <a:latin typeface="+mn-lt"/>
                        <a:ea typeface="+mn-ea"/>
                        <a:cs typeface="+mn-cs"/>
                      </a:defRPr>
                    </a:pPr>
                    <a:r>
                      <a:rPr b="1"/>
                      <a:t>极强烈</a:t>
                    </a:r>
                    <a:endParaRPr b="1"/>
                  </a:p>
                  <a:p>
                    <a:pPr defTabSz="914400">
                      <a:defRPr lang="zh-CN" sz="1000" b="1" i="0" u="none" strike="noStrike" kern="1200" baseline="0">
                        <a:solidFill>
                          <a:srgbClr val="404040">
                            <a:lumMod val="75000"/>
                            <a:lumOff val="25000"/>
                          </a:srgbClr>
                        </a:solidFill>
                        <a:latin typeface="+mn-lt"/>
                        <a:ea typeface="+mn-ea"/>
                        <a:cs typeface="+mn-cs"/>
                      </a:defRPr>
                    </a:pPr>
                    <a:r>
                      <a:rPr lang="en-US" altLang="zh-CN" b="1"/>
                      <a:t>0.03   </a:t>
                    </a:r>
                    <a:r>
                      <a:rPr b="1"/>
                      <a:t>0</a:t>
                    </a:r>
                    <a:r>
                      <a:rPr lang="en-US" altLang="zh-CN" b="1"/>
                      <a:t>.04</a:t>
                    </a:r>
                    <a:r>
                      <a:rPr b="1"/>
                      <a:t>%</a:t>
                    </a:r>
                    <a:endParaRPr b="1"/>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404040">
                        <a:lumMod val="75000"/>
                        <a:lumOff val="25000"/>
                      </a:srgb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[雷州市水土保持规划表格.xlsx]作图数据!$C$3:$F$3</c:f>
              <c:strCache>
                <c:ptCount val="4"/>
                <c:pt idx="0" c:formatCode="0.00000000000">
                  <c:v>轻度</c:v>
                </c:pt>
                <c:pt idx="1" c:formatCode="0.00000000000">
                  <c:v>中度</c:v>
                </c:pt>
                <c:pt idx="2" c:formatCode="0.00000000000">
                  <c:v>强烈</c:v>
                </c:pt>
                <c:pt idx="3" c:formatCode="0.00000000000">
                  <c:v>极强烈</c:v>
                </c:pt>
              </c:strCache>
            </c:strRef>
          </c:cat>
          <c:val>
            <c:numRef>
              <c:f>[雷州市水土保持规划表格.xlsx]作图数据!$C$4:$F$4</c:f>
              <c:numCache>
                <c:formatCode>0.00_ </c:formatCode>
                <c:ptCount val="4"/>
                <c:pt idx="0">
                  <c:v>91.29</c:v>
                </c:pt>
                <c:pt idx="1">
                  <c:v>4.5969</c:v>
                </c:pt>
                <c:pt idx="2">
                  <c:v>0.1906</c:v>
                </c:pt>
                <c:pt idx="3">
                  <c:v>0.0342</c:v>
                </c:pt>
              </c:numCache>
            </c:numRef>
          </c:val>
        </c:ser>
        <c:dLbls>
          <c:showLegendKey val="0"/>
          <c:showVal val="0"/>
          <c:showCatName val="1"/>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9064d232-f307-4026-9ec8-0cb4b6af2ebe}"/>
      </c:ext>
    </c:extLst>
  </c:chart>
  <c:spPr>
    <a:solidFill>
      <a:srgbClr val="FFFFFF"/>
    </a:solidFill>
    <a:ln w="9525" cap="flat" cmpd="sng" algn="ctr">
      <a:solidFill>
        <a:srgbClr val="D9D9D9">
          <a:lumMod val="15000"/>
          <a:lumOff val="85000"/>
        </a:srgbClr>
      </a:solidFill>
      <a:round/>
    </a:ln>
    <a:effectLst/>
  </c:spPr>
  <c:txPr>
    <a:bodyPr/>
    <a:lstStyle/>
    <a:p>
      <a:pPr>
        <a:defRPr lang="zh-CN" b="1"/>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[雷州市水土保持规划表格.xlsx]作图数据!$E$43</c:f>
              <c:strCache>
                <c:ptCount val="1"/>
                <c:pt idx="0">
                  <c:v>轻度</c:v>
                </c:pt>
              </c:strCache>
            </c:strRef>
          </c:tx>
          <c:spPr>
            <a:solidFill>
              <a:schemeClr val="accent1"/>
            </a:solidFill>
            <a:ln>
              <a:solidFill>
                <a:schemeClr val="bg1"/>
              </a:solidFill>
            </a:ln>
            <a:effectLst/>
          </c:spPr>
          <c:invertIfNegative val="0"/>
          <c:dLbls>
            <c:delete val="1"/>
          </c:dLbls>
          <c:cat>
            <c:strRef>
              <c:f>[雷州市水土保持规划表格.xlsx]作图数据!$D$44:$D$64</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[雷州市水土保持规划表格.xlsx]作图数据!$E$44:$E$64</c:f>
              <c:numCache>
                <c:formatCode>0.00_ </c:formatCode>
                <c:ptCount val="21"/>
                <c:pt idx="0">
                  <c:v>0.2851</c:v>
                </c:pt>
                <c:pt idx="1">
                  <c:v>0.482</c:v>
                </c:pt>
                <c:pt idx="2">
                  <c:v>0.0066</c:v>
                </c:pt>
                <c:pt idx="3">
                  <c:v>4.312</c:v>
                </c:pt>
                <c:pt idx="4">
                  <c:v>3.9233</c:v>
                </c:pt>
                <c:pt idx="5">
                  <c:v>16.3364</c:v>
                </c:pt>
                <c:pt idx="6">
                  <c:v>0.6647</c:v>
                </c:pt>
                <c:pt idx="7">
                  <c:v>2.863</c:v>
                </c:pt>
                <c:pt idx="8">
                  <c:v>2.7773</c:v>
                </c:pt>
                <c:pt idx="9">
                  <c:v>5.6537</c:v>
                </c:pt>
                <c:pt idx="10">
                  <c:v>2.2883</c:v>
                </c:pt>
                <c:pt idx="11">
                  <c:v>13.0971</c:v>
                </c:pt>
                <c:pt idx="12">
                  <c:v>3.6664</c:v>
                </c:pt>
                <c:pt idx="13">
                  <c:v>2.5791</c:v>
                </c:pt>
                <c:pt idx="14">
                  <c:v>2.3931</c:v>
                </c:pt>
                <c:pt idx="15">
                  <c:v>0.5779</c:v>
                </c:pt>
                <c:pt idx="16">
                  <c:v>1.2313</c:v>
                </c:pt>
                <c:pt idx="17">
                  <c:v>9.0447</c:v>
                </c:pt>
                <c:pt idx="18">
                  <c:v>1.3296</c:v>
                </c:pt>
                <c:pt idx="19">
                  <c:v>6.5732</c:v>
                </c:pt>
                <c:pt idx="20">
                  <c:v>11.2052</c:v>
                </c:pt>
              </c:numCache>
            </c:numRef>
          </c:val>
        </c:ser>
        <c:ser>
          <c:idx val="1"/>
          <c:order val="1"/>
          <c:tx>
            <c:strRef>
              <c:f>[雷州市水土保持规划表格.xlsx]作图数据!$F$43</c:f>
              <c:strCache>
                <c:ptCount val="1"/>
                <c:pt idx="0">
                  <c:v>中度</c:v>
                </c:pt>
              </c:strCache>
            </c:strRef>
          </c:tx>
          <c:spPr>
            <a:solidFill>
              <a:schemeClr val="accent2"/>
            </a:solidFill>
            <a:ln>
              <a:solidFill>
                <a:schemeClr val="bg1"/>
              </a:solidFill>
            </a:ln>
            <a:effectLst/>
          </c:spPr>
          <c:invertIfNegative val="0"/>
          <c:dLbls>
            <c:delete val="1"/>
          </c:dLbls>
          <c:cat>
            <c:strRef>
              <c:f>[雷州市水土保持规划表格.xlsx]作图数据!$D$44:$D$64</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[雷州市水土保持规划表格.xlsx]作图数据!$F$44:$F$64</c:f>
              <c:numCache>
                <c:formatCode>0.00_ </c:formatCode>
                <c:ptCount val="21"/>
                <c:pt idx="0">
                  <c:v>0.0096</c:v>
                </c:pt>
                <c:pt idx="1">
                  <c:v>0.0205</c:v>
                </c:pt>
                <c:pt idx="2">
                  <c:v>0</c:v>
                </c:pt>
                <c:pt idx="3">
                  <c:v>0.3703</c:v>
                </c:pt>
                <c:pt idx="4">
                  <c:v>0.3266</c:v>
                </c:pt>
                <c:pt idx="5">
                  <c:v>0.8739</c:v>
                </c:pt>
                <c:pt idx="6">
                  <c:v>0.0162</c:v>
                </c:pt>
                <c:pt idx="7">
                  <c:v>0.0567</c:v>
                </c:pt>
                <c:pt idx="8">
                  <c:v>0.157</c:v>
                </c:pt>
                <c:pt idx="9">
                  <c:v>0.1786</c:v>
                </c:pt>
                <c:pt idx="10">
                  <c:v>0.0639</c:v>
                </c:pt>
                <c:pt idx="11">
                  <c:v>0.7615</c:v>
                </c:pt>
                <c:pt idx="12">
                  <c:v>0.1797</c:v>
                </c:pt>
                <c:pt idx="13">
                  <c:v>0.2243</c:v>
                </c:pt>
                <c:pt idx="14">
                  <c:v>0.0192</c:v>
                </c:pt>
                <c:pt idx="15">
                  <c:v>0.0022</c:v>
                </c:pt>
                <c:pt idx="16">
                  <c:v>0.072</c:v>
                </c:pt>
                <c:pt idx="17">
                  <c:v>0.4487</c:v>
                </c:pt>
                <c:pt idx="18">
                  <c:v>0.0528</c:v>
                </c:pt>
                <c:pt idx="19">
                  <c:v>0.2742</c:v>
                </c:pt>
                <c:pt idx="20">
                  <c:v>0.489</c:v>
                </c:pt>
              </c:numCache>
            </c:numRef>
          </c:val>
        </c:ser>
        <c:ser>
          <c:idx val="2"/>
          <c:order val="2"/>
          <c:tx>
            <c:strRef>
              <c:f>[雷州市水土保持规划表格.xlsx]作图数据!$G$43</c:f>
              <c:strCache>
                <c:ptCount val="1"/>
                <c:pt idx="0">
                  <c:v>强烈</c:v>
                </c:pt>
              </c:strCache>
            </c:strRef>
          </c:tx>
          <c:spPr>
            <a:solidFill>
              <a:schemeClr val="accent3"/>
            </a:solidFill>
            <a:ln>
              <a:solidFill>
                <a:schemeClr val="bg1"/>
              </a:solidFill>
            </a:ln>
            <a:effectLst/>
          </c:spPr>
          <c:invertIfNegative val="0"/>
          <c:dLbls>
            <c:delete val="1"/>
          </c:dLbls>
          <c:cat>
            <c:strRef>
              <c:f>[雷州市水土保持规划表格.xlsx]作图数据!$D$44:$D$64</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[雷州市水土保持规划表格.xlsx]作图数据!$G$44:$G$64</c:f>
              <c:numCache>
                <c:formatCode>0.00_ </c:formatCode>
                <c:ptCount val="21"/>
                <c:pt idx="0">
                  <c:v>0</c:v>
                </c:pt>
                <c:pt idx="1">
                  <c:v>0.0004</c:v>
                </c:pt>
                <c:pt idx="2">
                  <c:v>0</c:v>
                </c:pt>
                <c:pt idx="3">
                  <c:v>0.0008</c:v>
                </c:pt>
                <c:pt idx="4">
                  <c:v>0.0201</c:v>
                </c:pt>
                <c:pt idx="5">
                  <c:v>0.0402</c:v>
                </c:pt>
                <c:pt idx="6">
                  <c:v>0.0003</c:v>
                </c:pt>
                <c:pt idx="7">
                  <c:v>0.003</c:v>
                </c:pt>
                <c:pt idx="8">
                  <c:v>0.0153</c:v>
                </c:pt>
                <c:pt idx="9">
                  <c:v>0.0003</c:v>
                </c:pt>
                <c:pt idx="10">
                  <c:v>0.0007</c:v>
                </c:pt>
                <c:pt idx="11">
                  <c:v>0.0171</c:v>
                </c:pt>
                <c:pt idx="12">
                  <c:v>0.0024</c:v>
                </c:pt>
                <c:pt idx="13">
                  <c:v>0.0417</c:v>
                </c:pt>
                <c:pt idx="14">
                  <c:v>0</c:v>
                </c:pt>
                <c:pt idx="15">
                  <c:v>0</c:v>
                </c:pt>
                <c:pt idx="16">
                  <c:v>0.0056</c:v>
                </c:pt>
                <c:pt idx="17">
                  <c:v>0.0157</c:v>
                </c:pt>
                <c:pt idx="18">
                  <c:v>0.003</c:v>
                </c:pt>
                <c:pt idx="19">
                  <c:v>0.0103</c:v>
                </c:pt>
                <c:pt idx="20">
                  <c:v>0.0137</c:v>
                </c:pt>
              </c:numCache>
            </c:numRef>
          </c:val>
        </c:ser>
        <c:ser>
          <c:idx val="3"/>
          <c:order val="3"/>
          <c:tx>
            <c:strRef>
              <c:f>[雷州市水土保持规划表格.xlsx]作图数据!$H$43</c:f>
              <c:strCache>
                <c:ptCount val="1"/>
                <c:pt idx="0">
                  <c:v>极强烈</c:v>
                </c:pt>
              </c:strCache>
            </c:strRef>
          </c:tx>
          <c:spPr>
            <a:solidFill>
              <a:schemeClr val="accent4"/>
            </a:solidFill>
            <a:ln>
              <a:solidFill>
                <a:schemeClr val="bg1"/>
              </a:solidFill>
            </a:ln>
            <a:effectLst/>
          </c:spPr>
          <c:invertIfNegative val="0"/>
          <c:dLbls>
            <c:delete val="1"/>
          </c:dLbls>
          <c:cat>
            <c:strRef>
              <c:f>[雷州市水土保持规划表格.xlsx]作图数据!$D$44:$D$64</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[雷州市水土保持规划表格.xlsx]作图数据!$H$44:$H$64</c:f>
              <c:numCache>
                <c:formatCode>0.00_ </c:formatCode>
                <c:ptCount val="21"/>
                <c:pt idx="0">
                  <c:v>0</c:v>
                </c:pt>
                <c:pt idx="1">
                  <c:v>0</c:v>
                </c:pt>
                <c:pt idx="2">
                  <c:v>0</c:v>
                </c:pt>
                <c:pt idx="3">
                  <c:v>0.0009</c:v>
                </c:pt>
                <c:pt idx="4">
                  <c:v>0.0013</c:v>
                </c:pt>
                <c:pt idx="5">
                  <c:v>0.0043</c:v>
                </c:pt>
                <c:pt idx="6">
                  <c:v>0.0001</c:v>
                </c:pt>
                <c:pt idx="7">
                  <c:v>0.0007</c:v>
                </c:pt>
                <c:pt idx="8">
                  <c:v>0.0047</c:v>
                </c:pt>
                <c:pt idx="9">
                  <c:v>0</c:v>
                </c:pt>
                <c:pt idx="10">
                  <c:v>0</c:v>
                </c:pt>
                <c:pt idx="11">
                  <c:v>0</c:v>
                </c:pt>
                <c:pt idx="12">
                  <c:v>0.0001</c:v>
                </c:pt>
                <c:pt idx="13">
                  <c:v>0.0183</c:v>
                </c:pt>
                <c:pt idx="14">
                  <c:v>0</c:v>
                </c:pt>
                <c:pt idx="15">
                  <c:v>0</c:v>
                </c:pt>
                <c:pt idx="16">
                  <c:v>0.0017</c:v>
                </c:pt>
                <c:pt idx="17">
                  <c:v>0.0018</c:v>
                </c:pt>
                <c:pt idx="18">
                  <c:v>0</c:v>
                </c:pt>
                <c:pt idx="19">
                  <c:v>0</c:v>
                </c:pt>
                <c:pt idx="20">
                  <c:v>0.0003</c:v>
                </c:pt>
              </c:numCache>
            </c:numRef>
          </c:val>
        </c:ser>
        <c:dLbls>
          <c:showLegendKey val="0"/>
          <c:showVal val="0"/>
          <c:showCatName val="0"/>
          <c:showSerName val="0"/>
          <c:showPercent val="0"/>
          <c:showBubbleSize val="0"/>
        </c:dLbls>
        <c:gapWidth val="246"/>
        <c:overlap val="100"/>
        <c:axId val="629599866"/>
        <c:axId val="649994705"/>
      </c:barChart>
      <c:catAx>
        <c:axId val="6295998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9994705"/>
        <c:crosses val="autoZero"/>
        <c:auto val="1"/>
        <c:lblAlgn val="ctr"/>
        <c:lblOffset val="100"/>
        <c:noMultiLvlLbl val="0"/>
      </c:catAx>
      <c:valAx>
        <c:axId val="649994705"/>
        <c:scaling>
          <c:orientation val="minMax"/>
        </c:scaling>
        <c:delete val="0"/>
        <c:axPos val="l"/>
        <c:majorGridlines>
          <c:spPr>
            <a:ln w="9525" cap="flat" cmpd="sng" algn="ctr">
              <a:solidFill>
                <a:schemeClr val="lt1">
                  <a:lumMod val="902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95998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94d43c-7dde-4fbf-8cd0-f9406abe00bc}"/>
      </c:ext>
    </c:extLst>
  </c:chart>
  <c:spPr>
    <a:solidFill>
      <a:schemeClr val="bg1"/>
    </a:solidFill>
    <a:ln w="9525" cap="flat" cmpd="sng" algn="ctr">
      <a:solidFill>
        <a:schemeClr val="tx1">
          <a:lumMod val="15000"/>
          <a:lumOff val="85000"/>
        </a:schemeClr>
      </a:solidFill>
      <a:round/>
    </a:ln>
    <a:effectLst/>
  </c:spPr>
  <c:txPr>
    <a:bodyPr rot="-120000" anchor="b"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778019586507073"/>
          <c:y val="0.0721791177122589"/>
          <c:w val="0.835146898803047"/>
          <c:h val="0.814529914529915"/>
        </c:manualLayout>
      </c:layout>
      <c:pie3DChart>
        <c:varyColors val="1"/>
        <c:ser>
          <c:idx val="0"/>
          <c:order val="0"/>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Pt>
            <c:idx val="2"/>
            <c:bubble3D val="0"/>
            <c:spPr>
              <a:solidFill>
                <a:schemeClr val="accent3"/>
              </a:solidFill>
              <a:ln>
                <a:solidFill>
                  <a:schemeClr val="bg1"/>
                </a:solidFill>
              </a:ln>
              <a:effectLst/>
              <a:scene3d>
                <a:camera prst="orthographicFront"/>
                <a:lightRig rig="threePt" dir="t"/>
              </a:scene3d>
              <a:sp3d contourW="9525"/>
            </c:spPr>
          </c:dPt>
          <c:dPt>
            <c:idx val="3"/>
            <c:bubble3D val="0"/>
            <c:spPr>
              <a:solidFill>
                <a:schemeClr val="accent4"/>
              </a:solidFill>
              <a:ln>
                <a:solidFill>
                  <a:schemeClr val="bg1"/>
                </a:solidFill>
              </a:ln>
              <a:effectLst/>
              <a:scene3d>
                <a:camera prst="orthographicFront"/>
                <a:lightRig rig="threePt" dir="t"/>
              </a:scene3d>
              <a:sp3d contourW="9525"/>
            </c:spPr>
          </c:dPt>
          <c:dPt>
            <c:idx val="4"/>
            <c:bubble3D val="0"/>
            <c:spPr>
              <a:solidFill>
                <a:schemeClr val="accent5"/>
              </a:solidFill>
              <a:ln>
                <a:solidFill>
                  <a:schemeClr val="bg1"/>
                </a:solidFill>
              </a:ln>
              <a:effectLst/>
              <a:scene3d>
                <a:camera prst="orthographicFront"/>
                <a:lightRig rig="threePt" dir="t"/>
              </a:scene3d>
              <a:sp3d contourW="9525"/>
            </c:spPr>
          </c:dPt>
          <c:dPt>
            <c:idx val="5"/>
            <c:bubble3D val="0"/>
            <c:spPr>
              <a:solidFill>
                <a:schemeClr val="accent6"/>
              </a:solidFill>
              <a:ln>
                <a:solidFill>
                  <a:schemeClr val="bg1"/>
                </a:solidFill>
              </a:ln>
              <a:effectLst/>
              <a:scene3d>
                <a:camera prst="orthographicFront"/>
                <a:lightRig rig="threePt" dir="t"/>
              </a:scene3d>
              <a:sp3d contourW="9525"/>
            </c:spPr>
          </c:dPt>
          <c:dLbls>
            <c:dLbl>
              <c:idx val="0"/>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3"/>
              <c:layout>
                <c:manualLayout>
                  <c:x val="0.0253373114218307"/>
                  <c:y val="-0.0770172536773858"/>
                </c:manualLayout>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27014406523867"/>
                  <c:y val="0.0909333825242909"/>
                </c:manualLayout>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203266256050942"/>
                  <c:y val="0.0325100575741598"/>
                </c:manualLayout>
              </c:layout>
              <c:numFmt formatCode="0.00%" sourceLinked="0"/>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[雷州市水土保持规划表格.xlsx]作图数据!$B$14:$B$19</c:f>
              <c:strCache>
                <c:ptCount val="6"/>
                <c:pt idx="0">
                  <c:v>耕地</c:v>
                </c:pt>
                <c:pt idx="1">
                  <c:v>园地</c:v>
                </c:pt>
                <c:pt idx="2">
                  <c:v>林地</c:v>
                </c:pt>
                <c:pt idx="3">
                  <c:v>草地</c:v>
                </c:pt>
                <c:pt idx="4">
                  <c:v>建设用地</c:v>
                </c:pt>
                <c:pt idx="5">
                  <c:v>交通运输用地</c:v>
                </c:pt>
              </c:strCache>
            </c:strRef>
          </c:cat>
          <c:val>
            <c:numRef>
              <c:f>[雷州市水土保持规划表格.xlsx]作图数据!$C$14:$C$19</c:f>
              <c:numCache>
                <c:formatCode>0.00_ </c:formatCode>
                <c:ptCount val="6"/>
                <c:pt idx="0">
                  <c:v>60.14</c:v>
                </c:pt>
                <c:pt idx="1">
                  <c:v>3.71</c:v>
                </c:pt>
                <c:pt idx="2">
                  <c:v>13.56</c:v>
                </c:pt>
                <c:pt idx="3">
                  <c:v>2.76</c:v>
                </c:pt>
                <c:pt idx="4">
                  <c:v>15.86</c:v>
                </c:pt>
                <c:pt idx="5">
                  <c:v>0.08</c:v>
                </c:pt>
              </c:numCache>
            </c:numRef>
          </c:val>
        </c:ser>
        <c:dLbls>
          <c:showLegendKey val="0"/>
          <c:showVal val="1"/>
          <c:showCatName val="0"/>
          <c:showSerName val="0"/>
          <c:showPercent val="0"/>
          <c:showBubbleSize val="0"/>
        </c:dLbls>
      </c:pie3DChart>
      <c:spPr>
        <a:noFill/>
        <a:ln>
          <a:noFill/>
        </a:ln>
        <a:effectLst/>
      </c:spPr>
    </c:plotArea>
    <c:legend>
      <c:legendPos val="t"/>
      <c:layout>
        <c:manualLayout>
          <c:xMode val="edge"/>
          <c:yMode val="edge"/>
          <c:x val="0.242165397170838"/>
          <c:y val="0.919308357348703"/>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d3528d53-08b0-4eb0-b1cb-19f44873229b}"/>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[雷州市水土保持规划表格.xlsx]作图数据!$D$109</c:f>
              <c:strCache>
                <c:ptCount val="1"/>
                <c:pt idx="0">
                  <c:v>微度</c:v>
                </c:pt>
              </c:strCache>
            </c:strRef>
          </c:tx>
          <c:spPr>
            <a:solidFill>
              <a:schemeClr val="accent1"/>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[雷州市水土保持规划表格.xlsx]作图数据!$D$110:$D$130</c:f>
              <c:numCache>
                <c:formatCode>0.00_ </c:formatCode>
                <c:ptCount val="21"/>
                <c:pt idx="0">
                  <c:v>4.2792561</c:v>
                </c:pt>
                <c:pt idx="1">
                  <c:v>6.2518932</c:v>
                </c:pt>
                <c:pt idx="2">
                  <c:v>6.2645499</c:v>
                </c:pt>
                <c:pt idx="3">
                  <c:v>100.4334114</c:v>
                </c:pt>
                <c:pt idx="4">
                  <c:v>163.1136948</c:v>
                </c:pt>
                <c:pt idx="5">
                  <c:v>254.8681401</c:v>
                </c:pt>
                <c:pt idx="6">
                  <c:v>85.2228132</c:v>
                </c:pt>
                <c:pt idx="7">
                  <c:v>94.8318315</c:v>
                </c:pt>
                <c:pt idx="8">
                  <c:v>282.4249617</c:v>
                </c:pt>
                <c:pt idx="9">
                  <c:v>296.783256</c:v>
                </c:pt>
                <c:pt idx="10">
                  <c:v>150.9378633</c:v>
                </c:pt>
                <c:pt idx="11">
                  <c:v>310.6859952</c:v>
                </c:pt>
                <c:pt idx="12">
                  <c:v>127.753458</c:v>
                </c:pt>
                <c:pt idx="13">
                  <c:v>82.7531208</c:v>
                </c:pt>
                <c:pt idx="14">
                  <c:v>52.1571414</c:v>
                </c:pt>
                <c:pt idx="15">
                  <c:v>57.8210577</c:v>
                </c:pt>
                <c:pt idx="16">
                  <c:v>75.5672148</c:v>
                </c:pt>
                <c:pt idx="17">
                  <c:v>219.6811365</c:v>
                </c:pt>
                <c:pt idx="18">
                  <c:v>90.3379281</c:v>
                </c:pt>
                <c:pt idx="19">
                  <c:v>182.490672</c:v>
                </c:pt>
                <c:pt idx="20">
                  <c:v>284.23</c:v>
                </c:pt>
              </c:numCache>
            </c:numRef>
          </c:val>
        </c:ser>
        <c:ser>
          <c:idx val="1"/>
          <c:order val="1"/>
          <c:tx>
            <c:strRef>
              <c:f>[雷州市水土保持规划表格.xlsx]作图数据!$E$109</c:f>
              <c:strCache>
                <c:ptCount val="1"/>
                <c:pt idx="0">
                  <c:v>轻度</c:v>
                </c:pt>
              </c:strCache>
            </c:strRef>
          </c:tx>
          <c:spPr>
            <a:solidFill>
              <a:schemeClr val="accent2"/>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[雷州市水土保持规划表格.xlsx]作图数据!$E$110:$E$130</c:f>
              <c:numCache>
                <c:formatCode>0.00_ </c:formatCode>
                <c:ptCount val="21"/>
                <c:pt idx="0">
                  <c:v>0.2851</c:v>
                </c:pt>
                <c:pt idx="1">
                  <c:v>0.482</c:v>
                </c:pt>
                <c:pt idx="2">
                  <c:v>0.0066</c:v>
                </c:pt>
                <c:pt idx="3">
                  <c:v>4.312</c:v>
                </c:pt>
                <c:pt idx="4">
                  <c:v>3.9233</c:v>
                </c:pt>
                <c:pt idx="5">
                  <c:v>16.3364</c:v>
                </c:pt>
                <c:pt idx="6">
                  <c:v>0.6647</c:v>
                </c:pt>
                <c:pt idx="7">
                  <c:v>2.863</c:v>
                </c:pt>
                <c:pt idx="8">
                  <c:v>2.7773</c:v>
                </c:pt>
                <c:pt idx="9">
                  <c:v>5.6537</c:v>
                </c:pt>
                <c:pt idx="10">
                  <c:v>2.2883</c:v>
                </c:pt>
                <c:pt idx="11">
                  <c:v>13.0971</c:v>
                </c:pt>
                <c:pt idx="12">
                  <c:v>3.6664</c:v>
                </c:pt>
                <c:pt idx="13">
                  <c:v>2.5791</c:v>
                </c:pt>
                <c:pt idx="14">
                  <c:v>2.3931</c:v>
                </c:pt>
                <c:pt idx="15">
                  <c:v>0.5779</c:v>
                </c:pt>
                <c:pt idx="16">
                  <c:v>1.2313</c:v>
                </c:pt>
                <c:pt idx="17">
                  <c:v>9.0447</c:v>
                </c:pt>
                <c:pt idx="18">
                  <c:v>1.3296</c:v>
                </c:pt>
                <c:pt idx="19">
                  <c:v>6.5732</c:v>
                </c:pt>
                <c:pt idx="20">
                  <c:v>11.2052</c:v>
                </c:pt>
              </c:numCache>
            </c:numRef>
          </c:val>
        </c:ser>
        <c:ser>
          <c:idx val="2"/>
          <c:order val="2"/>
          <c:tx>
            <c:strRef>
              <c:f>[雷州市水土保持规划表格.xlsx]作图数据!$F$109</c:f>
              <c:strCache>
                <c:ptCount val="1"/>
                <c:pt idx="0">
                  <c:v>中度</c:v>
                </c:pt>
              </c:strCache>
            </c:strRef>
          </c:tx>
          <c:spPr>
            <a:solidFill>
              <a:schemeClr val="accent3"/>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[雷州市水土保持规划表格.xlsx]作图数据!$F$110:$F$130</c:f>
              <c:numCache>
                <c:formatCode>0.00_ </c:formatCode>
                <c:ptCount val="21"/>
                <c:pt idx="0">
                  <c:v>0.0096</c:v>
                </c:pt>
                <c:pt idx="1">
                  <c:v>0.0205</c:v>
                </c:pt>
                <c:pt idx="2">
                  <c:v>0</c:v>
                </c:pt>
                <c:pt idx="3">
                  <c:v>0.3703</c:v>
                </c:pt>
                <c:pt idx="4">
                  <c:v>0.3266</c:v>
                </c:pt>
                <c:pt idx="5">
                  <c:v>0.8739</c:v>
                </c:pt>
                <c:pt idx="6">
                  <c:v>0.0162</c:v>
                </c:pt>
                <c:pt idx="7">
                  <c:v>0.0567</c:v>
                </c:pt>
                <c:pt idx="8">
                  <c:v>0.157</c:v>
                </c:pt>
                <c:pt idx="9">
                  <c:v>0.1786</c:v>
                </c:pt>
                <c:pt idx="10">
                  <c:v>0.0639</c:v>
                </c:pt>
                <c:pt idx="11">
                  <c:v>0.7615</c:v>
                </c:pt>
                <c:pt idx="12">
                  <c:v>0.1797</c:v>
                </c:pt>
                <c:pt idx="13">
                  <c:v>0.2243</c:v>
                </c:pt>
                <c:pt idx="14">
                  <c:v>0.0192</c:v>
                </c:pt>
                <c:pt idx="15">
                  <c:v>0.0022</c:v>
                </c:pt>
                <c:pt idx="16">
                  <c:v>0.072</c:v>
                </c:pt>
                <c:pt idx="17">
                  <c:v>0.4487</c:v>
                </c:pt>
                <c:pt idx="18">
                  <c:v>0.0528</c:v>
                </c:pt>
                <c:pt idx="19">
                  <c:v>0.2742</c:v>
                </c:pt>
                <c:pt idx="20">
                  <c:v>0.489</c:v>
                </c:pt>
              </c:numCache>
            </c:numRef>
          </c:val>
        </c:ser>
        <c:ser>
          <c:idx val="3"/>
          <c:order val="3"/>
          <c:tx>
            <c:strRef>
              <c:f>[雷州市水土保持规划表格.xlsx]作图数据!$G$109</c:f>
              <c:strCache>
                <c:ptCount val="1"/>
                <c:pt idx="0">
                  <c:v>强烈</c:v>
                </c:pt>
              </c:strCache>
            </c:strRef>
          </c:tx>
          <c:spPr>
            <a:solidFill>
              <a:schemeClr val="accent4"/>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[雷州市水土保持规划表格.xlsx]作图数据!$G$110:$G$130</c:f>
              <c:numCache>
                <c:formatCode>0.00_ </c:formatCode>
                <c:ptCount val="21"/>
                <c:pt idx="0">
                  <c:v>0</c:v>
                </c:pt>
                <c:pt idx="1">
                  <c:v>0.0004</c:v>
                </c:pt>
                <c:pt idx="2">
                  <c:v>0</c:v>
                </c:pt>
                <c:pt idx="3">
                  <c:v>0.0008</c:v>
                </c:pt>
                <c:pt idx="4">
                  <c:v>0.0201</c:v>
                </c:pt>
                <c:pt idx="5">
                  <c:v>0.0402</c:v>
                </c:pt>
                <c:pt idx="6">
                  <c:v>0.0003</c:v>
                </c:pt>
                <c:pt idx="7">
                  <c:v>0.003</c:v>
                </c:pt>
                <c:pt idx="8">
                  <c:v>0.0153</c:v>
                </c:pt>
                <c:pt idx="9">
                  <c:v>0.0003</c:v>
                </c:pt>
                <c:pt idx="10">
                  <c:v>0.0007</c:v>
                </c:pt>
                <c:pt idx="11">
                  <c:v>0.0171</c:v>
                </c:pt>
                <c:pt idx="12">
                  <c:v>0.0024</c:v>
                </c:pt>
                <c:pt idx="13">
                  <c:v>0.0417</c:v>
                </c:pt>
                <c:pt idx="14">
                  <c:v>0</c:v>
                </c:pt>
                <c:pt idx="15">
                  <c:v>0</c:v>
                </c:pt>
                <c:pt idx="16">
                  <c:v>0.0056</c:v>
                </c:pt>
                <c:pt idx="17">
                  <c:v>0.0157</c:v>
                </c:pt>
                <c:pt idx="18">
                  <c:v>0.003</c:v>
                </c:pt>
                <c:pt idx="19">
                  <c:v>0.0103</c:v>
                </c:pt>
                <c:pt idx="20">
                  <c:v>0.0137</c:v>
                </c:pt>
              </c:numCache>
            </c:numRef>
          </c:val>
        </c:ser>
        <c:ser>
          <c:idx val="4"/>
          <c:order val="4"/>
          <c:tx>
            <c:strRef>
              <c:f>[雷州市水土保持规划表格.xlsx]作图数据!$H$109</c:f>
              <c:strCache>
                <c:ptCount val="1"/>
                <c:pt idx="0">
                  <c:v>极强烈</c:v>
                </c:pt>
              </c:strCache>
            </c:strRef>
          </c:tx>
          <c:spPr>
            <a:solidFill>
              <a:schemeClr val="accent5"/>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[雷州市水土保持规划表格.xlsx]作图数据!$H$110:$H$130</c:f>
              <c:numCache>
                <c:formatCode>0.00_ </c:formatCode>
                <c:ptCount val="21"/>
                <c:pt idx="0">
                  <c:v>0</c:v>
                </c:pt>
                <c:pt idx="1">
                  <c:v>0</c:v>
                </c:pt>
                <c:pt idx="2">
                  <c:v>0</c:v>
                </c:pt>
                <c:pt idx="3">
                  <c:v>0.0009</c:v>
                </c:pt>
                <c:pt idx="4">
                  <c:v>0.0013</c:v>
                </c:pt>
                <c:pt idx="5">
                  <c:v>0.0043</c:v>
                </c:pt>
                <c:pt idx="6">
                  <c:v>0.0001</c:v>
                </c:pt>
                <c:pt idx="7">
                  <c:v>0.0007</c:v>
                </c:pt>
                <c:pt idx="8">
                  <c:v>0.0047</c:v>
                </c:pt>
                <c:pt idx="9">
                  <c:v>0</c:v>
                </c:pt>
                <c:pt idx="10">
                  <c:v>0</c:v>
                </c:pt>
                <c:pt idx="11">
                  <c:v>0</c:v>
                </c:pt>
                <c:pt idx="12">
                  <c:v>0.0001</c:v>
                </c:pt>
                <c:pt idx="13">
                  <c:v>0.0183</c:v>
                </c:pt>
                <c:pt idx="14">
                  <c:v>0</c:v>
                </c:pt>
                <c:pt idx="15">
                  <c:v>0</c:v>
                </c:pt>
                <c:pt idx="16">
                  <c:v>0.0017</c:v>
                </c:pt>
                <c:pt idx="17">
                  <c:v>0.0018</c:v>
                </c:pt>
                <c:pt idx="18">
                  <c:v>0</c:v>
                </c:pt>
                <c:pt idx="19">
                  <c:v>0</c:v>
                </c:pt>
                <c:pt idx="20">
                  <c:v>0.0003</c:v>
                </c:pt>
              </c:numCache>
            </c:numRef>
          </c:val>
        </c:ser>
        <c:ser>
          <c:idx val="5"/>
          <c:order val="5"/>
          <c:tx>
            <c:strRef>
              <c:f>[雷州市水土保持规划表格.xlsx]作图数据!$I$109</c:f>
              <c:strCache>
                <c:ptCount val="1"/>
                <c:pt idx="0">
                  <c:v>剧烈</c:v>
                </c:pt>
              </c:strCache>
            </c:strRef>
          </c:tx>
          <c:spPr>
            <a:solidFill>
              <a:schemeClr val="accent6"/>
            </a:solidFill>
            <a:ln>
              <a:solidFill>
                <a:schemeClr val="bg1"/>
              </a:solidFill>
            </a:ln>
            <a:effectLst/>
          </c:spPr>
          <c:invertIfNegative val="0"/>
          <c:dLbls>
            <c:delete val="1"/>
          </c:dLbls>
          <c:cat>
            <c:strRef>
              <c:f>[雷州市水土保持规划表格.xlsx]作图数据!$C$110:$C$130</c:f>
              <c:strCache>
                <c:ptCount val="21"/>
                <c:pt idx="0" c:formatCode="0">
                  <c:v>新城街道</c:v>
                </c:pt>
                <c:pt idx="1" c:formatCode="0">
                  <c:v>西湖街道</c:v>
                </c:pt>
                <c:pt idx="2" c:formatCode="0">
                  <c:v>雷城街道</c:v>
                </c:pt>
                <c:pt idx="3" c:formatCode="0">
                  <c:v>白沙镇</c:v>
                </c:pt>
                <c:pt idx="4" c:formatCode="0">
                  <c:v>北和镇</c:v>
                </c:pt>
                <c:pt idx="5" c:formatCode="0">
                  <c:v>调风镇</c:v>
                </c:pt>
                <c:pt idx="6" c:formatCode="0">
                  <c:v>东里镇</c:v>
                </c:pt>
                <c:pt idx="7" c:formatCode="0">
                  <c:v>附城镇</c:v>
                </c:pt>
                <c:pt idx="8" c:formatCode="0">
                  <c:v>纪家镇</c:v>
                </c:pt>
                <c:pt idx="9" c:formatCode="0">
                  <c:v>客路镇</c:v>
                </c:pt>
                <c:pt idx="10" c:formatCode="0">
                  <c:v>雷高镇</c:v>
                </c:pt>
                <c:pt idx="11" c:formatCode="0">
                  <c:v>龙门镇</c:v>
                </c:pt>
                <c:pt idx="12" c:formatCode="0">
                  <c:v>南兴镇</c:v>
                </c:pt>
                <c:pt idx="13" c:formatCode="0">
                  <c:v>企水镇</c:v>
                </c:pt>
                <c:pt idx="14" c:formatCode="0">
                  <c:v>沈塘镇</c:v>
                </c:pt>
                <c:pt idx="15" c:formatCode="0">
                  <c:v>松竹镇</c:v>
                </c:pt>
                <c:pt idx="16" c:formatCode="0">
                  <c:v>覃斗镇</c:v>
                </c:pt>
                <c:pt idx="17" c:formatCode="0">
                  <c:v>唐家镇</c:v>
                </c:pt>
                <c:pt idx="18" c:formatCode="0">
                  <c:v>乌石镇</c:v>
                </c:pt>
                <c:pt idx="19" c:formatCode="0">
                  <c:v>杨家镇</c:v>
                </c:pt>
                <c:pt idx="20" c:formatCode="0">
                  <c:v>英利镇</c:v>
                </c:pt>
              </c:strCache>
            </c:strRef>
          </c:cat>
          <c:val>
            <c:numRef>
              <c:f>[雷州市水土保持规划表格.xlsx]作图数据!$I$110:$I$130</c:f>
              <c:numCache>
                <c:formatCode>0.00_ </c:formatCode>
                <c:ptCount val="21"/>
                <c:pt idx="0">
                  <c:v>0</c:v>
                </c:pt>
                <c:pt idx="1">
                  <c:v>0</c:v>
                </c:pt>
                <c:pt idx="2">
                  <c:v>0</c:v>
                </c:pt>
                <c:pt idx="3">
                  <c:v>0.0017</c:v>
                </c:pt>
                <c:pt idx="4">
                  <c:v>0</c:v>
                </c:pt>
                <c:pt idx="5">
                  <c:v>0</c:v>
                </c:pt>
                <c:pt idx="6">
                  <c:v>0.0001</c:v>
                </c:pt>
                <c:pt idx="7">
                  <c:v>0</c:v>
                </c:pt>
                <c:pt idx="8">
                  <c:v>0.0001</c:v>
                </c:pt>
                <c:pt idx="9">
                  <c:v>0</c:v>
                </c:pt>
                <c:pt idx="10">
                  <c:v>0</c:v>
                </c:pt>
                <c:pt idx="11">
                  <c:v>0</c:v>
                </c:pt>
                <c:pt idx="12">
                  <c:v>0</c:v>
                </c:pt>
                <c:pt idx="13">
                  <c:v>0</c:v>
                </c:pt>
                <c:pt idx="14">
                  <c:v>0</c:v>
                </c:pt>
                <c:pt idx="15">
                  <c:v>0</c:v>
                </c:pt>
                <c:pt idx="16">
                  <c:v>0</c:v>
                </c:pt>
                <c:pt idx="17">
                  <c:v>0.001</c:v>
                </c:pt>
                <c:pt idx="18">
                  <c:v>0</c:v>
                </c:pt>
                <c:pt idx="19">
                  <c:v>0</c:v>
                </c:pt>
                <c:pt idx="20">
                  <c:v>0</c:v>
                </c:pt>
              </c:numCache>
            </c:numRef>
          </c:val>
        </c:ser>
        <c:dLbls>
          <c:showLegendKey val="0"/>
          <c:showVal val="0"/>
          <c:showCatName val="0"/>
          <c:showSerName val="0"/>
          <c:showPercent val="0"/>
          <c:showBubbleSize val="0"/>
        </c:dLbls>
        <c:gapWidth val="246"/>
        <c:overlap val="100"/>
        <c:axId val="275980684"/>
        <c:axId val="260571782"/>
      </c:barChart>
      <c:catAx>
        <c:axId val="2759806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571782"/>
        <c:crosses val="autoZero"/>
        <c:auto val="1"/>
        <c:lblAlgn val="ctr"/>
        <c:lblOffset val="100"/>
        <c:noMultiLvlLbl val="0"/>
      </c:catAx>
      <c:valAx>
        <c:axId val="260571782"/>
        <c:scaling>
          <c:orientation val="minMax"/>
        </c:scaling>
        <c:delete val="0"/>
        <c:axPos val="l"/>
        <c:majorGridlines>
          <c:spPr>
            <a:ln w="9525" cap="flat" cmpd="sng" algn="ctr">
              <a:solidFill>
                <a:schemeClr val="lt1">
                  <a:lumMod val="902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59806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a46bc7-18e2-4bb8-b68b-51801edddc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278822567457"/>
          <c:y val="0.0900584795321637"/>
          <c:w val="0.55306623058054"/>
          <c:h val="0.791111111111111"/>
        </c:manualLayout>
      </c:layout>
      <c:pieChart>
        <c:varyColors val="1"/>
        <c:ser>
          <c:idx val="0"/>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人为侵蚀, </a:t>
                    </a:r>
                  </a:p>
                  <a:p>
                    <a:pPr defTabSz="914400">
                      <a:defRPr lang="zh-CN" sz="1000" b="0" i="0" u="none" strike="noStrike" kern="1200" baseline="0">
                        <a:solidFill>
                          <a:schemeClr val="tx1">
                            <a:lumMod val="75000"/>
                            <a:lumOff val="25000"/>
                          </a:schemeClr>
                        </a:solidFill>
                        <a:latin typeface="+mn-lt"/>
                        <a:ea typeface="+mn-ea"/>
                        <a:cs typeface="+mn-cs"/>
                      </a:defRPr>
                    </a:pPr>
                    <a:r>
                      <a:t>79.79, 83.02%</a:t>
                    </a: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extLst>
                <c:ext xmlns:c15="http://schemas.microsoft.com/office/drawing/2012/chart" uri="{CE6537A1-D6FC-4f65-9D91-7224C49458BB}">
                  <c15:layout>
                    <c:manualLayout>
                      <c:w val="0.311692559280458"/>
                      <c:h val="0.182923976608187"/>
                    </c:manualLayout>
                  </c15:layout>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[雷州市水土保持规划表格.xlsx]侵蚀现状!$O$26:$O$27</c:f>
              <c:strCache>
                <c:ptCount val="2"/>
                <c:pt idx="0">
                  <c:v>自然侵蚀</c:v>
                </c:pt>
                <c:pt idx="1">
                  <c:v>人为侵蚀</c:v>
                </c:pt>
              </c:strCache>
            </c:strRef>
          </c:cat>
          <c:val>
            <c:numRef>
              <c:f>[雷州市水土保持规划表格.xlsx]侵蚀现状!$P$26:$P$27</c:f>
              <c:numCache>
                <c:formatCode>General</c:formatCode>
                <c:ptCount val="2"/>
                <c:pt idx="0">
                  <c:v>16.32</c:v>
                </c:pt>
                <c:pt idx="1" c:formatCode="0.00_ ">
                  <c:v>79.7932792449274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41455437448896"/>
          <c:y val="0.91157894736842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e57864a-edff-4721-badb-f6445470f49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[雷州市水土保持规划表格.xlsx]作图数据!$E$67</c:f>
              <c:strCache>
                <c:ptCount val="1"/>
                <c:pt idx="0">
                  <c:v>自然侵蚀</c:v>
                </c:pt>
              </c:strCache>
            </c:strRef>
          </c:tx>
          <c:spPr>
            <a:solidFill>
              <a:schemeClr val="accent1"/>
            </a:solidFill>
            <a:ln>
              <a:solidFill>
                <a:schemeClr val="bg1"/>
              </a:solidFill>
            </a:ln>
            <a:effectLst/>
          </c:spPr>
          <c:invertIfNegative val="0"/>
          <c:dLbls>
            <c:delete val="1"/>
          </c:dLbls>
          <c:cat>
            <c:strRef>
              <c:f>[雷州市水土保持规划表格.xlsx]作图数据!$D$68:$D$88</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[雷州市水土保持规划表格.xlsx]作图数据!$E$68:$E$88</c:f>
              <c:numCache>
                <c:formatCode>General</c:formatCode>
                <c:ptCount val="21"/>
                <c:pt idx="0">
                  <c:v>0.01</c:v>
                </c:pt>
                <c:pt idx="1">
                  <c:v>0</c:v>
                </c:pt>
                <c:pt idx="2">
                  <c:v>0</c:v>
                </c:pt>
                <c:pt idx="3">
                  <c:v>0.35</c:v>
                </c:pt>
                <c:pt idx="4">
                  <c:v>1.12</c:v>
                </c:pt>
                <c:pt idx="5">
                  <c:v>3.33</c:v>
                </c:pt>
                <c:pt idx="6">
                  <c:v>0.15</c:v>
                </c:pt>
                <c:pt idx="7">
                  <c:v>0.55</c:v>
                </c:pt>
                <c:pt idx="8">
                  <c:v>0.65</c:v>
                </c:pt>
                <c:pt idx="9">
                  <c:v>0.62</c:v>
                </c:pt>
                <c:pt idx="10">
                  <c:v>0.99</c:v>
                </c:pt>
                <c:pt idx="11">
                  <c:v>2.9</c:v>
                </c:pt>
                <c:pt idx="12">
                  <c:v>0.84</c:v>
                </c:pt>
                <c:pt idx="13">
                  <c:v>0.74</c:v>
                </c:pt>
                <c:pt idx="14">
                  <c:v>0.15</c:v>
                </c:pt>
                <c:pt idx="15">
                  <c:v>0.27</c:v>
                </c:pt>
                <c:pt idx="16">
                  <c:v>0.1</c:v>
                </c:pt>
                <c:pt idx="17">
                  <c:v>0.69</c:v>
                </c:pt>
                <c:pt idx="18">
                  <c:v>0.1</c:v>
                </c:pt>
                <c:pt idx="19">
                  <c:v>1.29</c:v>
                </c:pt>
                <c:pt idx="20">
                  <c:v>1.47</c:v>
                </c:pt>
              </c:numCache>
            </c:numRef>
          </c:val>
        </c:ser>
        <c:ser>
          <c:idx val="1"/>
          <c:order val="1"/>
          <c:tx>
            <c:strRef>
              <c:f>[雷州市水土保持规划表格.xlsx]作图数据!$F$67</c:f>
              <c:strCache>
                <c:ptCount val="1"/>
                <c:pt idx="0">
                  <c:v>人为侵蚀</c:v>
                </c:pt>
              </c:strCache>
            </c:strRef>
          </c:tx>
          <c:spPr>
            <a:solidFill>
              <a:schemeClr val="accent2"/>
            </a:solidFill>
            <a:ln>
              <a:solidFill>
                <a:schemeClr val="bg1"/>
              </a:solidFill>
            </a:ln>
            <a:effectLst/>
          </c:spPr>
          <c:invertIfNegative val="0"/>
          <c:dLbls>
            <c:delete val="1"/>
          </c:dLbls>
          <c:cat>
            <c:strRef>
              <c:f>[雷州市水土保持规划表格.xlsx]作图数据!$D$68:$D$88</c:f>
              <c:strCache>
                <c:ptCount val="21"/>
                <c:pt idx="0">
                  <c:v>新城街道</c:v>
                </c:pt>
                <c:pt idx="1">
                  <c:v>西湖街道</c:v>
                </c:pt>
                <c:pt idx="2">
                  <c:v>雷城街道</c:v>
                </c:pt>
                <c:pt idx="3">
                  <c:v>白沙镇</c:v>
                </c:pt>
                <c:pt idx="4">
                  <c:v>北和镇</c:v>
                </c:pt>
                <c:pt idx="5">
                  <c:v>调风镇</c:v>
                </c:pt>
                <c:pt idx="6">
                  <c:v>东里镇</c:v>
                </c:pt>
                <c:pt idx="7">
                  <c:v>附城镇</c:v>
                </c:pt>
                <c:pt idx="8">
                  <c:v>纪家镇</c:v>
                </c:pt>
                <c:pt idx="9">
                  <c:v>客路镇</c:v>
                </c:pt>
                <c:pt idx="10">
                  <c:v>雷高镇</c:v>
                </c:pt>
                <c:pt idx="11">
                  <c:v>龙门镇</c:v>
                </c:pt>
                <c:pt idx="12">
                  <c:v>南兴镇</c:v>
                </c:pt>
                <c:pt idx="13">
                  <c:v>企水镇</c:v>
                </c:pt>
                <c:pt idx="14">
                  <c:v>沈塘镇</c:v>
                </c:pt>
                <c:pt idx="15">
                  <c:v>松竹镇</c:v>
                </c:pt>
                <c:pt idx="16">
                  <c:v>覃斗镇</c:v>
                </c:pt>
                <c:pt idx="17">
                  <c:v>唐家镇</c:v>
                </c:pt>
                <c:pt idx="18">
                  <c:v>乌石镇</c:v>
                </c:pt>
                <c:pt idx="19">
                  <c:v>杨家镇</c:v>
                </c:pt>
                <c:pt idx="20">
                  <c:v>英利镇</c:v>
                </c:pt>
              </c:strCache>
            </c:strRef>
          </c:cat>
          <c:val>
            <c:numRef>
              <c:f>[雷州市水土保持规划表格.xlsx]作图数据!$F$68:$F$88</c:f>
              <c:numCache>
                <c:formatCode>0.00_ </c:formatCode>
                <c:ptCount val="21"/>
                <c:pt idx="0">
                  <c:v>0.28</c:v>
                </c:pt>
                <c:pt idx="1">
                  <c:v>0.5</c:v>
                </c:pt>
                <c:pt idx="2">
                  <c:v>0.00630867143993635</c:v>
                </c:pt>
                <c:pt idx="3">
                  <c:v>1.77275258552108</c:v>
                </c:pt>
                <c:pt idx="4">
                  <c:v>3.74</c:v>
                </c:pt>
                <c:pt idx="5">
                  <c:v>14.41</c:v>
                </c:pt>
                <c:pt idx="6">
                  <c:v>0.586365595384294</c:v>
                </c:pt>
                <c:pt idx="7">
                  <c:v>2.14196028639618</c:v>
                </c:pt>
                <c:pt idx="8">
                  <c:v>2.26319362328243</c:v>
                </c:pt>
                <c:pt idx="9">
                  <c:v>4.7319001944837</c:v>
                </c:pt>
                <c:pt idx="10">
                  <c:v>1.47363247368137</c:v>
                </c:pt>
                <c:pt idx="11">
                  <c:v>12.7836037413784</c:v>
                </c:pt>
                <c:pt idx="12">
                  <c:v>3.43735191664543</c:v>
                </c:pt>
                <c:pt idx="13">
                  <c:v>2.02714298954978</c:v>
                </c:pt>
                <c:pt idx="14">
                  <c:v>2.19990574383453</c:v>
                </c:pt>
                <c:pt idx="15">
                  <c:v>0.306932054282426</c:v>
                </c:pt>
                <c:pt idx="16">
                  <c:v>1.21170941755296</c:v>
                </c:pt>
                <c:pt idx="17">
                  <c:v>8.82555151346633</c:v>
                </c:pt>
                <c:pt idx="18">
                  <c:v>1.28255287191726</c:v>
                </c:pt>
                <c:pt idx="19">
                  <c:v>5.57224437472484</c:v>
                </c:pt>
                <c:pt idx="20" c:formatCode="General">
                  <c:v>10.24</c:v>
                </c:pt>
              </c:numCache>
            </c:numRef>
          </c:val>
        </c:ser>
        <c:dLbls>
          <c:showLegendKey val="0"/>
          <c:showVal val="0"/>
          <c:showCatName val="0"/>
          <c:showSerName val="0"/>
          <c:showPercent val="0"/>
          <c:showBubbleSize val="0"/>
        </c:dLbls>
        <c:gapWidth val="246"/>
        <c:overlap val="100"/>
        <c:axId val="485751536"/>
        <c:axId val="740060816"/>
      </c:barChart>
      <c:catAx>
        <c:axId val="485751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0060816"/>
        <c:crosses val="autoZero"/>
        <c:auto val="1"/>
        <c:lblAlgn val="ctr"/>
        <c:lblOffset val="100"/>
        <c:noMultiLvlLbl val="0"/>
      </c:catAx>
      <c:valAx>
        <c:axId val="74006081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57515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d0a6532-79f8-4bdf-b10f-3fefa594d4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[雷州市水土保持规划表格.xlsx]作图数据!$E$99:$E$103</c:f>
              <c:strCache>
                <c:ptCount val="5"/>
                <c:pt idx="0">
                  <c:v>第一次水利普查</c:v>
                </c:pt>
                <c:pt idx="1">
                  <c:v>广东省第四次水土流失遥感普查</c:v>
                </c:pt>
                <c:pt idx="2">
                  <c:v>广东省第五次水土流失遥感普查</c:v>
                </c:pt>
                <c:pt idx="3">
                  <c:v>2022年广东省水土流失动态监测成果报告</c:v>
                </c:pt>
                <c:pt idx="4">
                  <c:v>2023年广东省水土流失动态监测成果报告</c:v>
                </c:pt>
              </c:strCache>
            </c:strRef>
          </c:cat>
          <c:val>
            <c:numRef>
              <c:f>[雷州市水土保持规划表格.xlsx]作图数据!$K$99:$K$103</c:f>
              <c:numCache>
                <c:formatCode>General</c:formatCode>
                <c:ptCount val="5"/>
                <c:pt idx="0">
                  <c:v>210.08</c:v>
                </c:pt>
                <c:pt idx="1">
                  <c:v>13.58</c:v>
                </c:pt>
                <c:pt idx="2">
                  <c:v>26.94</c:v>
                </c:pt>
                <c:pt idx="3">
                  <c:v>36.12</c:v>
                </c:pt>
                <c:pt idx="4">
                  <c:v>96.11</c:v>
                </c:pt>
              </c:numCache>
            </c:numRef>
          </c:val>
        </c:ser>
        <c:dLbls>
          <c:showLegendKey val="0"/>
          <c:showVal val="0"/>
          <c:showCatName val="0"/>
          <c:showSerName val="0"/>
          <c:showPercent val="0"/>
          <c:showBubbleSize val="0"/>
        </c:dLbls>
        <c:gapWidth val="246"/>
        <c:overlap val="-28"/>
        <c:axId val="298890802"/>
        <c:axId val="812185163"/>
      </c:barChart>
      <c:catAx>
        <c:axId val="29889080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2185163"/>
        <c:crosses val="autoZero"/>
        <c:auto val="1"/>
        <c:lblAlgn val="ctr"/>
        <c:lblOffset val="100"/>
        <c:noMultiLvlLbl val="0"/>
      </c:catAx>
      <c:valAx>
        <c:axId val="81218516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8890802"/>
        <c:crosses val="autoZero"/>
        <c:crossBetween val="between"/>
      </c:valAx>
      <c:spPr>
        <a:noFill/>
        <a:ln>
          <a:noFill/>
        </a:ln>
        <a:effectLst/>
      </c:spPr>
    </c:plotArea>
    <c:plotVisOnly val="1"/>
    <c:dispBlanksAs val="gap"/>
    <c:showDLblsOverMax val="0"/>
    <c:extLst>
      <c:ext uri="{0b15fc19-7d7d-44ad-8c2d-2c3a37ce22c3}">
        <chartProps xmlns="https://web.wps.cn/et/2018/main" chartId="{57096cf5-fd19-4ac9-938a-1ac5a3fbefb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94">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styleClr val="auto"/>
    </cs:effectRef>
    <cs:fontRef idx="minor">
      <a:srgbClr val="000000"/>
    </cs:fontRef>
    <cs:spPr>
      <a:ln w="19050">
        <a:solidFill>
          <a:srgbClr val="FFFFFF"/>
        </a:solidFill>
      </a:ln>
    </cs:spPr>
  </cs:dataPoint>
  <cs:dataPoint3D>
    <cs:lnRef idx="0">
      <cs:styleClr val="auto"/>
    </cs:lnRef>
    <cs:fillRef idx="0">
      <cs:styleClr val="auto"/>
    </cs:fillRef>
    <cs:effectRef idx="0"/>
    <cs:fontRef idx="minor">
      <a:srgbClr val="000000"/>
    </cs:fontRef>
    <cs:spPr>
      <a:gradFill>
        <a:gsLst>
          <a:gs pos="0">
            <a:srgbClr val="FFFFFF">
              <a:lumMod val="40000"/>
              <a:lumOff val="60000"/>
            </a:srgbClr>
          </a:gs>
          <a:gs pos="90000">
            <a:srgbClr val="FFFFFF"/>
          </a:gs>
        </a:gsLst>
        <a:lin ang="5400000" scaled="0"/>
      </a:gradFill>
      <a:ln>
        <a:gradFill>
          <a:gsLst>
            <a:gs pos="0">
              <a:srgbClr val="FFFFFF"/>
            </a:gs>
            <a:gs pos="100000">
              <a:srgbClr val="BFBFBF">
                <a:lumMod val="75000"/>
              </a:srgbClr>
            </a:gs>
          </a:gsLst>
          <a:lin ang="5400000" scaled="1"/>
        </a:gradFill>
      </a:ln>
      <a:effectLst>
        <a:outerShdw blurRad="76200" dist="25400" dir="2700000" algn="tl" rotWithShape="0">
          <a:srgbClr val="808080">
            <a:lumMod val="50000"/>
            <a:alpha val="30000"/>
          </a:srgbClr>
        </a:outerShdw>
      </a:effectLst>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DC93B7-F922-48EA-A430-8B705803EB6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2570</Words>
  <Characters>2947</Characters>
  <Lines>392</Lines>
  <Paragraphs>110</Paragraphs>
  <TotalTime>1</TotalTime>
  <ScaleCrop>false</ScaleCrop>
  <LinksUpToDate>false</LinksUpToDate>
  <CharactersWithSpaces>3121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2020-07-14T01:48:00Z</dcterms:created>
  <dc:creator>青柠</dc:creator>
  <cp:lastModifiedBy>蛙蛙</cp:lastModifiedBy>
  <cp:lastPrinted>2024-02-01T10:42:00Z</cp:lastPrinted>
  <dcterms:modified xsi:type="dcterms:W3CDTF">2025-03-19T07:39:03Z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6B251CA3E6BD40AC85FB737FFC43F766_12</vt:lpwstr>
  </property>
  <property fmtid="{D5CDD505-2E9C-101B-9397-08002B2CF9AE}" pid="4" name="KSOTemplateDocerSaveRecord">
    <vt:lpwstr>eyJoZGlkIjoiODhkMDliMzFlMmNjZjIxNzcwOTk0MTRiOTg4NTlmMmMiLCJ1c2VySWQiOiIxMDQ1OTg3NDQ4In0=</vt:lpwstr>
  </property>
</Properties>
</file>