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雷环建〔2020〕14号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8"/>
          <w:szCs w:val="48"/>
          <w:lang w:eastAsia="zh-CN"/>
        </w:rPr>
      </w:pPr>
      <w:r>
        <w:rPr>
          <w:rFonts w:hint="eastAsia" w:ascii="仿宋" w:hAnsi="仿宋" w:eastAsia="仿宋" w:cs="仿宋"/>
          <w:b/>
          <w:bCs/>
          <w:sz w:val="48"/>
          <w:szCs w:val="48"/>
          <w:lang w:val="en-US" w:eastAsia="zh-CN"/>
        </w:rPr>
        <w:t>关于</w:t>
      </w:r>
      <w:r>
        <w:rPr>
          <w:rFonts w:hint="eastAsia" w:ascii="仿宋" w:hAnsi="仿宋" w:eastAsia="仿宋" w:cs="仿宋"/>
          <w:b/>
          <w:bCs/>
          <w:sz w:val="48"/>
          <w:szCs w:val="48"/>
          <w:lang w:eastAsia="zh-CN"/>
        </w:rPr>
        <w:t>雷州市乌石便民加油站</w:t>
      </w:r>
    </w:p>
    <w:p>
      <w:pPr>
        <w:jc w:val="center"/>
        <w:rPr>
          <w:rFonts w:hint="eastAsia" w:ascii="仿宋" w:hAnsi="仿宋" w:eastAsia="仿宋" w:cs="仿宋"/>
          <w:b/>
          <w:bCs/>
          <w:sz w:val="48"/>
          <w:szCs w:val="48"/>
        </w:rPr>
      </w:pPr>
      <w:r>
        <w:rPr>
          <w:rFonts w:hint="eastAsia" w:ascii="仿宋" w:hAnsi="仿宋" w:eastAsia="仿宋" w:cs="仿宋"/>
          <w:b/>
          <w:bCs/>
          <w:sz w:val="48"/>
          <w:szCs w:val="48"/>
          <w:lang w:eastAsia="zh-CN"/>
        </w:rPr>
        <w:t>建设项目</w:t>
      </w:r>
      <w:r>
        <w:rPr>
          <w:rFonts w:hint="eastAsia" w:ascii="仿宋" w:hAnsi="仿宋" w:eastAsia="仿宋" w:cs="仿宋"/>
          <w:b/>
          <w:bCs/>
          <w:color w:val="000000"/>
          <w:kern w:val="0"/>
          <w:sz w:val="48"/>
          <w:szCs w:val="48"/>
        </w:rPr>
        <w:t>环响报告表</w:t>
      </w:r>
      <w:r>
        <w:rPr>
          <w:rFonts w:hint="eastAsia" w:ascii="仿宋" w:hAnsi="仿宋" w:eastAsia="仿宋" w:cs="仿宋"/>
          <w:b/>
          <w:bCs/>
          <w:sz w:val="48"/>
          <w:szCs w:val="48"/>
          <w:lang w:val="en-US" w:eastAsia="zh-CN"/>
        </w:rPr>
        <w:t>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雷州市乌石便民加油站</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你单位报送的《</w:t>
      </w:r>
      <w:r>
        <w:rPr>
          <w:rFonts w:hint="eastAsia" w:ascii="仿宋" w:hAnsi="仿宋" w:eastAsia="仿宋" w:cs="仿宋"/>
          <w:b w:val="0"/>
          <w:bCs w:val="0"/>
          <w:sz w:val="32"/>
          <w:szCs w:val="32"/>
          <w:lang w:eastAsia="zh-CN"/>
        </w:rPr>
        <w:t>雷州市乌石便民加油站建设项目</w:t>
      </w:r>
      <w:r>
        <w:rPr>
          <w:rFonts w:hint="eastAsia" w:ascii="仿宋" w:hAnsi="仿宋" w:eastAsia="仿宋" w:cs="仿宋"/>
          <w:b w:val="0"/>
          <w:bCs w:val="0"/>
          <w:color w:val="000000"/>
          <w:kern w:val="0"/>
          <w:sz w:val="32"/>
          <w:szCs w:val="32"/>
        </w:rPr>
        <w:t>环响报告表</w:t>
      </w:r>
      <w:r>
        <w:rPr>
          <w:rFonts w:hint="eastAsia" w:ascii="仿宋" w:hAnsi="仿宋" w:eastAsia="仿宋" w:cs="仿宋"/>
          <w:b w:val="0"/>
          <w:bCs w:val="0"/>
          <w:sz w:val="32"/>
          <w:szCs w:val="32"/>
          <w:lang w:val="en-US" w:eastAsia="zh-CN"/>
        </w:rPr>
        <w:t xml:space="preserve">》（以下简称“报告表”）及有关材料收悉。我局按照建设项目环境管理有关规定对该项目进行审查，批复如下：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color w:val="000000"/>
          <w:sz w:val="32"/>
          <w:szCs w:val="32"/>
        </w:rPr>
        <w:t>在项目选址符合区域城乡总体规划、土地利用规划、做到污染物稳定达标排放和符合总量控制要求，确保环境安全的前提下，我局原则同意你单位按报告</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 xml:space="preserve">中所列建设项目的性质、规模、地点、工艺和拟采取的环境保护措施要求建设该项目。 </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位于</w:t>
      </w:r>
      <w:r>
        <w:rPr>
          <w:rFonts w:hint="eastAsia" w:ascii="仿宋" w:hAnsi="仿宋" w:eastAsia="仿宋" w:cs="仿宋"/>
          <w:b w:val="0"/>
          <w:bCs w:val="0"/>
          <w:color w:val="000000"/>
          <w:spacing w:val="20"/>
          <w:sz w:val="32"/>
          <w:szCs w:val="32"/>
          <w:lang w:eastAsia="zh-CN"/>
        </w:rPr>
        <w:t>雷州市乌石镇乌金段乌石村路段</w:t>
      </w:r>
      <w:r>
        <w:rPr>
          <w:rFonts w:hint="eastAsia" w:ascii="仿宋" w:hAnsi="仿宋" w:eastAsia="仿宋" w:cs="仿宋"/>
          <w:color w:val="000000"/>
          <w:sz w:val="32"/>
          <w:szCs w:val="32"/>
        </w:rPr>
        <w:t>，占地面积约</w:t>
      </w:r>
      <w:r>
        <w:rPr>
          <w:rFonts w:hint="eastAsia" w:ascii="仿宋" w:hAnsi="仿宋" w:eastAsia="仿宋" w:cs="仿宋"/>
          <w:color w:val="000000"/>
          <w:sz w:val="32"/>
          <w:szCs w:val="32"/>
          <w:lang w:val="en-US" w:eastAsia="zh-CN"/>
        </w:rPr>
        <w:t>1375.7</w:t>
      </w:r>
      <w:r>
        <w:rPr>
          <w:rFonts w:hint="eastAsia" w:ascii="仿宋" w:hAnsi="仿宋" w:eastAsia="仿宋" w:cs="仿宋"/>
          <w:color w:val="000000"/>
          <w:sz w:val="32"/>
          <w:szCs w:val="32"/>
        </w:rPr>
        <w:t>m</w:t>
      </w:r>
      <w:r>
        <w:rPr>
          <w:rFonts w:hint="eastAsia" w:ascii="仿宋" w:hAnsi="仿宋" w:eastAsia="仿宋" w:cs="仿宋"/>
          <w:color w:val="000000"/>
          <w:sz w:val="32"/>
          <w:szCs w:val="32"/>
          <w:vertAlign w:val="superscript"/>
        </w:rPr>
        <w:t>2</w:t>
      </w:r>
      <w:r>
        <w:rPr>
          <w:rFonts w:hint="eastAsia" w:ascii="仿宋" w:hAnsi="仿宋" w:eastAsia="仿宋" w:cs="仿宋"/>
          <w:color w:val="000000"/>
          <w:sz w:val="32"/>
          <w:szCs w:val="32"/>
          <w:lang w:eastAsia="zh-CN"/>
        </w:rPr>
        <w:t>，项目总</w:t>
      </w:r>
      <w:r>
        <w:rPr>
          <w:rFonts w:hint="eastAsia" w:ascii="仿宋" w:hAnsi="仿宋" w:eastAsia="仿宋" w:cs="仿宋"/>
          <w:color w:val="000000"/>
          <w:sz w:val="32"/>
          <w:szCs w:val="32"/>
        </w:rPr>
        <w:t>建筑面积约</w:t>
      </w:r>
      <w:r>
        <w:rPr>
          <w:rFonts w:hint="eastAsia" w:ascii="仿宋" w:hAnsi="仿宋" w:eastAsia="仿宋" w:cs="仿宋"/>
          <w:snapToGrid w:val="0"/>
          <w:color w:val="000000"/>
          <w:sz w:val="32"/>
          <w:szCs w:val="32"/>
          <w:lang w:val="en-US" w:eastAsia="zh-CN"/>
        </w:rPr>
        <w:t>321.17</w:t>
      </w:r>
      <w:r>
        <w:rPr>
          <w:rFonts w:hint="eastAsia" w:ascii="仿宋" w:hAnsi="仿宋" w:eastAsia="仿宋" w:cs="仿宋"/>
          <w:color w:val="000000"/>
          <w:sz w:val="32"/>
          <w:szCs w:val="32"/>
        </w:rPr>
        <w:t>m</w:t>
      </w:r>
      <w:r>
        <w:rPr>
          <w:rFonts w:hint="eastAsia" w:ascii="仿宋" w:hAnsi="仿宋" w:eastAsia="仿宋" w:cs="仿宋"/>
          <w:color w:val="000000"/>
          <w:sz w:val="32"/>
          <w:szCs w:val="32"/>
          <w:vertAlign w:val="superscript"/>
        </w:rPr>
        <w:t>2</w:t>
      </w:r>
      <w:r>
        <w:rPr>
          <w:rFonts w:hint="eastAsia" w:ascii="仿宋" w:hAnsi="仿宋" w:eastAsia="仿宋" w:cs="仿宋"/>
          <w:color w:val="000000"/>
          <w:sz w:val="32"/>
          <w:szCs w:val="32"/>
        </w:rPr>
        <w:t>。建设</w:t>
      </w:r>
      <w:r>
        <w:rPr>
          <w:rFonts w:hint="eastAsia" w:ascii="仿宋" w:hAnsi="仿宋" w:eastAsia="仿宋" w:cs="仿宋"/>
          <w:color w:val="000000"/>
          <w:sz w:val="32"/>
          <w:szCs w:val="32"/>
          <w:lang w:val="en-US" w:eastAsia="zh-CN"/>
        </w:rPr>
        <w:t>主要</w:t>
      </w:r>
      <w:r>
        <w:rPr>
          <w:rFonts w:hint="eastAsia" w:ascii="仿宋" w:hAnsi="仿宋" w:eastAsia="仿宋" w:cs="仿宋"/>
          <w:color w:val="000000"/>
          <w:sz w:val="32"/>
          <w:szCs w:val="32"/>
        </w:rPr>
        <w:t>内容</w:t>
      </w:r>
      <w:r>
        <w:rPr>
          <w:rFonts w:hint="eastAsia" w:ascii="仿宋" w:hAnsi="仿宋" w:eastAsia="仿宋" w:cs="仿宋"/>
          <w:color w:val="000000"/>
          <w:sz w:val="32"/>
          <w:szCs w:val="32"/>
          <w:lang w:val="en-US" w:eastAsia="zh-CN"/>
        </w:rPr>
        <w:t>有：</w:t>
      </w:r>
      <w:r>
        <w:rPr>
          <w:rFonts w:hint="eastAsia" w:ascii="仿宋" w:hAnsi="仿宋" w:eastAsia="仿宋" w:cs="仿宋"/>
          <w:color w:val="000000"/>
          <w:sz w:val="32"/>
          <w:szCs w:val="32"/>
        </w:rPr>
        <w:t>设</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埋地卧式汽油油罐</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埋地卧式柴油油罐</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加油岛</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个，设</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台</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枪，潜泵式加油机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项目总投资</w:t>
      </w:r>
      <w:r>
        <w:rPr>
          <w:rFonts w:hint="eastAsia" w:ascii="仿宋" w:hAnsi="仿宋" w:eastAsia="仿宋" w:cs="仿宋"/>
          <w:color w:val="000000"/>
          <w:sz w:val="32"/>
          <w:szCs w:val="32"/>
          <w:lang w:val="en-US" w:eastAsia="zh-CN"/>
        </w:rPr>
        <w:t>200</w:t>
      </w:r>
      <w:r>
        <w:rPr>
          <w:rFonts w:hint="eastAsia" w:ascii="仿宋" w:hAnsi="仿宋" w:eastAsia="仿宋" w:cs="仿宋"/>
          <w:color w:val="000000"/>
          <w:sz w:val="32"/>
          <w:szCs w:val="32"/>
        </w:rPr>
        <w:t>万元，其中环保投资</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（二）加强废水污染防治。运营期生活污水经三级化粪池处理、站区清洗废水经三级隔油池处理后，达到《农田灌溉水质标准》（GB5084-2005）旱作标准，全部用于周边旱地灌溉。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废气污染防治。汽油罐、加油机须按有关规定配套油气回收装置，减少油气的无组织排放，场界无组织排放非甲烷总烃满足广东省地方标准《大气污染物排放限值》（DB44/27-2001）中第二时段无组织排放监控浓度限值要求；</w:t>
      </w:r>
      <w:r>
        <w:rPr>
          <w:rFonts w:hint="eastAsia" w:ascii="仿宋" w:hAnsi="仿宋" w:eastAsia="仿宋" w:cs="仿宋"/>
          <w:sz w:val="32"/>
          <w:szCs w:val="32"/>
        </w:rPr>
        <w:t>营运期油气处理装置的油气排放浓度≤25mg/m</w:t>
      </w:r>
      <w:r>
        <w:rPr>
          <w:rFonts w:hint="eastAsia" w:ascii="仿宋" w:hAnsi="仿宋" w:eastAsia="仿宋" w:cs="仿宋"/>
          <w:sz w:val="32"/>
          <w:szCs w:val="32"/>
          <w:vertAlign w:val="superscript"/>
        </w:rPr>
        <w:t>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四）加强噪声污染防治。泵机、潜油泵等主要噪声源应选用低噪声型设备，采取消声、减振和隔声等降噪措施，并加强对加油车辆的管理，防止经营噪声对周围环境造成影响。运营期四周场界噪声排放执行《工业企业厂界环境噪声排放标准》（GB12348-2008）2类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bookmarkStart w:id="0" w:name="_GoBack"/>
      <w:bookmarkEnd w:id="0"/>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六）加强环境风险管理，严格落实报告表提出的环境风险防范和应急措施，加强装卸、储存和加油等设施及操作管理，设置事故应急池，防止发生油品泄漏、火灾或爆炸造成环境污染事故，确保环境安全。并按《关 于发布〈突发环境事件应急预案备案行业名录（指导性意见）〉的通知》 （粤环〔2018〕44 号）的要求，编制突发环境事件应急预案并备案。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 2月5 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2795D94"/>
    <w:rsid w:val="0CCD3988"/>
    <w:rsid w:val="116042D6"/>
    <w:rsid w:val="19D02D0B"/>
    <w:rsid w:val="1C417A3E"/>
    <w:rsid w:val="1F69796F"/>
    <w:rsid w:val="2FD01F42"/>
    <w:rsid w:val="30134267"/>
    <w:rsid w:val="3D164409"/>
    <w:rsid w:val="41320406"/>
    <w:rsid w:val="55D16540"/>
    <w:rsid w:val="608F09D3"/>
    <w:rsid w:val="62E719CA"/>
    <w:rsid w:val="66582D8C"/>
    <w:rsid w:val="6A971699"/>
    <w:rsid w:val="77126FDA"/>
    <w:rsid w:val="785A6634"/>
    <w:rsid w:val="79C3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dcterms:modified xsi:type="dcterms:W3CDTF">2020-02-12T03:12:18Z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