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cs="仿宋"/>
          <w:b w:val="0"/>
          <w:bCs/>
          <w:color w:val="000000" w:themeColor="text1"/>
          <w:sz w:val="30"/>
          <w:szCs w:val="30"/>
          <w14:textFill>
            <w14:solidFill>
              <w14:schemeClr w14:val="tx1"/>
            </w14:solidFill>
          </w14:textFill>
        </w:rPr>
      </w:pPr>
    </w:p>
    <w:p>
      <w:pPr>
        <w:spacing w:line="600" w:lineRule="exact"/>
        <w:jc w:val="right"/>
        <w:rPr>
          <w:rFonts w:hint="eastAsia" w:ascii="仿宋" w:hAnsi="仿宋" w:eastAsia="仿宋" w:cs="仿宋"/>
          <w:color w:val="000000" w:themeColor="text1"/>
          <w:sz w:val="30"/>
          <w:szCs w:val="30"/>
          <w14:textFill>
            <w14:solidFill>
              <w14:schemeClr w14:val="tx1"/>
            </w14:solidFill>
          </w14:textFill>
        </w:rPr>
      </w:pPr>
    </w:p>
    <w:p>
      <w:pPr>
        <w:wordWrap w:val="0"/>
        <w:spacing w:line="600" w:lineRule="exact"/>
        <w:jc w:val="right"/>
        <w:rPr>
          <w:rFonts w:hint="eastAsia" w:ascii="仿宋" w:hAnsi="仿宋" w:eastAsia="仿宋" w:cs="仿宋"/>
          <w:b/>
          <w:bCs w:val="0"/>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雷环建〔201</w:t>
      </w:r>
      <w:r>
        <w:rPr>
          <w:rFonts w:hint="eastAsia" w:ascii="仿宋" w:hAnsi="仿宋" w:eastAsia="仿宋" w:cs="仿宋"/>
          <w:color w:val="000000" w:themeColor="text1"/>
          <w:sz w:val="30"/>
          <w:szCs w:val="30"/>
          <w:lang w:val="en-US" w:eastAsia="zh-CN"/>
          <w14:textFill>
            <w14:solidFill>
              <w14:schemeClr w14:val="tx1"/>
            </w14:solidFill>
          </w14:textFill>
        </w:rPr>
        <w:t>9</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26</w:t>
      </w:r>
      <w:r>
        <w:rPr>
          <w:rFonts w:hint="eastAsia" w:ascii="仿宋" w:hAnsi="仿宋" w:eastAsia="仿宋" w:cs="仿宋"/>
          <w:color w:val="000000" w:themeColor="text1"/>
          <w:sz w:val="30"/>
          <w:szCs w:val="30"/>
          <w14:textFill>
            <w14:solidFill>
              <w14:schemeClr w14:val="tx1"/>
            </w14:solidFill>
          </w14:textFill>
        </w:rPr>
        <w:t>号</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p>
    <w:p>
      <w:pPr>
        <w:spacing w:line="560" w:lineRule="exact"/>
        <w:jc w:val="center"/>
        <w:rPr>
          <w:rFonts w:hint="eastAsia" w:ascii="仿宋" w:hAnsi="仿宋" w:eastAsia="仿宋" w:cs="仿宋"/>
          <w:b/>
          <w:bCs w:val="0"/>
          <w:color w:val="000000" w:themeColor="text1"/>
          <w:sz w:val="30"/>
          <w:szCs w:val="30"/>
          <w14:textFill>
            <w14:solidFill>
              <w14:schemeClr w14:val="tx1"/>
            </w14:solidFill>
          </w14:textFill>
        </w:rPr>
      </w:pPr>
    </w:p>
    <w:p>
      <w:pPr>
        <w:spacing w:line="560" w:lineRule="exact"/>
        <w:jc w:val="center"/>
        <w:rPr>
          <w:rFonts w:hint="eastAsia" w:ascii="仿宋" w:hAnsi="仿宋" w:eastAsia="仿宋" w:cs="仿宋"/>
          <w:b/>
          <w:bCs w:val="0"/>
          <w:color w:val="000000" w:themeColor="text1"/>
          <w:sz w:val="44"/>
          <w:szCs w:val="44"/>
          <w:lang w:eastAsia="zh-CN"/>
          <w14:textFill>
            <w14:solidFill>
              <w14:schemeClr w14:val="tx1"/>
            </w14:solidFill>
          </w14:textFill>
        </w:rPr>
      </w:pPr>
      <w:r>
        <w:rPr>
          <w:rFonts w:hint="eastAsia" w:ascii="仿宋" w:hAnsi="仿宋" w:eastAsia="仿宋" w:cs="仿宋"/>
          <w:b/>
          <w:bCs w:val="0"/>
          <w:color w:val="000000" w:themeColor="text1"/>
          <w:sz w:val="44"/>
          <w:szCs w:val="44"/>
          <w14:textFill>
            <w14:solidFill>
              <w14:schemeClr w14:val="tx1"/>
            </w14:solidFill>
          </w14:textFill>
        </w:rPr>
        <w:t>关于</w:t>
      </w:r>
      <w:r>
        <w:rPr>
          <w:rFonts w:hint="eastAsia" w:ascii="仿宋" w:hAnsi="仿宋" w:eastAsia="仿宋" w:cs="仿宋"/>
          <w:b/>
          <w:bCs w:val="0"/>
          <w:color w:val="000000" w:themeColor="text1"/>
          <w:sz w:val="44"/>
          <w:szCs w:val="44"/>
          <w:lang w:eastAsia="zh-CN"/>
          <w14:textFill>
            <w14:solidFill>
              <w14:schemeClr w14:val="tx1"/>
            </w14:solidFill>
          </w14:textFill>
        </w:rPr>
        <w:t>雷州市村级生活污水处理项目</w:t>
      </w:r>
    </w:p>
    <w:p>
      <w:pPr>
        <w:spacing w:line="560" w:lineRule="exact"/>
        <w:jc w:val="center"/>
        <w:rPr>
          <w:rFonts w:hint="eastAsia" w:ascii="仿宋" w:hAnsi="仿宋" w:eastAsia="仿宋" w:cs="仿宋"/>
          <w:b w:val="0"/>
          <w:bCs/>
          <w:color w:val="000000" w:themeColor="text1"/>
          <w:sz w:val="44"/>
          <w:szCs w:val="44"/>
          <w14:textFill>
            <w14:solidFill>
              <w14:schemeClr w14:val="tx1"/>
            </w14:solidFill>
          </w14:textFill>
        </w:rPr>
      </w:pPr>
      <w:r>
        <w:rPr>
          <w:rFonts w:hint="eastAsia" w:ascii="仿宋" w:hAnsi="仿宋" w:eastAsia="仿宋" w:cs="仿宋"/>
          <w:b/>
          <w:bCs w:val="0"/>
          <w:color w:val="000000" w:themeColor="text1"/>
          <w:sz w:val="44"/>
          <w:szCs w:val="44"/>
          <w:lang w:eastAsia="zh-CN"/>
          <w14:textFill>
            <w14:solidFill>
              <w14:schemeClr w14:val="tx1"/>
            </w14:solidFill>
          </w14:textFill>
        </w:rPr>
        <w:t>环境影响报告表环境影响报告表</w:t>
      </w:r>
      <w:r>
        <w:rPr>
          <w:rFonts w:hint="eastAsia" w:ascii="仿宋" w:hAnsi="仿宋" w:eastAsia="仿宋" w:cs="仿宋"/>
          <w:b/>
          <w:bCs w:val="0"/>
          <w:color w:val="000000" w:themeColor="text1"/>
          <w:sz w:val="44"/>
          <w:szCs w:val="44"/>
          <w:lang w:val="zh-CN"/>
          <w14:textFill>
            <w14:solidFill>
              <w14:schemeClr w14:val="tx1"/>
            </w14:solidFill>
          </w14:textFill>
        </w:rPr>
        <w:t>的批复</w:t>
      </w:r>
    </w:p>
    <w:p>
      <w:pPr>
        <w:rPr>
          <w:rFonts w:hint="eastAsia" w:ascii="仿宋" w:hAnsi="仿宋" w:eastAsia="仿宋" w:cs="仿宋"/>
          <w:b w:val="0"/>
          <w:bCs/>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雷州博瑞水务有限公司： </w:t>
      </w:r>
    </w:p>
    <w:p>
      <w:pPr>
        <w:pStyle w:val="11"/>
        <w:keepNext w:val="0"/>
        <w:keepLines w:val="0"/>
        <w:pageBreakBefore w:val="0"/>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你</w:t>
      </w:r>
      <w:r>
        <w:rPr>
          <w:rFonts w:hint="eastAsia" w:ascii="仿宋" w:hAnsi="仿宋" w:eastAsia="仿宋" w:cs="仿宋"/>
          <w:b w:val="0"/>
          <w:bCs w:val="0"/>
          <w:color w:val="000000" w:themeColor="text1"/>
          <w:sz w:val="30"/>
          <w:szCs w:val="30"/>
          <w:lang w:eastAsia="zh-CN"/>
          <w14:textFill>
            <w14:solidFill>
              <w14:schemeClr w14:val="tx1"/>
            </w14:solidFill>
          </w14:textFill>
        </w:rPr>
        <w:t>公司</w:t>
      </w:r>
      <w:r>
        <w:rPr>
          <w:rFonts w:hint="eastAsia" w:ascii="仿宋" w:hAnsi="仿宋" w:eastAsia="仿宋" w:cs="仿宋"/>
          <w:b w:val="0"/>
          <w:bCs w:val="0"/>
          <w:color w:val="000000" w:themeColor="text1"/>
          <w:sz w:val="30"/>
          <w:szCs w:val="30"/>
          <w14:textFill>
            <w14:solidFill>
              <w14:schemeClr w14:val="tx1"/>
            </w14:solidFill>
          </w14:textFill>
        </w:rPr>
        <w:t>报送的《</w:t>
      </w:r>
      <w:r>
        <w:rPr>
          <w:rFonts w:hint="eastAsia" w:ascii="仿宋" w:hAnsi="仿宋" w:eastAsia="仿宋" w:cs="仿宋"/>
          <w:b w:val="0"/>
          <w:bCs w:val="0"/>
          <w:color w:val="000000" w:themeColor="text1"/>
          <w:sz w:val="30"/>
          <w:szCs w:val="30"/>
          <w:lang w:eastAsia="zh-CN"/>
          <w14:textFill>
            <w14:solidFill>
              <w14:schemeClr w14:val="tx1"/>
            </w14:solidFill>
          </w14:textFill>
        </w:rPr>
        <w:t>雷州市村级生活污水处理项目环境影响报告表</w:t>
      </w:r>
      <w:r>
        <w:rPr>
          <w:rFonts w:hint="eastAsia" w:ascii="仿宋" w:hAnsi="仿宋" w:eastAsia="仿宋" w:cs="仿宋"/>
          <w:b w:val="0"/>
          <w:bCs w:val="0"/>
          <w:color w:val="000000" w:themeColor="text1"/>
          <w:sz w:val="30"/>
          <w:szCs w:val="30"/>
          <w14:textFill>
            <w14:solidFill>
              <w14:schemeClr w14:val="tx1"/>
            </w14:solidFill>
          </w14:textFill>
        </w:rPr>
        <w:t>》（以下简称《报告表》）</w:t>
      </w:r>
      <w:r>
        <w:rPr>
          <w:rFonts w:hint="eastAsia" w:ascii="仿宋" w:hAnsi="仿宋" w:eastAsia="仿宋" w:cs="仿宋"/>
          <w:b w:val="0"/>
          <w:bCs w:val="0"/>
          <w:color w:val="000000" w:themeColor="text1"/>
          <w:sz w:val="30"/>
          <w:szCs w:val="30"/>
          <w:lang w:eastAsia="zh-CN"/>
          <w14:textFill>
            <w14:solidFill>
              <w14:schemeClr w14:val="tx1"/>
            </w14:solidFill>
          </w14:textFill>
        </w:rPr>
        <w:t>及有关材料</w:t>
      </w:r>
      <w:r>
        <w:rPr>
          <w:rFonts w:hint="eastAsia" w:ascii="仿宋" w:hAnsi="仿宋" w:eastAsia="仿宋" w:cs="仿宋"/>
          <w:b w:val="0"/>
          <w:bCs w:val="0"/>
          <w:color w:val="000000" w:themeColor="text1"/>
          <w:sz w:val="30"/>
          <w:szCs w:val="30"/>
          <w14:textFill>
            <w14:solidFill>
              <w14:schemeClr w14:val="tx1"/>
            </w14:solidFill>
          </w14:textFill>
        </w:rPr>
        <w:t>收悉，我局按照建设项目环境管理有关规定对该项目进行审查，批复如下： </w:t>
      </w:r>
    </w:p>
    <w:p>
      <w:pPr>
        <w:keepNext w:val="0"/>
        <w:keepLines w:val="0"/>
        <w:pageBreakBefore w:val="0"/>
        <w:numPr>
          <w:ilvl w:val="0"/>
          <w:numId w:val="1"/>
        </w:numPr>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cs="仿宋"/>
          <w:b w:val="0"/>
          <w:bCs w:val="0"/>
          <w:color w:val="000000" w:themeColor="text1"/>
          <w:sz w:val="30"/>
          <w:szCs w:val="30"/>
          <w:lang w:eastAsia="zh-CN"/>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根据《报告表》的综合</w:t>
      </w:r>
      <w:r>
        <w:rPr>
          <w:rFonts w:hint="eastAsia" w:ascii="仿宋" w:hAnsi="仿宋" w:eastAsia="仿宋" w:cs="仿宋"/>
          <w:b w:val="0"/>
          <w:bCs w:val="0"/>
          <w:color w:val="000000" w:themeColor="text1"/>
          <w:sz w:val="30"/>
          <w:szCs w:val="30"/>
          <w:lang w:eastAsia="zh-CN"/>
          <w14:textFill>
            <w14:solidFill>
              <w14:schemeClr w14:val="tx1"/>
            </w14:solidFill>
          </w14:textFill>
        </w:rPr>
        <w:t>结论</w:t>
      </w:r>
      <w:r>
        <w:rPr>
          <w:rFonts w:hint="eastAsia" w:ascii="仿宋" w:hAnsi="仿宋" w:eastAsia="仿宋" w:cs="仿宋"/>
          <w:b w:val="0"/>
          <w:bCs w:val="0"/>
          <w:color w:val="000000" w:themeColor="text1"/>
          <w:sz w:val="30"/>
          <w:szCs w:val="30"/>
          <w14:textFill>
            <w14:solidFill>
              <w14:schemeClr w14:val="tx1"/>
            </w14:solidFill>
          </w14:textFill>
        </w:rPr>
        <w:t>和我局环评审批领导小组意见，在认真落实《报告表》提出的各项环境保护措施和建议的前提下，</w:t>
      </w:r>
      <w:r>
        <w:rPr>
          <w:rFonts w:hint="eastAsia" w:ascii="仿宋" w:hAnsi="仿宋" w:eastAsia="仿宋" w:cs="仿宋"/>
          <w:b w:val="0"/>
          <w:bCs w:val="0"/>
          <w:color w:val="000000" w:themeColor="text1"/>
          <w:sz w:val="30"/>
          <w:szCs w:val="30"/>
          <w:lang w:eastAsia="zh-CN"/>
          <w14:textFill>
            <w14:solidFill>
              <w14:schemeClr w14:val="tx1"/>
            </w14:solidFill>
          </w14:textFill>
        </w:rPr>
        <w:t>仅</w:t>
      </w:r>
      <w:r>
        <w:rPr>
          <w:rFonts w:hint="eastAsia" w:ascii="仿宋" w:hAnsi="仿宋" w:eastAsia="仿宋" w:cs="仿宋"/>
          <w:b w:val="0"/>
          <w:bCs w:val="0"/>
          <w:color w:val="000000" w:themeColor="text1"/>
          <w:sz w:val="30"/>
          <w:szCs w:val="30"/>
          <w14:textFill>
            <w14:solidFill>
              <w14:schemeClr w14:val="tx1"/>
            </w14:solidFill>
          </w14:textFill>
        </w:rPr>
        <w:t>从环境保护角度，我局同意该项目按报告表申报的</w:t>
      </w:r>
      <w:r>
        <w:rPr>
          <w:rFonts w:hint="eastAsia" w:ascii="仿宋" w:hAnsi="仿宋" w:eastAsia="仿宋" w:cs="仿宋"/>
          <w:b w:val="0"/>
          <w:bCs w:val="0"/>
          <w:color w:val="000000" w:themeColor="text1"/>
          <w:sz w:val="30"/>
          <w:szCs w:val="30"/>
          <w:lang w:eastAsia="zh-CN"/>
          <w14:textFill>
            <w14:solidFill>
              <w14:schemeClr w14:val="tx1"/>
            </w14:solidFill>
          </w14:textFill>
        </w:rPr>
        <w:t>项目性质、规模、环境保护措施进行</w:t>
      </w:r>
      <w:r>
        <w:rPr>
          <w:rFonts w:hint="eastAsia" w:ascii="仿宋" w:hAnsi="仿宋" w:eastAsia="仿宋" w:cs="仿宋"/>
          <w:b w:val="0"/>
          <w:bCs w:val="0"/>
          <w:color w:val="000000" w:themeColor="text1"/>
          <w:sz w:val="30"/>
          <w:szCs w:val="30"/>
          <w14:textFill>
            <w14:solidFill>
              <w14:schemeClr w14:val="tx1"/>
            </w14:solidFill>
          </w14:textFill>
        </w:rPr>
        <w:t>建设</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p>
    <w:p>
      <w:pPr>
        <w:pageBreakBefore w:val="0"/>
        <w:kinsoku/>
        <w:wordWrap/>
        <w:overflowPunct/>
        <w:topLinePunct w:val="0"/>
        <w:autoSpaceDE/>
        <w:autoSpaceDN/>
        <w:bidi w:val="0"/>
        <w:adjustRightInd/>
        <w:spacing w:line="50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本项目拟在雷州市南兴镇、松竹镇、纪家镇、企水镇、唐家镇、杨家镇、北和镇、英利镇、龙门镇、调风镇、东里镇、雷高镇、覃斗镇、乌石镇、客路镇、沈塘镇、白沙镇、附城镇等18个镇的农村地区建设污水处理设施，共计1675个站点，服务覆盖1675个自然村</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项目总占地面积605500m</w:t>
      </w:r>
      <w:r>
        <w:rPr>
          <w:rFonts w:hint="eastAsia" w:ascii="仿宋" w:hAnsi="仿宋" w:eastAsia="仿宋" w:cs="仿宋"/>
          <w:b w:val="0"/>
          <w:bCs w:val="0"/>
          <w:sz w:val="30"/>
          <w:szCs w:val="30"/>
          <w:vertAlign w:val="superscript"/>
        </w:rPr>
        <w:t>2</w:t>
      </w:r>
      <w:r>
        <w:rPr>
          <w:rFonts w:hint="eastAsia" w:ascii="仿宋" w:hAnsi="仿宋" w:eastAsia="仿宋" w:cs="仿宋"/>
          <w:b w:val="0"/>
          <w:bCs w:val="0"/>
          <w:sz w:val="30"/>
          <w:szCs w:val="30"/>
        </w:rPr>
        <w:t>，污水总处理规模7.67万m</w:t>
      </w:r>
      <w:r>
        <w:rPr>
          <w:rFonts w:hint="eastAsia" w:ascii="仿宋" w:hAnsi="仿宋" w:eastAsia="仿宋" w:cs="仿宋"/>
          <w:b w:val="0"/>
          <w:bCs w:val="0"/>
          <w:sz w:val="30"/>
          <w:szCs w:val="30"/>
          <w:vertAlign w:val="superscript"/>
        </w:rPr>
        <w:t>3</w:t>
      </w:r>
      <w:r>
        <w:rPr>
          <w:rFonts w:hint="eastAsia" w:ascii="仿宋" w:hAnsi="仿宋" w:eastAsia="仿宋" w:cs="仿宋"/>
          <w:b w:val="0"/>
          <w:bCs w:val="0"/>
          <w:sz w:val="30"/>
          <w:szCs w:val="30"/>
        </w:rPr>
        <w:t>/d（即2799.55万m</w:t>
      </w:r>
      <w:r>
        <w:rPr>
          <w:rFonts w:hint="eastAsia" w:ascii="仿宋" w:hAnsi="仿宋" w:eastAsia="仿宋" w:cs="仿宋"/>
          <w:b w:val="0"/>
          <w:bCs w:val="0"/>
          <w:sz w:val="30"/>
          <w:szCs w:val="30"/>
          <w:vertAlign w:val="superscript"/>
        </w:rPr>
        <w:t>3</w:t>
      </w:r>
      <w:r>
        <w:rPr>
          <w:rFonts w:hint="eastAsia" w:ascii="仿宋" w:hAnsi="仿宋" w:eastAsia="仿宋" w:cs="仿宋"/>
          <w:b w:val="0"/>
          <w:bCs w:val="0"/>
          <w:sz w:val="30"/>
          <w:szCs w:val="30"/>
        </w:rPr>
        <w:t>/a）；并在相应的自然村里配套建设污水收集管网，管网总长1555.07km（主干管总长1088.55km，支管总长466.52km）。项目通过建设污水收集管网和污水处理设施，将1675个村级污水处理站点周边村庄范围内的生活污水收集并处理达标后，排入站点周边的农田灌溉渠，回用于周边农田灌溉，不外排。</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你公司应认真落实《报告表》提出的各项污染防治措施和建议，最大限度地减少对环境的影响，并重点做好以下工作：</w:t>
      </w: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br w:type="textWrapping"/>
      </w: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    （一）施工期间应采取有效措施，防止水土流失；施工废水经隔油隔渣沉淀池处理后回用于洒水等，不得外排；施工场地应采取洒水、遮蔽等措施控制扬尘污染，确保施工废气排放符合《广东省大气污染物排放限值》（DB44/27—2001）第二时段无组织排放监控浓度限值；合理安排施工工序及施工作业时间，采用低噪声设备并采取隔声减噪等措施减小施工噪声对周边环境的影响，确保施工期厂界噪声符合《建筑场界环境噪声排放标准》（GB12523-2011）；及时分类清理施工产生的固体废物，不能回填利用的应及时清运处理，切实维护周边环境。</w:t>
      </w: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br w:type="textWrapping"/>
      </w: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 xml:space="preserve">    </w:t>
      </w:r>
      <w:bookmarkStart w:id="0" w:name="_GoBack"/>
      <w:bookmarkEnd w:id="0"/>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（二）加强管网建设，提高污水收集率并确保污水厂正常运行</w:t>
      </w:r>
      <w:r>
        <w:rPr>
          <w:rFonts w:hint="eastAsia" w:ascii="仿宋" w:hAnsi="仿宋" w:eastAsia="仿宋" w:cs="仿宋"/>
          <w:b w:val="0"/>
          <w:bCs w:val="0"/>
          <w:i w:val="0"/>
          <w:caps w:val="0"/>
          <w:color w:val="000000" w:themeColor="text1"/>
          <w:spacing w:val="0"/>
          <w:sz w:val="30"/>
          <w:szCs w:val="30"/>
          <w:shd w:val="clear" w:fill="FFFFFF"/>
          <w:lang w:eastAsia="zh-CN"/>
          <w14:textFill>
            <w14:solidFill>
              <w14:schemeClr w14:val="tx1"/>
            </w14:solidFill>
          </w14:textFill>
        </w:rPr>
        <w:t>。</w:t>
      </w:r>
      <w:r>
        <w:rPr>
          <w:rFonts w:hint="eastAsia" w:ascii="仿宋" w:hAnsi="仿宋" w:eastAsia="仿宋" w:cs="仿宋"/>
          <w:b w:val="0"/>
          <w:bCs w:val="0"/>
          <w:sz w:val="30"/>
          <w:szCs w:val="30"/>
        </w:rPr>
        <w:t>当项目各村级污水处理站点周边有饮用水水源保护区、基本农田、风景保护区、居民区等环境保护目标时，其出水水质执行《城镇污水处理厂污染物排放标准》（GB18918-2002）及其修改单（环境保护总局公告2006年第21号）一级A标准</w:t>
      </w: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w:t>
      </w:r>
      <w:r>
        <w:rPr>
          <w:rFonts w:hint="eastAsia" w:ascii="仿宋" w:hAnsi="仿宋" w:eastAsia="仿宋" w:cs="仿宋"/>
          <w:b w:val="0"/>
          <w:bCs w:val="0"/>
          <w:sz w:val="30"/>
          <w:szCs w:val="30"/>
        </w:rPr>
        <w:t>当项目各村级污水处理站点周边为林地、农田、草地或水塘等环境状况、没有环境敏感点时，其出水水质执行《城镇污水处理厂污染物排放标准》（GB18918-2002）及其修改单（环境保护总局公告2006年第21号）一级B标准</w:t>
      </w:r>
      <w:r>
        <w:rPr>
          <w:rFonts w:hint="eastAsia" w:ascii="仿宋" w:hAnsi="仿宋" w:eastAsia="仿宋" w:cs="仿宋"/>
          <w:b w:val="0"/>
          <w:bCs w:val="0"/>
          <w:sz w:val="30"/>
          <w:szCs w:val="30"/>
          <w:lang w:eastAsia="zh-CN"/>
        </w:rPr>
        <w:t>。</w:t>
      </w: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br w:type="textWrapping"/>
      </w: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    （三）加强污水处理厂恶臭污染控制，对产生恶臭的设施必须采取有效隔臭除臭措施，并加强绿化建设，提高厂区内绿化覆盖率，减轻恶臭对周围环境影响，确保废气排放符合《城镇污水处理厂污染物排放标准》（GB18918-2002）及其修改单中的二级标准。</w:t>
      </w:r>
    </w:p>
    <w:p>
      <w:pPr>
        <w:pStyle w:val="2"/>
        <w:keepNext/>
        <w:keepLines/>
        <w:pageBreakBefore w:val="0"/>
        <w:widowControl w:val="0"/>
        <w:numPr>
          <w:ilvl w:val="0"/>
          <w:numId w:val="0"/>
        </w:numPr>
        <w:kinsoku/>
        <w:wordWrap/>
        <w:overflowPunct/>
        <w:topLinePunct w:val="0"/>
        <w:autoSpaceDE/>
        <w:autoSpaceDN/>
        <w:bidi w:val="0"/>
        <w:adjustRightInd/>
        <w:snapToGrid/>
        <w:spacing w:before="20" w:after="20" w:line="500" w:lineRule="exact"/>
        <w:ind w:firstLine="600" w:firstLineChars="20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加强污水处理厂噪声污染控制，对产生噪声的设备进行合理布局，并采取有效的隔音消声减振措施，确保厂界噪声符合《工业企业厂界环境噪声排放标准》（GB12348-2008）2类标准。</w:t>
      </w:r>
      <w:r>
        <w:rPr>
          <w:rFonts w:hint="eastAsia" w:ascii="仿宋" w:hAnsi="仿宋" w:eastAsia="仿宋" w:cs="仿宋"/>
          <w:b w:val="0"/>
          <w:bCs w:val="0"/>
          <w:sz w:val="30"/>
          <w:szCs w:val="30"/>
          <w:lang w:val="en-US" w:eastAsia="zh-CN"/>
        </w:rPr>
        <w:br w:type="textWrapping"/>
      </w: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    （五）</w:t>
      </w:r>
      <w:r>
        <w:rPr>
          <w:rFonts w:hint="eastAsia" w:ascii="仿宋" w:hAnsi="仿宋" w:eastAsia="仿宋" w:cs="仿宋"/>
          <w:b w:val="0"/>
          <w:bCs w:val="0"/>
          <w:sz w:val="30"/>
          <w:szCs w:val="30"/>
        </w:rPr>
        <w:t>项目施工期、营运期一般固体废物的管理与处置应符合《中华人民共和国固体废物污染环境防治法》、《广东省固体废物污染环境防治条例》和《一般工业固体废物贮存、处置场污染控制标准》（GB18599-2001，及其2013年修改单”公告2013年第36号”）的有关规定</w:t>
      </w:r>
      <w:r>
        <w:rPr>
          <w:rFonts w:hint="eastAsia" w:ascii="仿宋" w:hAnsi="仿宋" w:eastAsia="仿宋" w:cs="仿宋"/>
          <w:b w:val="0"/>
          <w:bCs w:val="0"/>
          <w:sz w:val="30"/>
          <w:szCs w:val="30"/>
          <w:lang w:eastAsia="zh-CN"/>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textAlignment w:val="auto"/>
        <w:outlineLvl w:val="9"/>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val="en-US" w:eastAsia="zh-CN"/>
          <w14:textFill>
            <w14:solidFill>
              <w14:schemeClr w14:val="tx1"/>
            </w14:solidFill>
          </w14:textFill>
        </w:rPr>
        <w:t>四</w:t>
      </w:r>
      <w:r>
        <w:rPr>
          <w:rFonts w:hint="eastAsia" w:ascii="仿宋" w:hAnsi="仿宋" w:eastAsia="仿宋" w:cs="仿宋"/>
          <w:b w:val="0"/>
          <w:bCs w:val="0"/>
          <w:color w:val="000000" w:themeColor="text1"/>
          <w:sz w:val="30"/>
          <w:szCs w:val="30"/>
          <w:lang w:eastAsia="zh-CN"/>
          <w14:textFill>
            <w14:solidFill>
              <w14:schemeClr w14:val="tx1"/>
            </w14:solidFill>
          </w14:textFill>
        </w:rPr>
        <w:t>、</w:t>
      </w:r>
      <w:r>
        <w:rPr>
          <w:rFonts w:hint="eastAsia" w:ascii="仿宋" w:hAnsi="仿宋" w:eastAsia="仿宋" w:cs="仿宋"/>
          <w:b w:val="0"/>
          <w:bCs w:val="0"/>
          <w:sz w:val="30"/>
          <w:szCs w:val="30"/>
          <w:lang w:val="en-US" w:eastAsia="zh-CN"/>
        </w:rPr>
        <w:t>本批复仅从</w:t>
      </w:r>
      <w:r>
        <w:rPr>
          <w:rFonts w:hint="eastAsia" w:ascii="仿宋" w:hAnsi="仿宋" w:eastAsia="仿宋" w:cs="仿宋"/>
          <w:b w:val="0"/>
          <w:bCs w:val="0"/>
          <w:sz w:val="30"/>
          <w:szCs w:val="30"/>
        </w:rPr>
        <w:t>环境</w:t>
      </w:r>
      <w:r>
        <w:rPr>
          <w:rFonts w:hint="eastAsia" w:ascii="仿宋" w:hAnsi="仿宋" w:eastAsia="仿宋" w:cs="仿宋"/>
          <w:b w:val="0"/>
          <w:bCs w:val="0"/>
          <w:sz w:val="30"/>
          <w:szCs w:val="30"/>
          <w:lang w:eastAsia="zh-CN"/>
        </w:rPr>
        <w:t>保护</w:t>
      </w:r>
      <w:r>
        <w:rPr>
          <w:rFonts w:hint="eastAsia" w:ascii="仿宋" w:hAnsi="仿宋" w:eastAsia="仿宋" w:cs="仿宋"/>
          <w:b w:val="0"/>
          <w:bCs w:val="0"/>
          <w:sz w:val="30"/>
          <w:szCs w:val="30"/>
        </w:rPr>
        <w:t>角度分析</w:t>
      </w:r>
      <w:r>
        <w:rPr>
          <w:rFonts w:hint="eastAsia" w:ascii="仿宋" w:hAnsi="仿宋" w:eastAsia="仿宋" w:cs="仿宋"/>
          <w:b w:val="0"/>
          <w:bCs w:val="0"/>
          <w:sz w:val="30"/>
          <w:szCs w:val="30"/>
          <w:lang w:eastAsia="zh-CN"/>
        </w:rPr>
        <w:t>同意你单位在该地点建设项目，该项目须依法报</w:t>
      </w:r>
      <w:r>
        <w:rPr>
          <w:rFonts w:hint="eastAsia" w:ascii="仿宋" w:hAnsi="仿宋" w:eastAsia="仿宋" w:cs="仿宋"/>
          <w:b w:val="0"/>
          <w:bCs w:val="0"/>
          <w:sz w:val="30"/>
          <w:szCs w:val="30"/>
          <w:lang w:val="en-US" w:eastAsia="zh-CN"/>
        </w:rPr>
        <w:t>相关</w:t>
      </w:r>
      <w:r>
        <w:rPr>
          <w:rFonts w:hint="eastAsia" w:ascii="仿宋" w:hAnsi="仿宋" w:eastAsia="仿宋" w:cs="仿宋"/>
          <w:b w:val="0"/>
          <w:bCs w:val="0"/>
          <w:sz w:val="30"/>
          <w:szCs w:val="30"/>
          <w:lang w:eastAsia="zh-CN"/>
        </w:rPr>
        <w:t>行政主管部门审批同意后方可动工建设</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项目建设必须严格执行配套的环境保护设施与主体工程同时设计、同时施工、同时投产使用的环境保护“三同时”制度，项目竣工后，建设单位须按规定程序</w:t>
      </w:r>
      <w:r>
        <w:rPr>
          <w:rFonts w:hint="eastAsia" w:ascii="仿宋" w:hAnsi="仿宋" w:eastAsia="仿宋" w:cs="仿宋"/>
          <w:b w:val="0"/>
          <w:bCs w:val="0"/>
          <w:sz w:val="30"/>
          <w:szCs w:val="30"/>
          <w:lang w:eastAsia="zh-CN"/>
        </w:rPr>
        <w:t>实施</w:t>
      </w:r>
      <w:r>
        <w:rPr>
          <w:rFonts w:hint="eastAsia" w:ascii="仿宋" w:hAnsi="仿宋" w:eastAsia="仿宋" w:cs="仿宋"/>
          <w:b w:val="0"/>
          <w:bCs w:val="0"/>
          <w:sz w:val="30"/>
          <w:szCs w:val="30"/>
        </w:rPr>
        <w:t>项目竣工环境保护验收，验收合格后方可正式投入使用。</w:t>
      </w:r>
    </w:p>
    <w:p>
      <w:pPr>
        <w:spacing w:line="600" w:lineRule="exact"/>
        <w:jc w:val="both"/>
        <w:rPr>
          <w:rFonts w:hint="eastAsia" w:ascii="仿宋" w:hAnsi="仿宋" w:eastAsia="仿宋" w:cs="仿宋"/>
          <w:b w:val="0"/>
          <w:bCs/>
          <w:color w:val="000000" w:themeColor="text1"/>
          <w:sz w:val="30"/>
          <w:szCs w:val="30"/>
          <w:lang w:val="en-US"/>
          <w14:textFill>
            <w14:solidFill>
              <w14:schemeClr w14:val="tx1"/>
            </w14:solidFill>
          </w14:textFill>
        </w:rPr>
      </w:pPr>
      <w:r>
        <w:rPr>
          <w:rFonts w:hint="eastAsia" w:ascii="仿宋" w:hAnsi="仿宋" w:eastAsia="仿宋" w:cs="仿宋"/>
          <w:b w:val="0"/>
          <w:bCs/>
          <w:color w:val="000000" w:themeColor="text1"/>
          <w:sz w:val="30"/>
          <w:szCs w:val="30"/>
          <w14:textFill>
            <w14:solidFill>
              <w14:schemeClr w14:val="tx1"/>
            </w14:solidFill>
          </w14:textFill>
        </w:rPr>
        <w:t>　　</w:t>
      </w:r>
      <w:r>
        <w:rPr>
          <w:rFonts w:hint="eastAsia" w:ascii="仿宋" w:hAnsi="仿宋" w:eastAsia="仿宋" w:cs="仿宋"/>
          <w:b w:val="0"/>
          <w:bCs/>
          <w:color w:val="000000" w:themeColor="text1"/>
          <w:sz w:val="30"/>
          <w:szCs w:val="30"/>
          <w:lang w:val="en-US"/>
          <w14:textFill>
            <w14:solidFill>
              <w14:schemeClr w14:val="tx1"/>
            </w14:solidFill>
          </w14:textFill>
        </w:rPr>
        <w:t> </w:t>
      </w:r>
    </w:p>
    <w:p>
      <w:pPr>
        <w:spacing w:line="600" w:lineRule="exact"/>
        <w:ind w:firstLine="600" w:firstLineChars="200"/>
        <w:jc w:val="right"/>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 w:val="0"/>
          <w:bCs/>
          <w:color w:val="000000" w:themeColor="text1"/>
          <w:sz w:val="30"/>
          <w:szCs w:val="30"/>
          <w14:textFill>
            <w14:solidFill>
              <w14:schemeClr w14:val="tx1"/>
            </w14:solidFill>
          </w14:textFill>
        </w:rPr>
        <w:t> </w:t>
      </w:r>
      <w:r>
        <w:rPr>
          <w:rFonts w:hint="eastAsia" w:ascii="仿宋" w:hAnsi="仿宋" w:eastAsia="仿宋" w:cs="仿宋"/>
          <w:bCs/>
          <w:color w:val="000000" w:themeColor="text1"/>
          <w:sz w:val="30"/>
          <w:szCs w:val="30"/>
          <w14:textFill>
            <w14:solidFill>
              <w14:schemeClr w14:val="tx1"/>
            </w14:solidFill>
          </w14:textFill>
        </w:rPr>
        <w:t>201</w:t>
      </w:r>
      <w:r>
        <w:rPr>
          <w:rFonts w:hint="eastAsia" w:ascii="仿宋" w:hAnsi="仿宋" w:eastAsia="仿宋" w:cs="仿宋"/>
          <w:bCs/>
          <w:color w:val="000000" w:themeColor="text1"/>
          <w:sz w:val="30"/>
          <w:szCs w:val="30"/>
          <w:lang w:val="en-US" w:eastAsia="zh-CN"/>
          <w14:textFill>
            <w14:solidFill>
              <w14:schemeClr w14:val="tx1"/>
            </w14:solidFill>
          </w14:textFill>
        </w:rPr>
        <w:t>9</w:t>
      </w:r>
      <w:r>
        <w:rPr>
          <w:rFonts w:hint="eastAsia" w:ascii="仿宋" w:hAnsi="仿宋" w:eastAsia="仿宋" w:cs="仿宋"/>
          <w:bCs/>
          <w:color w:val="000000" w:themeColor="text1"/>
          <w:sz w:val="30"/>
          <w:szCs w:val="30"/>
          <w14:textFill>
            <w14:solidFill>
              <w14:schemeClr w14:val="tx1"/>
            </w14:solidFill>
          </w14:textFill>
        </w:rPr>
        <w:t>年</w:t>
      </w:r>
      <w:r>
        <w:rPr>
          <w:rFonts w:hint="eastAsia" w:ascii="仿宋" w:hAnsi="仿宋" w:eastAsia="仿宋" w:cs="仿宋"/>
          <w:bCs/>
          <w:color w:val="000000" w:themeColor="text1"/>
          <w:sz w:val="30"/>
          <w:szCs w:val="30"/>
          <w:lang w:val="en-US" w:eastAsia="zh-CN"/>
          <w14:textFill>
            <w14:solidFill>
              <w14:schemeClr w14:val="tx1"/>
            </w14:solidFill>
          </w14:textFill>
        </w:rPr>
        <w:t>10</w:t>
      </w:r>
      <w:r>
        <w:rPr>
          <w:rFonts w:hint="eastAsia" w:ascii="仿宋" w:hAnsi="仿宋" w:eastAsia="仿宋" w:cs="仿宋"/>
          <w:bCs/>
          <w:color w:val="000000" w:themeColor="text1"/>
          <w:sz w:val="30"/>
          <w:szCs w:val="30"/>
          <w14:textFill>
            <w14:solidFill>
              <w14:schemeClr w14:val="tx1"/>
            </w14:solidFill>
          </w14:textFill>
        </w:rPr>
        <w:t>月</w:t>
      </w:r>
      <w:r>
        <w:rPr>
          <w:rFonts w:hint="eastAsia" w:ascii="仿宋" w:hAnsi="仿宋" w:eastAsia="仿宋" w:cs="仿宋"/>
          <w:bCs/>
          <w:color w:val="000000" w:themeColor="text1"/>
          <w:sz w:val="30"/>
          <w:szCs w:val="30"/>
          <w:lang w:val="en-US" w:eastAsia="zh-CN"/>
          <w14:textFill>
            <w14:solidFill>
              <w14:schemeClr w14:val="tx1"/>
            </w14:solidFill>
          </w14:textFill>
        </w:rPr>
        <w:t>12</w:t>
      </w:r>
      <w:r>
        <w:rPr>
          <w:rFonts w:hint="eastAsia" w:ascii="仿宋" w:hAnsi="仿宋" w:eastAsia="仿宋" w:cs="仿宋"/>
          <w:bCs/>
          <w:color w:val="000000" w:themeColor="text1"/>
          <w:sz w:val="30"/>
          <w:szCs w:val="30"/>
          <w14:textFill>
            <w14:solidFill>
              <w14:schemeClr w14:val="tx1"/>
            </w14:solidFill>
          </w14:textFill>
        </w:rPr>
        <w:t>日</w:t>
      </w:r>
    </w:p>
    <w:p>
      <w:pPr>
        <w:rPr>
          <w:rFonts w:hint="eastAsia" w:ascii="仿宋" w:hAnsi="仿宋" w:eastAsia="仿宋" w:cs="仿宋"/>
          <w:b w:val="0"/>
          <w:bCs/>
          <w:color w:val="000000" w:themeColor="text1"/>
          <w:sz w:val="30"/>
          <w:szCs w:val="30"/>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0CA74"/>
    <w:multiLevelType w:val="singleLevel"/>
    <w:tmpl w:val="6140CA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42971"/>
    <w:rsid w:val="00C71EF9"/>
    <w:rsid w:val="02B03E3C"/>
    <w:rsid w:val="052E1CA3"/>
    <w:rsid w:val="073564DA"/>
    <w:rsid w:val="0FBB2F50"/>
    <w:rsid w:val="13A15D6E"/>
    <w:rsid w:val="16496F1D"/>
    <w:rsid w:val="1A8E1219"/>
    <w:rsid w:val="1AE01E57"/>
    <w:rsid w:val="1F6552C0"/>
    <w:rsid w:val="24720665"/>
    <w:rsid w:val="2A5672C0"/>
    <w:rsid w:val="2C161C76"/>
    <w:rsid w:val="2D8943C0"/>
    <w:rsid w:val="2F715C38"/>
    <w:rsid w:val="31DD78DE"/>
    <w:rsid w:val="331561A3"/>
    <w:rsid w:val="332C434A"/>
    <w:rsid w:val="33A30970"/>
    <w:rsid w:val="3BB82DF5"/>
    <w:rsid w:val="475305C3"/>
    <w:rsid w:val="48F40AF4"/>
    <w:rsid w:val="4905010A"/>
    <w:rsid w:val="4D311B88"/>
    <w:rsid w:val="4EFA7155"/>
    <w:rsid w:val="4F512D07"/>
    <w:rsid w:val="501C6FD4"/>
    <w:rsid w:val="522A3541"/>
    <w:rsid w:val="531B6F67"/>
    <w:rsid w:val="56FC54DD"/>
    <w:rsid w:val="61DE7554"/>
    <w:rsid w:val="64B65258"/>
    <w:rsid w:val="65C3287D"/>
    <w:rsid w:val="6BAD2C66"/>
    <w:rsid w:val="6D0C199F"/>
    <w:rsid w:val="6FE47F59"/>
    <w:rsid w:val="75542971"/>
    <w:rsid w:val="757C79A0"/>
    <w:rsid w:val="7B314BFF"/>
    <w:rsid w:val="7E9E6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样式 标题 2 + 宋体"/>
    <w:basedOn w:val="3"/>
    <w:qFormat/>
    <w:uiPriority w:val="0"/>
    <w:pPr>
      <w:spacing w:line="240" w:lineRule="auto"/>
    </w:pPr>
    <w:rPr>
      <w:rFonts w:ascii="宋体" w:hAnsi="宋体" w:eastAsia="宋体"/>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18"/>
      <w:szCs w:val="18"/>
      <w:lang w:val="en-US" w:eastAsia="zh-CN" w:bidi="ar"/>
    </w:rPr>
  </w:style>
  <w:style w:type="character" w:styleId="9">
    <w:name w:val="FollowedHyperlink"/>
    <w:basedOn w:val="8"/>
    <w:qFormat/>
    <w:uiPriority w:val="0"/>
    <w:rPr>
      <w:color w:val="000000"/>
      <w:u w:val="none"/>
    </w:rPr>
  </w:style>
  <w:style w:type="character" w:styleId="10">
    <w:name w:val="Hyperlink"/>
    <w:basedOn w:val="8"/>
    <w:qFormat/>
    <w:uiPriority w:val="0"/>
    <w:rPr>
      <w:color w:val="000000"/>
      <w:u w:val="none"/>
    </w:rPr>
  </w:style>
  <w:style w:type="paragraph" w:customStyle="1" w:styleId="11">
    <w:name w:val="p0"/>
    <w:basedOn w:val="1"/>
    <w:qFormat/>
    <w:uiPriority w:val="0"/>
    <w:pPr>
      <w:widowControl/>
      <w:jc w:val="left"/>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2018-02-24T03:15:00Z</dcterms:created>
  <dc:creator>Administrator</dc:creator>
  <cp:lastModifiedBy>天蓝水清</cp:lastModifiedBy>
  <cp:lastPrinted>2019-04-24T02:12:00Z</cp:lastPrinted>
  <dcterms:modified xsi:type="dcterms:W3CDTF">2019-10-11T02:17:53Z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