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600" w:lineRule="exact"/>
        <w:jc w:val="right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雷环建〔201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广东省雷州市污水处理厂一期</w:t>
      </w:r>
    </w:p>
    <w:p>
      <w:pPr>
        <w:spacing w:line="560" w:lineRule="exact"/>
        <w:jc w:val="center"/>
        <w:rPr>
          <w:rFonts w:hint="eastAsia" w:ascii="仿宋" w:hAnsi="仿宋" w:eastAsia="仿宋" w:cs="仿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提标改造工程环境影响报告表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的批复</w:t>
      </w:r>
    </w:p>
    <w:p>
      <w:pP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雷州市广业环保有限公司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 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广东省雷州市污水处理厂一期提标改造工程环境影响报告表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（以下简称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及有关材料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收悉，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经研究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，批复如下： 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一、根据报告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结论和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局审批领导小组意见，在做到污染物稳定达标排放和符合总量控制要求，确保环境安全的前提下，我局原则同意你单位按报告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中所列建设项目的性质、规模、地点、工艺和拟采取的环境保护措施要求建设该项目。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numPr>
          <w:ilvl w:val="0"/>
          <w:numId w:val="0"/>
        </w:numPr>
        <w:spacing w:line="596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本项目对已建的一期工程进行提标改造，</w:t>
      </w:r>
      <w:r>
        <w:rPr>
          <w:rFonts w:hint="eastAsia" w:eastAsia="仿宋_GB2312"/>
          <w:sz w:val="32"/>
          <w:szCs w:val="32"/>
        </w:rPr>
        <w:t>使尾水排放</w:t>
      </w:r>
      <w:r>
        <w:rPr>
          <w:rFonts w:hint="eastAsia" w:eastAsia="仿宋_GB2312"/>
          <w:sz w:val="32"/>
          <w:szCs w:val="32"/>
          <w:lang w:val="en-US" w:eastAsia="zh-CN"/>
        </w:rPr>
        <w:t>达到</w:t>
      </w:r>
      <w:r>
        <w:rPr>
          <w:rFonts w:hint="eastAsia" w:eastAsia="仿宋_GB2312"/>
          <w:sz w:val="32"/>
          <w:szCs w:val="32"/>
        </w:rPr>
        <w:t>《城镇污水处理厂污染物排放标准》（GB18918-2002）一级A排放标准及广东省地方标准《水污染物排放限值》（DB44/26-2001）第二时段一级标准的较严值要求。</w:t>
      </w:r>
      <w:r>
        <w:rPr>
          <w:rFonts w:hint="eastAsia" w:ascii="仿宋" w:hAnsi="仿宋" w:eastAsia="仿宋" w:cs="仿宋"/>
          <w:sz w:val="32"/>
          <w:szCs w:val="32"/>
        </w:rPr>
        <w:t>提标改造工程位于广东省雷州市污水处理厂预留用地范围内南侧，不新增用地，污水处理量维持2万m³/d不变。拟在现有工程的基础上，将原一期的A/A/O微曝氧化沟改造为A/A/O微曝氧化沟-MBBR，新增中间提升泵站一座、反硝化深床滤池一座、变电所一座、加药间一座、改造风机房一座，消毒出水计量池一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2352.42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环保投资</w:t>
      </w:r>
      <w:r>
        <w:rPr>
          <w:rFonts w:hint="eastAsia" w:ascii="仿宋" w:hAnsi="仿宋" w:eastAsia="仿宋" w:cs="仿宋"/>
          <w:bCs/>
          <w:sz w:val="32"/>
          <w:szCs w:val="32"/>
        </w:rPr>
        <w:t>2288.67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二、你公司应认真落实报告表提出的各项污染防治措施和建议，最大限度地减少对环境的影响，并重点做好以下工作：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   （一）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强施工期管理，制定严格的管理制度，确保各项环保措施落实到位。选用低噪声施工机械、合理安排各类施工机械工作时间，确保施工场界噪声达到《建设施工场界环境噪声排放标准》（GB12523-2011）要求；有效控制施工扬尘，妥善处置施工弃土、弃渣和固体废弃物，防止施工废水、扬尘、固废、噪声等污染环境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（二）加强污水处理厂运行管理，确保尾水稳定达标排放。</w:t>
      </w:r>
      <w:r>
        <w:rPr>
          <w:rFonts w:hint="eastAsia" w:eastAsia="仿宋_GB2312"/>
          <w:sz w:val="32"/>
          <w:szCs w:val="32"/>
        </w:rPr>
        <w:t>尾水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执行《城镇污水处理厂污染物排放标准》（GB18918-2002）一级A排放标准及广东省地方标准《水污染物排放限值》（DB44/26-2001）第二时段一级标准的较严值</w:t>
      </w:r>
      <w:r>
        <w:rPr>
          <w:rFonts w:eastAsia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加强污水处理厂恶臭污染控制，对产生恶臭的设施必须采取有效隔臭除臭措施，并加强绿化建设，提高厂区内绿化覆盖率，减轻恶臭对周围环境影响，确保废气排放符合《城镇污水处理厂污染物排放标准》（GB18918-2002）及其修改单中的二级标准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   （四）加强污水处理厂噪声污染控制，对产生噪声的设备进行合理布局，并采取有效的隔音消声减振措施，确保厂界噪声符合《工业企业厂界环境噪声排放标准》（GB12348-2008）2类标准。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   （五）污泥应单独收贮和储存，污泥临时堆放场应采取防泄漏、防渗、防雨等措施，确保污泥贮存符合《一般工业固体固体废物贮存、处置场污染控制标准》(GB18599-2001)及2013年修改单要求。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（六）进一步完善环境风险应急预案，落实风险防范措施，确保环境安全。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本批复仅从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环境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保护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角度分析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同意你单位在该地点建设项目，该项目开工建设及运营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须按有关规定取得其他相关部门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同意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项目建设必须严格执行配套的环境保护设施与主体工程同时设计、同时施工、同时投产使用的环境保护“三同时”制度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项目竣工后, 建设单位须按规定程序实施项目竣工环境保护验收，验收合格后方可正式投入生产。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 </w:t>
      </w: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13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596" w:lineRule="exact"/>
        <w:ind w:firstLine="0" w:firstLineChars="0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32"/>
          <w:szCs w:val="32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42971"/>
    <w:rsid w:val="00C71EF9"/>
    <w:rsid w:val="02B03E3C"/>
    <w:rsid w:val="052E1CA3"/>
    <w:rsid w:val="073564DA"/>
    <w:rsid w:val="0B7E3507"/>
    <w:rsid w:val="0F9F7AA8"/>
    <w:rsid w:val="0FBB2F50"/>
    <w:rsid w:val="140C139A"/>
    <w:rsid w:val="16496F1D"/>
    <w:rsid w:val="1A8E1219"/>
    <w:rsid w:val="1AE01E57"/>
    <w:rsid w:val="1F6552C0"/>
    <w:rsid w:val="24720665"/>
    <w:rsid w:val="2A5672C0"/>
    <w:rsid w:val="2D8943C0"/>
    <w:rsid w:val="2F715C38"/>
    <w:rsid w:val="31DD78DE"/>
    <w:rsid w:val="331561A3"/>
    <w:rsid w:val="332C434A"/>
    <w:rsid w:val="33A30970"/>
    <w:rsid w:val="3BB82DF5"/>
    <w:rsid w:val="475305C3"/>
    <w:rsid w:val="476A3527"/>
    <w:rsid w:val="4D311B88"/>
    <w:rsid w:val="4EFA7155"/>
    <w:rsid w:val="4F512D07"/>
    <w:rsid w:val="501C6FD4"/>
    <w:rsid w:val="51DD1065"/>
    <w:rsid w:val="522A3541"/>
    <w:rsid w:val="531B6F67"/>
    <w:rsid w:val="61C3608D"/>
    <w:rsid w:val="61DE7554"/>
    <w:rsid w:val="64B65258"/>
    <w:rsid w:val="65C3287D"/>
    <w:rsid w:val="68AD109E"/>
    <w:rsid w:val="6BAD2C66"/>
    <w:rsid w:val="6D0C199F"/>
    <w:rsid w:val="6FE47F59"/>
    <w:rsid w:val="75542971"/>
    <w:rsid w:val="757C79A0"/>
    <w:rsid w:val="75B87B43"/>
    <w:rsid w:val="7B314BFF"/>
    <w:rsid w:val="7E9E690A"/>
    <w:rsid w:val="7F2F6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20" w:after="120"/>
      <w:ind w:firstLine="420" w:firstLineChars="200"/>
    </w:pPr>
  </w:style>
  <w:style w:type="paragraph" w:styleId="3">
    <w:name w:val="Body Text Indent"/>
    <w:basedOn w:val="1"/>
    <w:uiPriority w:val="0"/>
    <w:pPr>
      <w:spacing w:line="500" w:lineRule="exact"/>
      <w:ind w:firstLine="1120" w:firstLineChars="400"/>
    </w:pPr>
    <w:rPr>
      <w:rFonts w:ascii="黑体" w:eastAsia="黑体"/>
      <w:sz w:val="28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11">
    <w:name w:val="FollowedHyperlink"/>
    <w:basedOn w:val="10"/>
    <w:qFormat/>
    <w:uiPriority w:val="0"/>
    <w:rPr>
      <w:color w:val="000000"/>
      <w:u w:val="none"/>
    </w:rPr>
  </w:style>
  <w:style w:type="character" w:styleId="12">
    <w:name w:val="Hyperlink"/>
    <w:basedOn w:val="10"/>
    <w:qFormat/>
    <w:uiPriority w:val="0"/>
    <w:rPr>
      <w:color w:val="000000"/>
      <w:u w:val="none"/>
    </w:rPr>
  </w:style>
  <w:style w:type="paragraph" w:customStyle="1" w:styleId="13">
    <w:name w:val="样式 标题 2 + 宋体"/>
    <w:basedOn w:val="4"/>
    <w:qFormat/>
    <w:uiPriority w:val="0"/>
    <w:pPr>
      <w:spacing w:line="240" w:lineRule="auto"/>
    </w:pPr>
    <w:rPr>
      <w:rFonts w:ascii="宋体" w:hAnsi="宋体" w:eastAsia="宋体"/>
      <w:sz w:val="30"/>
    </w:rPr>
  </w:style>
  <w:style w:type="paragraph" w:customStyle="1" w:styleId="14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2018-02-24T03:15:00Z</dcterms:created>
  <dc:creator>Administrator</dc:creator>
  <cp:lastModifiedBy>天蓝水清</cp:lastModifiedBy>
  <cp:lastPrinted>2019-04-24T02:12:00Z</cp:lastPrinted>
  <dcterms:modified xsi:type="dcterms:W3CDTF">2019-10-24T07:45:15Z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