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39</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雷州市镇区生活污水处理PPP项目调风镇镇区生活污水处理项目环境影响报告</w:t>
      </w:r>
      <w:r>
        <w:rPr>
          <w:rFonts w:hint="eastAsia" w:ascii="仿宋" w:hAnsi="仿宋" w:eastAsia="仿宋" w:cs="仿宋"/>
          <w:b/>
          <w:bCs w:val="0"/>
          <w:color w:val="000000" w:themeColor="text1"/>
          <w:sz w:val="36"/>
          <w:szCs w:val="36"/>
          <w:lang w:val="en-US" w:eastAsia="zh-CN"/>
          <w14:textFill>
            <w14:solidFill>
              <w14:schemeClr w14:val="tx1"/>
            </w14:solidFill>
          </w14:textFill>
        </w:rPr>
        <w:t>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雷州市镇区生活污水处理PPP项目调风镇镇区生活污水处理项目环境影响报告表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800" w:firstLineChars="25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w:t>
      </w:r>
      <w:r>
        <w:rPr>
          <w:rFonts w:hint="eastAsia" w:ascii="仿宋" w:hAnsi="仿宋" w:eastAsia="仿宋" w:cs="仿宋"/>
          <w:sz w:val="32"/>
          <w:szCs w:val="32"/>
          <w:lang w:eastAsia="zh-CN"/>
        </w:rPr>
        <w:t>调风镇西南侧</w:t>
      </w:r>
      <w:r>
        <w:rPr>
          <w:rFonts w:hint="eastAsia" w:ascii="仿宋" w:hAnsi="仿宋" w:eastAsia="仿宋" w:cs="仿宋"/>
          <w:sz w:val="32"/>
          <w:szCs w:val="32"/>
          <w:lang w:val="en-US" w:eastAsia="zh-CN"/>
        </w:rPr>
        <w:t>，污水处理厂地块中心位置地理坐标E110.256120°、N20.677815°。项目总投资3059.59万元，占地面积为6500m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，设计污水处理规模为3000m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/d。工程服务范围为调风镇镇区生活污水。主要建设内容为建设镇区污水管网和污水处理厂，</w:t>
      </w:r>
      <w:r>
        <w:rPr>
          <w:rFonts w:hint="eastAsia" w:ascii="仿宋" w:hAnsi="仿宋" w:eastAsia="仿宋" w:cs="仿宋"/>
          <w:sz w:val="32"/>
          <w:szCs w:val="32"/>
          <w:lang w:val="zh-CN" w:bidi="zh-CN"/>
        </w:rPr>
        <w:t>配套污水管网总长20.495km，其中重力污水干管6.445km，重力污水支管14.05km，压力污水管道0.2km。</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A1F18FE"/>
    <w:rsid w:val="0FBB2F50"/>
    <w:rsid w:val="1A8E1219"/>
    <w:rsid w:val="1B4023BA"/>
    <w:rsid w:val="1F6552C0"/>
    <w:rsid w:val="24720665"/>
    <w:rsid w:val="2A5672C0"/>
    <w:rsid w:val="2B420828"/>
    <w:rsid w:val="2D8943C0"/>
    <w:rsid w:val="2F715C38"/>
    <w:rsid w:val="31DD78DE"/>
    <w:rsid w:val="34064D88"/>
    <w:rsid w:val="38EB6A43"/>
    <w:rsid w:val="3BB82DF5"/>
    <w:rsid w:val="40401A6B"/>
    <w:rsid w:val="42BF0CC3"/>
    <w:rsid w:val="475305C3"/>
    <w:rsid w:val="4D311B88"/>
    <w:rsid w:val="4EFA7155"/>
    <w:rsid w:val="4F512D07"/>
    <w:rsid w:val="501C6FD4"/>
    <w:rsid w:val="522A3541"/>
    <w:rsid w:val="531B6F67"/>
    <w:rsid w:val="58AB518D"/>
    <w:rsid w:val="604F2816"/>
    <w:rsid w:val="61DE7554"/>
    <w:rsid w:val="64B65258"/>
    <w:rsid w:val="65C3287D"/>
    <w:rsid w:val="675250B4"/>
    <w:rsid w:val="6C391C9B"/>
    <w:rsid w:val="6D0C199F"/>
    <w:rsid w:val="6FE47F59"/>
    <w:rsid w:val="74274A07"/>
    <w:rsid w:val="75542971"/>
    <w:rsid w:val="757C79A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