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sz w:val="32"/>
          <w:szCs w:val="32"/>
          <w:lang w:val="en-US" w:eastAsia="zh-CN"/>
        </w:rPr>
      </w:pPr>
    </w:p>
    <w:p>
      <w:pPr>
        <w:jc w:val="right"/>
        <w:rPr>
          <w:b/>
          <w:bCs/>
          <w:sz w:val="32"/>
          <w:szCs w:val="32"/>
          <w:lang w:val="en-US" w:eastAsia="zh-CN"/>
        </w:rPr>
      </w:pPr>
    </w:p>
    <w:p>
      <w:pPr>
        <w:jc w:val="right"/>
        <w:rPr>
          <w:rFonts w:hint="eastAsia" w:ascii="仿宋" w:hAnsi="仿宋" w:eastAsia="仿宋" w:cs="仿宋"/>
          <w:sz w:val="32"/>
          <w:szCs w:val="32"/>
        </w:rPr>
      </w:pPr>
      <w:r>
        <w:rPr>
          <w:rFonts w:hint="eastAsia" w:ascii="仿宋" w:hAnsi="仿宋" w:eastAsia="仿宋" w:cs="仿宋"/>
          <w:sz w:val="32"/>
          <w:szCs w:val="32"/>
          <w:lang w:val="en-US" w:eastAsia="zh-CN"/>
        </w:rPr>
        <w:t xml:space="preserve">雷环建〔2019〕47 号 </w:t>
      </w:r>
    </w:p>
    <w:p>
      <w:pPr>
        <w:jc w:val="center"/>
        <w:rPr>
          <w:rFonts w:hint="eastAsia" w:ascii="仿宋" w:hAnsi="仿宋" w:eastAsia="仿宋" w:cs="仿宋"/>
          <w:sz w:val="32"/>
          <w:szCs w:val="32"/>
          <w:lang w:val="en-US" w:eastAsia="zh-CN"/>
        </w:rPr>
      </w:pPr>
    </w:p>
    <w:p>
      <w:pPr>
        <w:jc w:val="center"/>
        <w:rPr>
          <w:rFonts w:hint="eastAsia" w:ascii="仿宋" w:hAnsi="仿宋" w:eastAsia="仿宋" w:cs="仿宋"/>
          <w:b/>
          <w:bCs/>
          <w:sz w:val="44"/>
          <w:szCs w:val="44"/>
        </w:rPr>
      </w:pPr>
      <w:r>
        <w:rPr>
          <w:rFonts w:hint="eastAsia" w:ascii="仿宋" w:hAnsi="仿宋" w:eastAsia="仿宋" w:cs="仿宋"/>
          <w:b/>
          <w:bCs/>
          <w:sz w:val="44"/>
          <w:szCs w:val="44"/>
          <w:lang w:val="en-US" w:eastAsia="zh-CN"/>
        </w:rPr>
        <w:t>关于</w:t>
      </w:r>
      <w:r>
        <w:rPr>
          <w:rFonts w:hint="eastAsia" w:ascii="仿宋" w:hAnsi="仿宋" w:eastAsia="仿宋" w:cs="仿宋"/>
          <w:b/>
          <w:bCs/>
          <w:sz w:val="44"/>
          <w:szCs w:val="44"/>
          <w:lang w:eastAsia="zh-CN"/>
        </w:rPr>
        <w:t>雷州市龙腾石油贸易有限公司改扩建项目环境影响报告表</w:t>
      </w:r>
      <w:r>
        <w:rPr>
          <w:rFonts w:hint="eastAsia" w:ascii="仿宋" w:hAnsi="仿宋" w:eastAsia="仿宋" w:cs="仿宋"/>
          <w:b/>
          <w:bCs/>
          <w:sz w:val="44"/>
          <w:szCs w:val="44"/>
          <w:lang w:val="en-US" w:eastAsia="zh-CN"/>
        </w:rPr>
        <w:t>的批复</w:t>
      </w:r>
    </w:p>
    <w:p>
      <w:pPr>
        <w:rPr>
          <w:rFonts w:hint="eastAsia" w:ascii="仿宋" w:hAnsi="仿宋" w:eastAsia="仿宋" w:cs="仿宋"/>
          <w:sz w:val="32"/>
          <w:szCs w:val="32"/>
          <w:lang w:val="en-US" w:eastAsia="zh-CN"/>
        </w:rPr>
      </w:pPr>
    </w:p>
    <w:p>
      <w:pPr>
        <w:rPr>
          <w:rFonts w:hint="eastAsia" w:ascii="仿宋" w:hAnsi="仿宋" w:eastAsia="仿宋" w:cs="仿宋"/>
          <w:b w:val="0"/>
          <w:bCs w:val="0"/>
          <w:sz w:val="32"/>
          <w:szCs w:val="32"/>
        </w:rPr>
      </w:pPr>
      <w:r>
        <w:rPr>
          <w:rFonts w:hint="eastAsia" w:ascii="仿宋" w:hAnsi="仿宋" w:eastAsia="仿宋" w:cs="仿宋"/>
          <w:b w:val="0"/>
          <w:bCs/>
          <w:sz w:val="32"/>
          <w:szCs w:val="32"/>
          <w:lang w:eastAsia="zh-CN"/>
        </w:rPr>
        <w:t>雷州市龙腾石油贸易有限公司</w:t>
      </w:r>
      <w:r>
        <w:rPr>
          <w:rFonts w:hint="eastAsia" w:ascii="仿宋" w:hAnsi="仿宋" w:eastAsia="仿宋" w:cs="仿宋"/>
          <w:b w:val="0"/>
          <w:bCs w:val="0"/>
          <w:sz w:val="32"/>
          <w:szCs w:val="32"/>
          <w:lang w:val="en-US" w:eastAsia="zh-CN"/>
        </w:rPr>
        <w:t xml:space="preserve">： </w:t>
      </w:r>
    </w:p>
    <w:p>
      <w:pPr>
        <w:ind w:firstLine="640" w:firstLineChars="200"/>
        <w:rPr>
          <w:rFonts w:hint="eastAsia" w:ascii="仿宋" w:hAnsi="仿宋" w:eastAsia="仿宋" w:cs="仿宋"/>
          <w:sz w:val="32"/>
          <w:szCs w:val="32"/>
        </w:rPr>
      </w:pPr>
      <w:r>
        <w:rPr>
          <w:rFonts w:hint="eastAsia" w:ascii="仿宋" w:hAnsi="仿宋" w:eastAsia="仿宋" w:cs="仿宋"/>
          <w:b w:val="0"/>
          <w:bCs w:val="0"/>
          <w:sz w:val="32"/>
          <w:szCs w:val="32"/>
          <w:lang w:val="en-US" w:eastAsia="zh-CN"/>
        </w:rPr>
        <w:t>你单位报送的《</w:t>
      </w:r>
      <w:r>
        <w:rPr>
          <w:rFonts w:hint="eastAsia" w:ascii="仿宋" w:hAnsi="仿宋" w:eastAsia="仿宋" w:cs="仿宋"/>
          <w:b w:val="0"/>
          <w:bCs/>
          <w:sz w:val="32"/>
          <w:szCs w:val="32"/>
          <w:lang w:eastAsia="zh-CN"/>
        </w:rPr>
        <w:t>雷州市龙腾石油贸易有限公司改扩建项目环境影响报告表</w:t>
      </w:r>
      <w:r>
        <w:rPr>
          <w:rFonts w:hint="eastAsia" w:ascii="仿宋" w:hAnsi="仿宋" w:eastAsia="仿宋" w:cs="仿宋"/>
          <w:b w:val="0"/>
          <w:bCs w:val="0"/>
          <w:sz w:val="32"/>
          <w:szCs w:val="32"/>
          <w:lang w:val="en-US" w:eastAsia="zh-CN"/>
        </w:rPr>
        <w:t xml:space="preserve">》 </w:t>
      </w:r>
      <w:r>
        <w:rPr>
          <w:rFonts w:hint="eastAsia" w:ascii="仿宋" w:hAnsi="仿宋" w:eastAsia="仿宋" w:cs="仿宋"/>
          <w:sz w:val="32"/>
          <w:szCs w:val="32"/>
          <w:lang w:val="en-US" w:eastAsia="zh-CN"/>
        </w:rPr>
        <w:t>（以</w:t>
      </w:r>
      <w:bookmarkStart w:id="0" w:name="_GoBack"/>
      <w:bookmarkEnd w:id="0"/>
      <w:r>
        <w:rPr>
          <w:rFonts w:hint="eastAsia" w:ascii="仿宋" w:hAnsi="仿宋" w:eastAsia="仿宋" w:cs="仿宋"/>
          <w:sz w:val="32"/>
          <w:szCs w:val="32"/>
          <w:lang w:val="en-US" w:eastAsia="zh-CN"/>
        </w:rPr>
        <w:t xml:space="preserve">下简称“报告表”）及有关材料收悉。我局按照建设项目环境管理有关规定对该项目进行审查，批复如下： </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一、根据报告表环评结论和我局环评审批领导小组意见，在认真落实报告表提出的各项环境保护措施和</w:t>
      </w:r>
      <w:r>
        <w:rPr>
          <w:rFonts w:hint="eastAsia" w:ascii="仿宋" w:hAnsi="仿宋" w:eastAsia="仿宋" w:cs="仿宋"/>
          <w:color w:val="000000"/>
          <w:sz w:val="32"/>
          <w:szCs w:val="32"/>
        </w:rPr>
        <w:t>做到污染物稳定达标排放，确保环境安全的前提下</w:t>
      </w:r>
      <w:r>
        <w:rPr>
          <w:rFonts w:hint="eastAsia" w:ascii="仿宋" w:hAnsi="仿宋" w:eastAsia="仿宋" w:cs="仿宋"/>
          <w:sz w:val="32"/>
          <w:szCs w:val="32"/>
          <w:lang w:val="en-US" w:eastAsia="zh-CN"/>
        </w:rPr>
        <w:t xml:space="preserve">，从环境保护角度 分析，我局原则同意报告表中所列建设项目的性质、规模、地点、生产工艺和拟采取的环境保护措施。 </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项目位于</w:t>
      </w:r>
      <w:r>
        <w:rPr>
          <w:rFonts w:hint="eastAsia" w:ascii="仿宋" w:hAnsi="仿宋" w:eastAsia="仿宋" w:cs="仿宋"/>
          <w:b w:val="0"/>
          <w:bCs w:val="0"/>
          <w:color w:val="000000"/>
          <w:sz w:val="32"/>
          <w:szCs w:val="32"/>
        </w:rPr>
        <w:t>雷州市客路镇广南大道（即G207国道客路镇圩区北侧）</w:t>
      </w:r>
      <w:r>
        <w:rPr>
          <w:rFonts w:hint="eastAsia" w:ascii="仿宋" w:hAnsi="仿宋" w:eastAsia="仿宋" w:cs="仿宋"/>
          <w:sz w:val="32"/>
          <w:szCs w:val="32"/>
          <w:lang w:eastAsia="zh-CN"/>
        </w:rPr>
        <w:t>。</w:t>
      </w:r>
      <w:r>
        <w:rPr>
          <w:rFonts w:hint="eastAsia" w:ascii="仿宋" w:hAnsi="仿宋" w:eastAsia="仿宋" w:cs="仿宋"/>
          <w:sz w:val="32"/>
          <w:szCs w:val="32"/>
        </w:rPr>
        <w:t>本项目拟拆除油罐区的旧油罐及其配套设施，</w:t>
      </w:r>
      <w:r>
        <w:rPr>
          <w:rFonts w:hint="eastAsia" w:ascii="仿宋" w:hAnsi="仿宋" w:eastAsia="仿宋" w:cs="仿宋"/>
          <w:bCs/>
          <w:sz w:val="32"/>
          <w:szCs w:val="32"/>
        </w:rPr>
        <w:t>在原址重新埋设2个30m</w:t>
      </w:r>
      <w:r>
        <w:rPr>
          <w:rFonts w:hint="eastAsia" w:ascii="仿宋" w:hAnsi="仿宋" w:eastAsia="仿宋" w:cs="仿宋"/>
          <w:bCs/>
          <w:sz w:val="32"/>
          <w:szCs w:val="32"/>
          <w:vertAlign w:val="superscript"/>
        </w:rPr>
        <w:t>3</w:t>
      </w:r>
      <w:r>
        <w:rPr>
          <w:rFonts w:hint="eastAsia" w:ascii="仿宋" w:hAnsi="仿宋" w:eastAsia="仿宋" w:cs="仿宋"/>
          <w:bCs/>
          <w:sz w:val="32"/>
          <w:szCs w:val="32"/>
        </w:rPr>
        <w:t>的0#柴油罐、1个30m</w:t>
      </w:r>
      <w:r>
        <w:rPr>
          <w:rFonts w:hint="eastAsia" w:ascii="仿宋" w:hAnsi="仿宋" w:eastAsia="仿宋" w:cs="仿宋"/>
          <w:bCs/>
          <w:sz w:val="32"/>
          <w:szCs w:val="32"/>
          <w:vertAlign w:val="superscript"/>
        </w:rPr>
        <w:t>3</w:t>
      </w:r>
      <w:r>
        <w:rPr>
          <w:rFonts w:hint="eastAsia" w:ascii="仿宋" w:hAnsi="仿宋" w:eastAsia="仿宋" w:cs="仿宋"/>
          <w:bCs/>
          <w:sz w:val="32"/>
          <w:szCs w:val="32"/>
        </w:rPr>
        <w:t>的92#汽油罐、1个15m</w:t>
      </w:r>
      <w:r>
        <w:rPr>
          <w:rFonts w:hint="eastAsia" w:ascii="仿宋" w:hAnsi="仿宋" w:eastAsia="仿宋" w:cs="仿宋"/>
          <w:bCs/>
          <w:sz w:val="32"/>
          <w:szCs w:val="32"/>
          <w:vertAlign w:val="superscript"/>
        </w:rPr>
        <w:t>3</w:t>
      </w:r>
      <w:r>
        <w:rPr>
          <w:rFonts w:hint="eastAsia" w:ascii="仿宋" w:hAnsi="仿宋" w:eastAsia="仿宋" w:cs="仿宋"/>
          <w:bCs/>
          <w:sz w:val="32"/>
          <w:szCs w:val="32"/>
        </w:rPr>
        <w:t>的95#汽油罐和1个15m</w:t>
      </w:r>
      <w:r>
        <w:rPr>
          <w:rFonts w:hint="eastAsia" w:ascii="仿宋" w:hAnsi="仿宋" w:eastAsia="仿宋" w:cs="仿宋"/>
          <w:bCs/>
          <w:sz w:val="32"/>
          <w:szCs w:val="32"/>
          <w:vertAlign w:val="superscript"/>
        </w:rPr>
        <w:t>3</w:t>
      </w:r>
      <w:r>
        <w:rPr>
          <w:rFonts w:hint="eastAsia" w:ascii="仿宋" w:hAnsi="仿宋" w:eastAsia="仿宋" w:cs="仿宋"/>
          <w:bCs/>
          <w:sz w:val="32"/>
          <w:szCs w:val="32"/>
        </w:rPr>
        <w:t>的98#汽油罐</w:t>
      </w:r>
      <w:r>
        <w:rPr>
          <w:rFonts w:hint="eastAsia" w:ascii="仿宋" w:hAnsi="仿宋" w:eastAsia="仿宋" w:cs="仿宋"/>
          <w:sz w:val="32"/>
          <w:szCs w:val="32"/>
        </w:rPr>
        <w:t>，并新建卸油管、通气管、一次油气回收管、输油管及二次油气回收管，重新布置相应的油品管线。原有加油机数量不变。改扩建后项目总罐容为120m</w:t>
      </w:r>
      <w:r>
        <w:rPr>
          <w:rFonts w:hint="eastAsia" w:ascii="仿宋" w:hAnsi="仿宋" w:eastAsia="仿宋" w:cs="仿宋"/>
          <w:sz w:val="32"/>
          <w:szCs w:val="32"/>
          <w:vertAlign w:val="superscript"/>
        </w:rPr>
        <w:t>3</w:t>
      </w:r>
      <w:r>
        <w:rPr>
          <w:rFonts w:hint="eastAsia" w:ascii="仿宋" w:hAnsi="仿宋" w:eastAsia="仿宋" w:cs="仿宋"/>
          <w:sz w:val="32"/>
          <w:szCs w:val="32"/>
        </w:rPr>
        <w:t>，油罐总容积为90m</w:t>
      </w:r>
      <w:r>
        <w:rPr>
          <w:rFonts w:hint="eastAsia" w:ascii="仿宋" w:hAnsi="仿宋" w:eastAsia="仿宋" w:cs="仿宋"/>
          <w:sz w:val="32"/>
          <w:szCs w:val="32"/>
          <w:vertAlign w:val="superscript"/>
        </w:rPr>
        <w:t>3</w:t>
      </w:r>
      <w:r>
        <w:rPr>
          <w:rFonts w:hint="eastAsia" w:ascii="仿宋" w:hAnsi="仿宋" w:eastAsia="仿宋" w:cs="仿宋"/>
          <w:sz w:val="32"/>
          <w:szCs w:val="32"/>
        </w:rPr>
        <w:t>（柴油罐容积按折半计），仍然为三级加油站，预计年销售汽油600t、柴油1500t。</w:t>
      </w:r>
    </w:p>
    <w:p>
      <w:pPr>
        <w:numPr>
          <w:ilvl w:val="0"/>
          <w:numId w:val="0"/>
        </w:num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二、项目建设、运营应重点做好以下工作： </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（一）站内主要设施的设计、间距及其与站外建（构）筑物的距离必须符合汽车加油站有关设计规范及安监、消防等部门的有关要求。 </w:t>
      </w:r>
    </w:p>
    <w:p>
      <w:pPr>
        <w:numPr>
          <w:ilvl w:val="0"/>
          <w:numId w:val="0"/>
        </w:num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（二）加强废水防治。运营期生活污水经三级化粪池处理、站区清洗废水经三级隔油池处理后，达到《农田灌溉水质标准》（GB5084-2005）旱作标准，全部用于周边旱地灌溉。 </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三）加强废气防治。汽油罐、加油机须按有关规定配套油气回收装置，减少油气的无组织排放，场界无组织排放非甲烷总烃满足广东省地方标准《大气污染物排放限值》（DB44/27-2001）中第二时段无组织排放监控浓度限值要求。</w:t>
      </w:r>
      <w:r>
        <w:rPr>
          <w:rFonts w:hint="eastAsia" w:ascii="仿宋" w:hAnsi="仿宋" w:eastAsia="仿宋" w:cs="仿宋"/>
          <w:sz w:val="32"/>
          <w:szCs w:val="32"/>
        </w:rPr>
        <w:t>营运期油气处理装置的油气排放浓度≤25mg/m</w:t>
      </w:r>
      <w:r>
        <w:rPr>
          <w:rFonts w:hint="eastAsia" w:ascii="仿宋" w:hAnsi="仿宋" w:eastAsia="仿宋" w:cs="仿宋"/>
          <w:sz w:val="32"/>
          <w:szCs w:val="32"/>
          <w:vertAlign w:val="superscript"/>
        </w:rPr>
        <w:t>3</w:t>
      </w:r>
      <w:r>
        <w:rPr>
          <w:rFonts w:hint="eastAsia" w:ascii="仿宋" w:hAnsi="仿宋" w:eastAsia="仿宋" w:cs="仿宋"/>
          <w:b w:val="0"/>
          <w:bCs w:val="0"/>
          <w:sz w:val="32"/>
          <w:szCs w:val="32"/>
          <w:lang w:val="en-US" w:eastAsia="zh-CN"/>
        </w:rPr>
        <w:t xml:space="preserve"> 。</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（四）加强噪声防治。泵机、潜油泵等主要噪声源应选用低噪声型设备，采取消声、减振和隔声等降噪措施，并加强对加油车辆的管理，防止经营噪声对周围环境造成影响。</w:t>
      </w:r>
      <w:r>
        <w:rPr>
          <w:rFonts w:hint="eastAsia" w:ascii="仿宋" w:hAnsi="仿宋" w:eastAsia="仿宋" w:cs="仿宋"/>
          <w:sz w:val="32"/>
          <w:szCs w:val="32"/>
        </w:rPr>
        <w:t>营运期厂界</w:t>
      </w:r>
      <w:r>
        <w:rPr>
          <w:rFonts w:hint="eastAsia" w:ascii="仿宋" w:hAnsi="仿宋" w:eastAsia="仿宋" w:cs="仿宋"/>
          <w:bCs/>
          <w:sz w:val="32"/>
          <w:szCs w:val="32"/>
        </w:rPr>
        <w:t>东北面</w:t>
      </w:r>
      <w:r>
        <w:rPr>
          <w:rFonts w:hint="eastAsia" w:ascii="仿宋" w:hAnsi="仿宋" w:eastAsia="仿宋" w:cs="仿宋"/>
          <w:sz w:val="32"/>
          <w:szCs w:val="32"/>
        </w:rPr>
        <w:t>、</w:t>
      </w:r>
      <w:r>
        <w:rPr>
          <w:rFonts w:hint="eastAsia" w:ascii="仿宋" w:hAnsi="仿宋" w:eastAsia="仿宋" w:cs="仿宋"/>
          <w:bCs/>
          <w:sz w:val="32"/>
          <w:szCs w:val="32"/>
        </w:rPr>
        <w:t>东南面</w:t>
      </w:r>
      <w:r>
        <w:rPr>
          <w:rFonts w:hint="eastAsia" w:ascii="仿宋" w:hAnsi="仿宋" w:eastAsia="仿宋" w:cs="仿宋"/>
          <w:sz w:val="32"/>
          <w:szCs w:val="32"/>
        </w:rPr>
        <w:t>、</w:t>
      </w:r>
      <w:r>
        <w:rPr>
          <w:rFonts w:hint="eastAsia" w:ascii="仿宋" w:hAnsi="仿宋" w:eastAsia="仿宋" w:cs="仿宋"/>
          <w:bCs/>
          <w:sz w:val="32"/>
          <w:szCs w:val="32"/>
        </w:rPr>
        <w:t>西北面</w:t>
      </w:r>
      <w:r>
        <w:rPr>
          <w:rFonts w:hint="eastAsia" w:ascii="仿宋" w:hAnsi="仿宋" w:eastAsia="仿宋" w:cs="仿宋"/>
          <w:sz w:val="32"/>
          <w:szCs w:val="32"/>
        </w:rPr>
        <w:t>的</w:t>
      </w:r>
      <w:r>
        <w:rPr>
          <w:rFonts w:hint="eastAsia" w:ascii="仿宋" w:hAnsi="仿宋" w:eastAsia="仿宋" w:cs="仿宋"/>
          <w:bCs/>
          <w:sz w:val="32"/>
          <w:szCs w:val="32"/>
        </w:rPr>
        <w:t>噪声排放</w:t>
      </w:r>
      <w:r>
        <w:rPr>
          <w:rFonts w:hint="eastAsia" w:ascii="仿宋" w:hAnsi="仿宋" w:eastAsia="仿宋" w:cs="仿宋"/>
          <w:sz w:val="32"/>
          <w:szCs w:val="32"/>
        </w:rPr>
        <w:t>执行《工业企业厂界环境噪声排放标准》（GB12348-2008）2类标准，</w:t>
      </w:r>
      <w:r>
        <w:rPr>
          <w:rFonts w:hint="eastAsia" w:ascii="仿宋" w:hAnsi="仿宋" w:eastAsia="仿宋" w:cs="仿宋"/>
          <w:bCs/>
          <w:sz w:val="32"/>
          <w:szCs w:val="32"/>
        </w:rPr>
        <w:t>西南面</w:t>
      </w:r>
      <w:r>
        <w:rPr>
          <w:rFonts w:hint="eastAsia" w:ascii="仿宋" w:hAnsi="仿宋" w:eastAsia="仿宋" w:cs="仿宋"/>
          <w:sz w:val="32"/>
          <w:szCs w:val="32"/>
        </w:rPr>
        <w:t>的噪声排放执行《工业企业厂界环境噪声排放标准》（GB12348-2008）4类标准（即昼间≤70dB（A）、夜间≤55dB（A）</w:t>
      </w:r>
      <w:r>
        <w:rPr>
          <w:rFonts w:hint="eastAsia" w:ascii="仿宋" w:hAnsi="仿宋" w:eastAsia="仿宋" w:cs="仿宋"/>
          <w:b w:val="0"/>
          <w:bCs w:val="0"/>
          <w:sz w:val="32"/>
          <w:szCs w:val="32"/>
          <w:lang w:val="en-US" w:eastAsia="zh-CN"/>
        </w:rPr>
        <w:t>。</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 xml:space="preserve">（五）各类固体废物按有关规定妥善处理，其中储罐油渣、隔油池产生的废油渣等危险废物须交由有相应类别危险废物处理资质的单位妥善处理，生活垃圾及交由环卫部门统一处理。 </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六）加强环境风险管理，严格落实报告表和突发环境事件应急预案提出的环境风险防范和应急措施，加强装卸、储存和加油等设施及操作管理，设置事故应急池，防止发生油品泄漏、火灾或爆炸造成环境污染事故，确保环境安全。   </w:t>
      </w:r>
    </w:p>
    <w:p>
      <w:p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本批复仅从环境保护角度分析同意你单位在该地点建设项目，该项目开工建设及运营须按有关规定取得其他相关部门的同意。项目建设必须严格执行配套的环境保护设施与主体工程同时设计、同时施工、同时投产使用的环境保护“三同时”制度。项目竣工后, 建设单位须按规定程序实施项目竣工环境保护验收，验收合格后方可正式投入生产。</w:t>
      </w:r>
    </w:p>
    <w:p>
      <w:pPr>
        <w:jc w:val="right"/>
        <w:rPr>
          <w:rFonts w:hint="eastAsia" w:ascii="仿宋" w:hAnsi="仿宋" w:eastAsia="仿宋" w:cs="仿宋"/>
          <w:sz w:val="32"/>
          <w:szCs w:val="32"/>
          <w:lang w:val="en-US" w:eastAsia="zh-CN"/>
        </w:rPr>
      </w:pPr>
    </w:p>
    <w:p>
      <w:pPr>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湛江市生态环境局雷州分局</w:t>
      </w:r>
    </w:p>
    <w:p>
      <w:pPr>
        <w:jc w:val="center"/>
        <w:rPr>
          <w:rFonts w:hint="eastAsia" w:ascii="仿宋" w:hAnsi="仿宋" w:eastAsia="仿宋" w:cs="仿宋"/>
          <w:sz w:val="32"/>
          <w:szCs w:val="32"/>
        </w:rPr>
      </w:pPr>
      <w:r>
        <w:rPr>
          <w:rFonts w:hint="eastAsia" w:ascii="仿宋" w:hAnsi="仿宋" w:eastAsia="仿宋" w:cs="仿宋"/>
          <w:sz w:val="32"/>
          <w:szCs w:val="32"/>
          <w:lang w:val="en-US" w:eastAsia="zh-CN"/>
        </w:rPr>
        <w:t xml:space="preserve">                         2019 年 12 月25日 </w:t>
      </w:r>
    </w:p>
    <w:p>
      <w:pPr>
        <w:rPr>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971699"/>
    <w:rsid w:val="06A21718"/>
    <w:rsid w:val="090554A7"/>
    <w:rsid w:val="0BF17881"/>
    <w:rsid w:val="0BF202EE"/>
    <w:rsid w:val="0E1D5C82"/>
    <w:rsid w:val="25602602"/>
    <w:rsid w:val="28CA44F2"/>
    <w:rsid w:val="2CDB5FDC"/>
    <w:rsid w:val="32FC1E17"/>
    <w:rsid w:val="3C9D7E63"/>
    <w:rsid w:val="53180971"/>
    <w:rsid w:val="608F09D3"/>
    <w:rsid w:val="62F866AD"/>
    <w:rsid w:val="636F7FF4"/>
    <w:rsid w:val="67D5240D"/>
    <w:rsid w:val="696306F9"/>
    <w:rsid w:val="6A705FC3"/>
    <w:rsid w:val="6A971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标题4"/>
    <w:basedOn w:val="1"/>
    <w:next w:val="1"/>
    <w:qFormat/>
    <w:uiPriority w:val="0"/>
    <w:pPr>
      <w:snapToGrid w:val="0"/>
    </w:pPr>
    <w:rPr>
      <w:rFonts w:hAnsi="宋体"/>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2019-07-29T02:27:00Z</dcterms:created>
  <dc:creator>天蓝水清</dc:creator>
  <cp:lastModifiedBy>天蓝水清</cp:lastModifiedBy>
  <cp:lastPrinted>2019-09-24T02:50:00Z</cp:lastPrinted>
  <dcterms:modified xsi:type="dcterms:W3CDTF">2019-12-25T03:00:55Z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