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hAnsi="宋体"/>
          <w:b/>
          <w:kern w:val="21"/>
          <w:sz w:val="32"/>
        </w:rPr>
      </w:pPr>
      <w:r>
        <w:rPr>
          <w:rFonts w:hAnsi="宋体"/>
          <w:b/>
          <w:kern w:val="21"/>
          <w:sz w:val="32"/>
        </w:rPr>
        <w:tab/>
      </w:r>
    </w:p>
    <w:p>
      <w:pPr>
        <w:jc w:val="center"/>
        <w:rPr>
          <w:b/>
          <w:sz w:val="52"/>
          <w:szCs w:val="52"/>
        </w:rPr>
      </w:pPr>
      <w:r>
        <w:rPr>
          <w:b/>
          <w:sz w:val="52"/>
          <w:szCs w:val="52"/>
        </w:rPr>
        <w:t>建设项目环境影响报告表</w:t>
      </w:r>
    </w:p>
    <w:p>
      <w:pPr>
        <w:jc w:val="center"/>
        <w:rPr>
          <w:b/>
          <w:sz w:val="52"/>
          <w:szCs w:val="52"/>
        </w:rPr>
      </w:pPr>
      <w:r>
        <w:rPr>
          <w:b/>
          <w:sz w:val="52"/>
          <w:szCs w:val="52"/>
        </w:rPr>
        <w:t>（试行）</w:t>
      </w:r>
    </w:p>
    <w:p>
      <w:pPr>
        <w:spacing w:line="360" w:lineRule="auto"/>
        <w:rPr>
          <w:sz w:val="36"/>
          <w:u w:val="single"/>
        </w:rPr>
      </w:pPr>
    </w:p>
    <w:p>
      <w:pPr>
        <w:spacing w:line="360" w:lineRule="auto"/>
        <w:rPr>
          <w:sz w:val="36"/>
          <w:u w:val="single"/>
        </w:rPr>
      </w:pPr>
    </w:p>
    <w:p>
      <w:pPr>
        <w:spacing w:line="360" w:lineRule="auto"/>
        <w:rPr>
          <w:sz w:val="36"/>
          <w:u w:val="single"/>
        </w:rPr>
      </w:pPr>
    </w:p>
    <w:p>
      <w:pPr>
        <w:spacing w:line="360" w:lineRule="auto"/>
        <w:rPr>
          <w:sz w:val="36"/>
          <w:u w:val="single"/>
        </w:rPr>
      </w:pPr>
    </w:p>
    <w:p>
      <w:pPr>
        <w:spacing w:line="360" w:lineRule="auto"/>
        <w:rPr>
          <w:sz w:val="36"/>
          <w:u w:val="single"/>
        </w:rPr>
      </w:pPr>
    </w:p>
    <w:p>
      <w:pPr>
        <w:spacing w:line="360" w:lineRule="auto"/>
        <w:rPr>
          <w:sz w:val="36"/>
          <w:u w:val="single"/>
        </w:rPr>
      </w:pPr>
    </w:p>
    <w:p>
      <w:pPr>
        <w:spacing w:line="360" w:lineRule="auto"/>
        <w:rPr>
          <w:sz w:val="36"/>
          <w:u w:val="single"/>
        </w:rPr>
      </w:pPr>
    </w:p>
    <w:p>
      <w:pPr>
        <w:spacing w:line="360" w:lineRule="auto"/>
        <w:rPr>
          <w:sz w:val="36"/>
          <w:u w:val="single"/>
        </w:rPr>
      </w:pPr>
    </w:p>
    <w:p>
      <w:pPr>
        <w:spacing w:line="360" w:lineRule="auto"/>
        <w:rPr>
          <w:sz w:val="36"/>
          <w:u w:val="single"/>
        </w:rPr>
      </w:pPr>
    </w:p>
    <w:p>
      <w:pPr>
        <w:spacing w:line="360" w:lineRule="auto"/>
        <w:ind w:firstLine="1606" w:firstLineChars="500"/>
        <w:rPr>
          <w:b/>
          <w:sz w:val="32"/>
          <w:u w:val="single"/>
        </w:rPr>
      </w:pPr>
      <w:r>
        <w:rPr>
          <w:b/>
          <w:sz w:val="32"/>
        </w:rPr>
        <w:t>项目名称:</w:t>
      </w:r>
      <w:r>
        <w:rPr>
          <w:rFonts w:hint="eastAsia"/>
        </w:rPr>
        <w:t xml:space="preserve"> </w:t>
      </w:r>
      <w:bookmarkStart w:id="0" w:name="_Hlk27588490"/>
      <w:r>
        <w:rPr>
          <w:rFonts w:hint="eastAsia"/>
          <w:b/>
          <w:sz w:val="32"/>
          <w:u w:val="single"/>
        </w:rPr>
        <w:t>雷州市雷高镇海东加油站</w:t>
      </w:r>
      <w:bookmarkEnd w:id="0"/>
    </w:p>
    <w:p>
      <w:pPr>
        <w:spacing w:line="360" w:lineRule="auto"/>
        <w:jc w:val="center"/>
        <w:rPr>
          <w:b/>
          <w:bCs/>
          <w:sz w:val="24"/>
        </w:rPr>
      </w:pPr>
      <w:r>
        <w:rPr>
          <w:b/>
          <w:sz w:val="32"/>
        </w:rPr>
        <w:t>建设单位(盖章)</w:t>
      </w:r>
      <w:r>
        <w:rPr>
          <w:b/>
          <w:sz w:val="32"/>
          <w:u w:val="single"/>
        </w:rPr>
        <w:t>:</w:t>
      </w:r>
      <w:r>
        <w:rPr>
          <w:rFonts w:hint="eastAsia"/>
          <w:b/>
          <w:sz w:val="32"/>
          <w:u w:val="single"/>
        </w:rPr>
        <w:t>雷州市雷高镇海东加油站</w:t>
      </w:r>
    </w:p>
    <w:p>
      <w:pPr>
        <w:spacing w:line="360" w:lineRule="auto"/>
        <w:rPr>
          <w:sz w:val="32"/>
          <w:u w:val="single"/>
        </w:rPr>
      </w:pPr>
    </w:p>
    <w:p>
      <w:pPr>
        <w:spacing w:line="360" w:lineRule="auto"/>
        <w:rPr>
          <w:sz w:val="32"/>
          <w:u w:val="single"/>
        </w:rPr>
      </w:pPr>
    </w:p>
    <w:p>
      <w:pPr>
        <w:spacing w:line="360" w:lineRule="auto"/>
        <w:rPr>
          <w:sz w:val="32"/>
          <w:u w:val="single"/>
        </w:rPr>
      </w:pPr>
    </w:p>
    <w:p>
      <w:pPr>
        <w:spacing w:line="360" w:lineRule="auto"/>
        <w:rPr>
          <w:sz w:val="32"/>
          <w:u w:val="single"/>
        </w:rPr>
      </w:pPr>
    </w:p>
    <w:p>
      <w:pPr>
        <w:spacing w:line="360" w:lineRule="auto"/>
        <w:jc w:val="center"/>
        <w:rPr>
          <w:b/>
          <w:sz w:val="32"/>
        </w:rPr>
      </w:pPr>
      <w:r>
        <w:rPr>
          <w:b/>
          <w:sz w:val="32"/>
        </w:rPr>
        <w:t>编制日期</w:t>
      </w:r>
      <w:r>
        <w:rPr>
          <w:rFonts w:hint="eastAsia"/>
          <w:b/>
          <w:sz w:val="32"/>
          <w:lang w:val="en-US" w:eastAsia="zh-CN"/>
        </w:rPr>
        <w:t xml:space="preserve">  </w:t>
      </w:r>
      <w:r>
        <w:rPr>
          <w:b/>
          <w:sz w:val="32"/>
        </w:rPr>
        <w:t>2020年</w:t>
      </w:r>
      <w:r>
        <w:rPr>
          <w:rFonts w:hint="eastAsia"/>
          <w:b/>
          <w:sz w:val="32"/>
          <w:lang w:val="en-US" w:eastAsia="zh-CN"/>
        </w:rPr>
        <w:t>12</w:t>
      </w:r>
      <w:r>
        <w:rPr>
          <w:b/>
          <w:sz w:val="32"/>
        </w:rPr>
        <w:t>月</w:t>
      </w:r>
    </w:p>
    <w:p>
      <w:pPr>
        <w:jc w:val="center"/>
        <w:rPr>
          <w:b/>
          <w:sz w:val="32"/>
        </w:rPr>
      </w:pPr>
      <w:r>
        <w:rPr>
          <w:b/>
          <w:sz w:val="32"/>
        </w:rPr>
        <w:t>国家</w:t>
      </w:r>
      <w:r>
        <w:rPr>
          <w:rFonts w:hint="eastAsia"/>
          <w:b/>
          <w:sz w:val="32"/>
          <w:lang w:val="en-US" w:eastAsia="zh-CN"/>
        </w:rPr>
        <w:t>生态环境部</w:t>
      </w:r>
      <w:r>
        <w:rPr>
          <w:b/>
          <w:sz w:val="32"/>
        </w:rPr>
        <w:t>制</w:t>
      </w:r>
    </w:p>
    <w:p>
      <w:pPr>
        <w:widowControl/>
        <w:jc w:val="left"/>
        <w:rPr>
          <w:b/>
          <w:sz w:val="32"/>
        </w:rPr>
      </w:pPr>
    </w:p>
    <w:p>
      <w:pPr>
        <w:widowControl/>
        <w:jc w:val="left"/>
        <w:rPr>
          <w:b/>
          <w:sz w:val="32"/>
        </w:rPr>
      </w:pPr>
      <w:r>
        <w:rPr>
          <w:b/>
          <w:sz w:val="32"/>
        </w:rPr>
        <w:br w:type="page"/>
      </w:r>
    </w:p>
    <w:p>
      <w:pPr>
        <w:widowControl/>
        <w:jc w:val="center"/>
        <w:rPr>
          <w:rFonts w:hAnsi="宋体"/>
          <w:sz w:val="32"/>
        </w:rPr>
      </w:pPr>
      <w:r>
        <w:rPr>
          <w:rFonts w:hint="eastAsia" w:hAnsi="宋体"/>
          <w:sz w:val="32"/>
        </w:rPr>
        <w:drawing>
          <wp:inline distT="0" distB="0" distL="114300" distR="114300">
            <wp:extent cx="5669915" cy="7640320"/>
            <wp:effectExtent l="0" t="0" r="6985" b="5080"/>
            <wp:docPr id="8" name="图片 8" descr="编制信息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编制信息表"/>
                    <pic:cNvPicPr>
                      <a:picLocks noChangeAspect="1"/>
                    </pic:cNvPicPr>
                  </pic:nvPicPr>
                  <pic:blipFill>
                    <a:blip r:embed="rId14"/>
                    <a:stretch>
                      <a:fillRect/>
                    </a:stretch>
                  </pic:blipFill>
                  <pic:spPr>
                    <a:xfrm>
                      <a:off x="0" y="0"/>
                      <a:ext cx="5669915" cy="7640320"/>
                    </a:xfrm>
                    <a:prstGeom prst="rect">
                      <a:avLst/>
                    </a:prstGeom>
                  </pic:spPr>
                </pic:pic>
              </a:graphicData>
            </a:graphic>
          </wp:inline>
        </w:drawing>
      </w:r>
    </w:p>
    <w:p>
      <w:pPr>
        <w:widowControl/>
        <w:jc w:val="center"/>
        <w:rPr>
          <w:rFonts w:hAnsi="宋体"/>
          <w:sz w:val="32"/>
        </w:rPr>
      </w:pPr>
      <w:r>
        <w:rPr>
          <w:rFonts w:hint="eastAsia" w:ascii="仿宋" w:hAnsi="仿宋" w:eastAsia="仿宋"/>
          <w:sz w:val="30"/>
          <w:szCs w:val="30"/>
          <w:lang w:eastAsia="zh-CN"/>
        </w:rPr>
        <w:drawing>
          <wp:anchor distT="0" distB="0" distL="114300" distR="114300" simplePos="0" relativeHeight="251660288" behindDoc="0" locked="0" layoutInCell="1" allowOverlap="1">
            <wp:simplePos x="0" y="0"/>
            <wp:positionH relativeFrom="column">
              <wp:posOffset>2570480</wp:posOffset>
            </wp:positionH>
            <wp:positionV relativeFrom="paragraph">
              <wp:posOffset>3223895</wp:posOffset>
            </wp:positionV>
            <wp:extent cx="1360170" cy="1380490"/>
            <wp:effectExtent l="0" t="0" r="11430" b="3810"/>
            <wp:wrapNone/>
            <wp:docPr id="33" name="图片 2" descr="公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公章"/>
                    <pic:cNvPicPr>
                      <a:picLocks noChangeAspect="1"/>
                    </pic:cNvPicPr>
                  </pic:nvPicPr>
                  <pic:blipFill>
                    <a:blip r:embed="rId15">
                      <a:clrChange>
                        <a:clrFrom>
                          <a:srgbClr val="FFFFFF"/>
                        </a:clrFrom>
                        <a:clrTo>
                          <a:srgbClr val="FFFFFF">
                            <a:alpha val="0"/>
                          </a:srgbClr>
                        </a:clrTo>
                      </a:clrChange>
                    </a:blip>
                    <a:stretch>
                      <a:fillRect/>
                    </a:stretch>
                  </pic:blipFill>
                  <pic:spPr>
                    <a:xfrm>
                      <a:off x="0" y="0"/>
                      <a:ext cx="1360170" cy="1380490"/>
                    </a:xfrm>
                    <a:prstGeom prst="rect">
                      <a:avLst/>
                    </a:prstGeom>
                    <a:noFill/>
                    <a:ln>
                      <a:noFill/>
                    </a:ln>
                  </pic:spPr>
                </pic:pic>
              </a:graphicData>
            </a:graphic>
          </wp:anchor>
        </w:drawing>
      </w:r>
      <w:r>
        <w:rPr>
          <w:rFonts w:hint="eastAsia" w:hAnsi="宋体"/>
          <w:sz w:val="32"/>
        </w:rPr>
        <w:drawing>
          <wp:inline distT="0" distB="0" distL="114300" distR="114300">
            <wp:extent cx="5685155" cy="8041640"/>
            <wp:effectExtent l="0" t="0" r="4445" b="10160"/>
            <wp:docPr id="13" name="图片 13" descr="莫玲芳工程师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莫玲芳工程师证"/>
                    <pic:cNvPicPr>
                      <a:picLocks noChangeAspect="1"/>
                    </pic:cNvPicPr>
                  </pic:nvPicPr>
                  <pic:blipFill>
                    <a:blip r:embed="rId16"/>
                    <a:stretch>
                      <a:fillRect/>
                    </a:stretch>
                  </pic:blipFill>
                  <pic:spPr>
                    <a:xfrm>
                      <a:off x="0" y="0"/>
                      <a:ext cx="5685155" cy="8041640"/>
                    </a:xfrm>
                    <a:prstGeom prst="rect">
                      <a:avLst/>
                    </a:prstGeom>
                  </pic:spPr>
                </pic:pic>
              </a:graphicData>
            </a:graphic>
          </wp:inline>
        </w:drawing>
      </w:r>
      <w:r>
        <w:rPr>
          <w:rFonts w:hint="eastAsia" w:ascii="仿宋" w:hAnsi="仿宋" w:eastAsia="仿宋"/>
          <w:sz w:val="30"/>
          <w:szCs w:val="30"/>
          <w:lang w:eastAsia="zh-CN"/>
        </w:rPr>
        <w:drawing>
          <wp:anchor distT="0" distB="0" distL="114300" distR="114300" simplePos="0" relativeHeight="251661312" behindDoc="0" locked="0" layoutInCell="1" allowOverlap="1">
            <wp:simplePos x="0" y="0"/>
            <wp:positionH relativeFrom="column">
              <wp:posOffset>1744345</wp:posOffset>
            </wp:positionH>
            <wp:positionV relativeFrom="paragraph">
              <wp:posOffset>4827905</wp:posOffset>
            </wp:positionV>
            <wp:extent cx="1468755" cy="1490980"/>
            <wp:effectExtent l="0" t="0" r="4445" b="7620"/>
            <wp:wrapNone/>
            <wp:docPr id="34" name="图片 3" descr="公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公章"/>
                    <pic:cNvPicPr>
                      <a:picLocks noChangeAspect="1"/>
                    </pic:cNvPicPr>
                  </pic:nvPicPr>
                  <pic:blipFill>
                    <a:blip r:embed="rId15">
                      <a:clrChange>
                        <a:clrFrom>
                          <a:srgbClr val="FFFFFF"/>
                        </a:clrFrom>
                        <a:clrTo>
                          <a:srgbClr val="FFFFFF">
                            <a:alpha val="0"/>
                          </a:srgbClr>
                        </a:clrTo>
                      </a:clrChange>
                    </a:blip>
                    <a:stretch>
                      <a:fillRect/>
                    </a:stretch>
                  </pic:blipFill>
                  <pic:spPr>
                    <a:xfrm>
                      <a:off x="0" y="0"/>
                      <a:ext cx="1468755" cy="1490980"/>
                    </a:xfrm>
                    <a:prstGeom prst="rect">
                      <a:avLst/>
                    </a:prstGeom>
                    <a:noFill/>
                    <a:ln>
                      <a:noFill/>
                    </a:ln>
                  </pic:spPr>
                </pic:pic>
              </a:graphicData>
            </a:graphic>
          </wp:anchor>
        </w:drawing>
      </w:r>
      <w:r>
        <w:rPr>
          <w:rFonts w:hint="eastAsia" w:hAnsi="宋体"/>
          <w:sz w:val="32"/>
        </w:rPr>
        <w:drawing>
          <wp:inline distT="0" distB="0" distL="114300" distR="114300">
            <wp:extent cx="7900035" cy="5633085"/>
            <wp:effectExtent l="0" t="0" r="5715" b="12065"/>
            <wp:docPr id="12" name="图片 12" descr="2020年变更后的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0年变更后的营业执照"/>
                    <pic:cNvPicPr>
                      <a:picLocks noChangeAspect="1"/>
                    </pic:cNvPicPr>
                  </pic:nvPicPr>
                  <pic:blipFill>
                    <a:blip r:embed="rId17"/>
                    <a:srcRect l="938" t="4376" r="1329" b="2709"/>
                    <a:stretch>
                      <a:fillRect/>
                    </a:stretch>
                  </pic:blipFill>
                  <pic:spPr>
                    <a:xfrm rot="16200000">
                      <a:off x="0" y="0"/>
                      <a:ext cx="7900035" cy="5633085"/>
                    </a:xfrm>
                    <a:prstGeom prst="rect">
                      <a:avLst/>
                    </a:prstGeom>
                  </pic:spPr>
                </pic:pic>
              </a:graphicData>
            </a:graphic>
          </wp:inline>
        </w:drawing>
      </w:r>
    </w:p>
    <w:p>
      <w:pPr>
        <w:widowControl/>
        <w:jc w:val="center"/>
        <w:rPr>
          <w:rFonts w:hAnsi="宋体"/>
          <w:sz w:val="32"/>
        </w:rPr>
      </w:pPr>
    </w:p>
    <w:p>
      <w:pPr>
        <w:widowControl/>
        <w:jc w:val="center"/>
        <w:rPr>
          <w:rFonts w:hAnsi="宋体"/>
          <w:sz w:val="32"/>
        </w:rPr>
        <w:sectPr>
          <w:footerReference r:id="rId3" w:type="default"/>
          <w:footerReference r:id="rId4" w:type="even"/>
          <w:pgSz w:w="11907" w:h="16840"/>
          <w:pgMar w:top="1418" w:right="1418" w:bottom="1418" w:left="1418" w:header="851" w:footer="992" w:gutter="113"/>
          <w:pgBorders>
            <w:top w:val="none" w:sz="0" w:space="0"/>
            <w:left w:val="none" w:sz="0" w:space="0"/>
            <w:bottom w:val="none" w:sz="0" w:space="0"/>
            <w:right w:val="none" w:sz="0" w:space="0"/>
          </w:pgBorders>
          <w:pgNumType w:start="1"/>
          <w:cols w:space="720" w:num="1"/>
          <w:titlePg/>
          <w:docGrid w:type="lines" w:linePitch="312" w:charSpace="0"/>
        </w:sectPr>
      </w:pPr>
    </w:p>
    <w:p>
      <w:pPr>
        <w:keepNext w:val="0"/>
        <w:keepLines w:val="0"/>
        <w:pageBreakBefore w:val="0"/>
        <w:widowControl w:val="0"/>
        <w:kinsoku/>
        <w:wordWrap/>
        <w:overflowPunct/>
        <w:topLinePunct w:val="0"/>
        <w:autoSpaceDE/>
        <w:autoSpaceDN/>
        <w:bidi w:val="0"/>
        <w:adjustRightInd w:val="0"/>
        <w:snapToGrid/>
        <w:ind w:left="0"/>
        <w:jc w:val="left"/>
        <w:textAlignment w:val="baseline"/>
        <w:rPr>
          <w:rFonts w:hint="eastAsia" w:eastAsia="宋体"/>
          <w:b/>
          <w:sz w:val="30"/>
          <w:lang w:eastAsia="zh-CN"/>
        </w:rPr>
        <w:sectPr>
          <w:pgSz w:w="11910" w:h="16840"/>
          <w:pgMar w:top="1417" w:right="1417" w:bottom="1417" w:left="1417" w:header="720" w:footer="720" w:gutter="0"/>
          <w:pgBorders>
            <w:top w:val="none" w:sz="0" w:space="0"/>
            <w:left w:val="none" w:sz="0" w:space="0"/>
            <w:bottom w:val="none" w:sz="0" w:space="0"/>
            <w:right w:val="none" w:sz="0" w:space="0"/>
          </w:pgBorders>
          <w:cols w:space="720" w:num="1"/>
        </w:sectPr>
      </w:pPr>
      <w:r>
        <w:rPr>
          <w:rFonts w:hint="eastAsia" w:ascii="仿宋" w:hAnsi="仿宋" w:eastAsia="仿宋"/>
          <w:sz w:val="30"/>
          <w:szCs w:val="30"/>
          <w:lang w:eastAsia="zh-CN"/>
        </w:rPr>
        <w:drawing>
          <wp:anchor distT="0" distB="0" distL="114300" distR="114300" simplePos="0" relativeHeight="251662336" behindDoc="0" locked="0" layoutInCell="1" allowOverlap="1">
            <wp:simplePos x="0" y="0"/>
            <wp:positionH relativeFrom="column">
              <wp:posOffset>1761490</wp:posOffset>
            </wp:positionH>
            <wp:positionV relativeFrom="paragraph">
              <wp:posOffset>2614930</wp:posOffset>
            </wp:positionV>
            <wp:extent cx="1460500" cy="1482090"/>
            <wp:effectExtent l="0" t="0" r="0" b="3810"/>
            <wp:wrapNone/>
            <wp:docPr id="35" name="图片 4" descr="公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descr="公章"/>
                    <pic:cNvPicPr>
                      <a:picLocks noChangeAspect="1"/>
                    </pic:cNvPicPr>
                  </pic:nvPicPr>
                  <pic:blipFill>
                    <a:blip r:embed="rId15">
                      <a:clrChange>
                        <a:clrFrom>
                          <a:srgbClr val="FFFFFF"/>
                        </a:clrFrom>
                        <a:clrTo>
                          <a:srgbClr val="FFFFFF">
                            <a:alpha val="0"/>
                          </a:srgbClr>
                        </a:clrTo>
                      </a:clrChange>
                    </a:blip>
                    <a:stretch>
                      <a:fillRect/>
                    </a:stretch>
                  </pic:blipFill>
                  <pic:spPr>
                    <a:xfrm>
                      <a:off x="0" y="0"/>
                      <a:ext cx="1460500" cy="1482090"/>
                    </a:xfrm>
                    <a:prstGeom prst="rect">
                      <a:avLst/>
                    </a:prstGeom>
                    <a:noFill/>
                    <a:ln>
                      <a:noFill/>
                    </a:ln>
                  </pic:spPr>
                </pic:pic>
              </a:graphicData>
            </a:graphic>
          </wp:anchor>
        </w:drawing>
      </w:r>
      <w:r>
        <w:rPr>
          <w:rFonts w:hint="eastAsia" w:eastAsia="宋体"/>
          <w:b/>
          <w:sz w:val="30"/>
          <w:lang w:eastAsia="zh-CN"/>
        </w:rPr>
        <w:drawing>
          <wp:inline distT="0" distB="0" distL="114300" distR="114300">
            <wp:extent cx="5658485" cy="6395720"/>
            <wp:effectExtent l="0" t="0" r="5715" b="5080"/>
            <wp:docPr id="32" name="图片 32" descr="莫玲芳2020年3月-10月社保缴费记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莫玲芳2020年3月-10月社保缴费记录"/>
                    <pic:cNvPicPr>
                      <a:picLocks noChangeAspect="1"/>
                    </pic:cNvPicPr>
                  </pic:nvPicPr>
                  <pic:blipFill>
                    <a:blip r:embed="rId18"/>
                    <a:srcRect l="1796" t="1265"/>
                    <a:stretch>
                      <a:fillRect/>
                    </a:stretch>
                  </pic:blipFill>
                  <pic:spPr>
                    <a:xfrm>
                      <a:off x="0" y="0"/>
                      <a:ext cx="5658485" cy="6395720"/>
                    </a:xfrm>
                    <a:prstGeom prst="rect">
                      <a:avLst/>
                    </a:prstGeom>
                  </pic:spPr>
                </pic:pic>
              </a:graphicData>
            </a:graphic>
          </wp:inline>
        </w:drawing>
      </w:r>
    </w:p>
    <w:p>
      <w:pPr>
        <w:spacing w:before="39"/>
        <w:ind w:left="2543"/>
        <w:jc w:val="left"/>
        <w:rPr>
          <w:b/>
          <w:sz w:val="30"/>
        </w:rPr>
      </w:pPr>
      <w:r>
        <w:rPr>
          <w:b/>
          <w:sz w:val="30"/>
        </w:rPr>
        <w:t>《建设项目环境影响报告表》编制说明</w:t>
      </w:r>
    </w:p>
    <w:p>
      <w:pPr>
        <w:pStyle w:val="13"/>
        <w:rPr>
          <w:b/>
          <w:sz w:val="30"/>
        </w:rPr>
      </w:pPr>
    </w:p>
    <w:p>
      <w:pPr>
        <w:pStyle w:val="13"/>
        <w:adjustRightInd/>
        <w:spacing w:line="360" w:lineRule="auto"/>
        <w:ind w:firstLine="420" w:firstLineChars="200"/>
      </w:pPr>
      <w:r>
        <w:t>《建设项目环境影响报告表》由具有从事环境影响评价工作资质的单位编制。</w:t>
      </w:r>
    </w:p>
    <w:p>
      <w:pPr>
        <w:pStyle w:val="178"/>
        <w:numPr>
          <w:ilvl w:val="0"/>
          <w:numId w:val="2"/>
        </w:numPr>
        <w:tabs>
          <w:tab w:val="left" w:pos="778"/>
          <w:tab w:val="left" w:leader="hyphen" w:pos="2056"/>
        </w:tabs>
        <w:adjustRightInd/>
        <w:spacing w:line="360" w:lineRule="auto"/>
        <w:ind w:left="0" w:firstLine="480"/>
        <w:jc w:val="left"/>
        <w:rPr>
          <w:sz w:val="24"/>
          <w:szCs w:val="24"/>
        </w:rPr>
      </w:pPr>
      <w:r>
        <w:rPr>
          <w:sz w:val="24"/>
          <w:szCs w:val="24"/>
        </w:rPr>
        <w:t>项目名称</w:t>
      </w:r>
      <w:r>
        <w:rPr>
          <w:sz w:val="24"/>
          <w:szCs w:val="24"/>
        </w:rPr>
        <w:tab/>
      </w:r>
      <w:r>
        <w:rPr>
          <w:sz w:val="24"/>
          <w:szCs w:val="24"/>
        </w:rPr>
        <w:t>指项目立项批复时的名称，应不超过30个字（两个英文字段作一个汉字）。</w:t>
      </w:r>
    </w:p>
    <w:p>
      <w:pPr>
        <w:pStyle w:val="178"/>
        <w:numPr>
          <w:ilvl w:val="0"/>
          <w:numId w:val="2"/>
        </w:numPr>
        <w:tabs>
          <w:tab w:val="left" w:pos="778"/>
          <w:tab w:val="left" w:leader="hyphen" w:pos="2056"/>
        </w:tabs>
        <w:adjustRightInd/>
        <w:spacing w:line="360" w:lineRule="auto"/>
        <w:ind w:left="0" w:firstLine="480"/>
        <w:jc w:val="left"/>
        <w:rPr>
          <w:sz w:val="24"/>
          <w:szCs w:val="24"/>
        </w:rPr>
      </w:pPr>
      <w:r>
        <w:rPr>
          <w:sz w:val="24"/>
          <w:szCs w:val="24"/>
        </w:rPr>
        <w:t>建设地点</w:t>
      </w:r>
      <w:r>
        <w:rPr>
          <w:sz w:val="24"/>
          <w:szCs w:val="24"/>
        </w:rPr>
        <w:tab/>
      </w:r>
      <w:r>
        <w:rPr>
          <w:sz w:val="24"/>
          <w:szCs w:val="24"/>
        </w:rPr>
        <w:t>指项目所在地详细地址、公路、铁路应填写起止地点。</w:t>
      </w:r>
    </w:p>
    <w:p>
      <w:pPr>
        <w:pStyle w:val="178"/>
        <w:numPr>
          <w:ilvl w:val="0"/>
          <w:numId w:val="2"/>
        </w:numPr>
        <w:tabs>
          <w:tab w:val="left" w:pos="778"/>
          <w:tab w:val="left" w:leader="hyphen" w:pos="2056"/>
        </w:tabs>
        <w:adjustRightInd/>
        <w:spacing w:line="360" w:lineRule="auto"/>
        <w:ind w:left="0" w:firstLine="480"/>
        <w:jc w:val="left"/>
        <w:rPr>
          <w:sz w:val="24"/>
          <w:szCs w:val="24"/>
        </w:rPr>
      </w:pPr>
      <w:r>
        <w:rPr>
          <w:sz w:val="24"/>
          <w:szCs w:val="24"/>
        </w:rPr>
        <w:t>行业类别</w:t>
      </w:r>
      <w:r>
        <w:rPr>
          <w:sz w:val="24"/>
          <w:szCs w:val="24"/>
        </w:rPr>
        <w:tab/>
      </w:r>
      <w:r>
        <w:rPr>
          <w:sz w:val="24"/>
          <w:szCs w:val="24"/>
        </w:rPr>
        <w:t>按国标填写。</w:t>
      </w:r>
    </w:p>
    <w:p>
      <w:pPr>
        <w:pStyle w:val="178"/>
        <w:numPr>
          <w:ilvl w:val="0"/>
          <w:numId w:val="2"/>
        </w:numPr>
        <w:tabs>
          <w:tab w:val="left" w:pos="778"/>
          <w:tab w:val="left" w:leader="hyphen" w:pos="1816"/>
        </w:tabs>
        <w:adjustRightInd/>
        <w:spacing w:line="360" w:lineRule="auto"/>
        <w:ind w:left="0" w:firstLine="480"/>
        <w:jc w:val="left"/>
        <w:rPr>
          <w:sz w:val="24"/>
          <w:szCs w:val="24"/>
        </w:rPr>
      </w:pPr>
      <w:r>
        <w:rPr>
          <w:sz w:val="24"/>
          <w:szCs w:val="24"/>
        </w:rPr>
        <w:t>总投资</w:t>
      </w:r>
      <w:r>
        <w:rPr>
          <w:sz w:val="24"/>
          <w:szCs w:val="24"/>
        </w:rPr>
        <w:tab/>
      </w:r>
      <w:r>
        <w:rPr>
          <w:sz w:val="24"/>
          <w:szCs w:val="24"/>
        </w:rPr>
        <w:t>指项目投资总额。</w:t>
      </w:r>
    </w:p>
    <w:p>
      <w:pPr>
        <w:pStyle w:val="178"/>
        <w:numPr>
          <w:ilvl w:val="0"/>
          <w:numId w:val="2"/>
        </w:numPr>
        <w:tabs>
          <w:tab w:val="left" w:pos="778"/>
          <w:tab w:val="left" w:leader="hyphen" w:pos="3016"/>
        </w:tabs>
        <w:adjustRightInd/>
        <w:spacing w:line="360" w:lineRule="auto"/>
        <w:ind w:left="0" w:firstLine="480"/>
        <w:jc w:val="left"/>
        <w:rPr>
          <w:sz w:val="24"/>
          <w:szCs w:val="24"/>
        </w:rPr>
      </w:pPr>
      <w:r>
        <w:rPr>
          <w:sz w:val="24"/>
          <w:szCs w:val="24"/>
        </w:rPr>
        <w:t>主要环境保护目标</w:t>
      </w:r>
      <w:r>
        <w:rPr>
          <w:sz w:val="24"/>
          <w:szCs w:val="24"/>
        </w:rPr>
        <w:tab/>
      </w:r>
      <w:r>
        <w:rPr>
          <w:sz w:val="24"/>
          <w:szCs w:val="24"/>
        </w:rPr>
        <w:t>指项目区周围一定范围内集中居民住宅、学校、医院、保护文物、风景名胜区、水源地和生态敏感点等，应尽可能给出保护目标、性质、规模和距厂界距离等。</w:t>
      </w:r>
    </w:p>
    <w:p>
      <w:pPr>
        <w:pStyle w:val="178"/>
        <w:numPr>
          <w:ilvl w:val="0"/>
          <w:numId w:val="2"/>
        </w:numPr>
        <w:tabs>
          <w:tab w:val="left" w:pos="778"/>
          <w:tab w:val="left" w:leader="hyphen" w:pos="2296"/>
        </w:tabs>
        <w:adjustRightInd/>
        <w:spacing w:line="360" w:lineRule="auto"/>
        <w:ind w:left="0" w:firstLine="480"/>
        <w:jc w:val="left"/>
        <w:rPr>
          <w:sz w:val="24"/>
          <w:szCs w:val="24"/>
        </w:rPr>
      </w:pPr>
      <w:r>
        <w:rPr>
          <w:sz w:val="24"/>
          <w:szCs w:val="24"/>
        </w:rPr>
        <w:t>结论与建议</w:t>
      </w:r>
      <w:r>
        <w:rPr>
          <w:sz w:val="24"/>
          <w:szCs w:val="24"/>
        </w:rPr>
        <w:tab/>
      </w:r>
      <w:r>
        <w:rPr>
          <w:sz w:val="24"/>
          <w:szCs w:val="24"/>
        </w:rPr>
        <w:t>给出本项目清洁生产、达标排放和总量控制的分析结论，确定污染防治措施的有效性，说明本项目对环境造成的影响，给出建设项目环境可行性的明确结论。同时提出减少环境影响的其它建议。</w:t>
      </w:r>
    </w:p>
    <w:p>
      <w:pPr>
        <w:pStyle w:val="178"/>
        <w:numPr>
          <w:ilvl w:val="0"/>
          <w:numId w:val="2"/>
        </w:numPr>
        <w:tabs>
          <w:tab w:val="left" w:pos="778"/>
          <w:tab w:val="left" w:leader="hyphen" w:pos="2056"/>
        </w:tabs>
        <w:adjustRightInd/>
        <w:spacing w:line="360" w:lineRule="auto"/>
        <w:ind w:left="0" w:firstLine="480"/>
        <w:jc w:val="left"/>
        <w:rPr>
          <w:sz w:val="24"/>
          <w:szCs w:val="24"/>
        </w:rPr>
      </w:pPr>
      <w:r>
        <w:rPr>
          <w:sz w:val="24"/>
          <w:szCs w:val="24"/>
        </w:rPr>
        <w:t>预审意见</w:t>
      </w:r>
      <w:r>
        <w:rPr>
          <w:sz w:val="24"/>
          <w:szCs w:val="24"/>
        </w:rPr>
        <w:tab/>
      </w:r>
      <w:r>
        <w:rPr>
          <w:sz w:val="24"/>
          <w:szCs w:val="24"/>
        </w:rPr>
        <w:t>由行业主管部门填写答复意见，无主管部门项目，可不填。</w:t>
      </w:r>
    </w:p>
    <w:p>
      <w:pPr>
        <w:pStyle w:val="178"/>
        <w:numPr>
          <w:ilvl w:val="0"/>
          <w:numId w:val="2"/>
        </w:numPr>
        <w:tabs>
          <w:tab w:val="left" w:pos="778"/>
          <w:tab w:val="left" w:leader="hyphen" w:pos="2056"/>
        </w:tabs>
        <w:adjustRightInd/>
        <w:spacing w:line="360" w:lineRule="auto"/>
        <w:ind w:left="0" w:firstLine="480"/>
        <w:jc w:val="left"/>
        <w:rPr>
          <w:sz w:val="24"/>
          <w:szCs w:val="24"/>
        </w:rPr>
      </w:pPr>
      <w:r>
        <w:rPr>
          <w:sz w:val="24"/>
          <w:szCs w:val="24"/>
        </w:rPr>
        <w:t>审批意见</w:t>
      </w:r>
      <w:r>
        <w:rPr>
          <w:sz w:val="24"/>
          <w:szCs w:val="24"/>
        </w:rPr>
        <w:tab/>
      </w:r>
      <w:r>
        <w:rPr>
          <w:sz w:val="24"/>
          <w:szCs w:val="24"/>
        </w:rPr>
        <w:t>由负责审批该项目的环境保护行政主管部门批复。</w:t>
      </w:r>
    </w:p>
    <w:p>
      <w:pPr>
        <w:adjustRightInd/>
        <w:jc w:val="left"/>
        <w:rPr>
          <w:sz w:val="24"/>
        </w:rPr>
      </w:pPr>
    </w:p>
    <w:p>
      <w:pPr>
        <w:pStyle w:val="2"/>
        <w:rPr>
          <w:sz w:val="24"/>
        </w:rPr>
        <w:sectPr>
          <w:pgSz w:w="11910" w:h="16840"/>
          <w:pgMar w:top="1417" w:right="1417" w:bottom="1417" w:left="1417" w:header="720" w:footer="720" w:gutter="0"/>
          <w:pgBorders>
            <w:top w:val="none" w:sz="0" w:space="0"/>
            <w:left w:val="none" w:sz="0" w:space="0"/>
            <w:bottom w:val="none" w:sz="0" w:space="0"/>
            <w:right w:val="none" w:sz="0" w:space="0"/>
          </w:pgBorders>
          <w:cols w:space="720" w:num="1"/>
        </w:sectPr>
      </w:pPr>
    </w:p>
    <w:sdt>
      <w:sdtPr>
        <w:rPr>
          <w:rFonts w:ascii="宋体" w:hAnsi="宋体" w:eastAsia="宋体" w:cs="Times New Roman"/>
          <w:sz w:val="21"/>
          <w:lang w:val="en-US" w:eastAsia="zh-CN" w:bidi="ar-SA"/>
        </w:rPr>
        <w:id w:val="147473632"/>
        <w15:color w:val="DBDBDB"/>
        <w:docPartObj>
          <w:docPartGallery w:val="Table of Contents"/>
          <w:docPartUnique/>
        </w:docPartObj>
      </w:sdtPr>
      <w:sdtEndPr>
        <w:rPr>
          <w:rFonts w:ascii="宋体" w:hAnsi="Times New Roman" w:eastAsia="宋体" w:cs="宋体"/>
          <w:color w:val="000000"/>
          <w:sz w:val="24"/>
          <w:szCs w:val="24"/>
          <w:lang w:val="en-US" w:eastAsia="zh-CN" w:bidi="ar-SA"/>
        </w:rPr>
      </w:sdtEndPr>
      <w:sdtContent>
        <w:p>
          <w:pPr>
            <w:spacing w:before="0" w:beforeLines="0" w:after="0" w:afterLines="0" w:line="360" w:lineRule="auto"/>
            <w:ind w:left="0" w:leftChars="0" w:right="0" w:rightChars="0" w:firstLine="0" w:firstLineChars="0"/>
            <w:jc w:val="center"/>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目</w:t>
          </w:r>
          <w:r>
            <w:rPr>
              <w:rFonts w:hint="eastAsia" w:cs="Times New Roman"/>
              <w:b/>
              <w:bCs/>
              <w:sz w:val="28"/>
              <w:szCs w:val="28"/>
              <w:lang w:val="en-US" w:eastAsia="zh-CN"/>
            </w:rPr>
            <w:t xml:space="preserve">  </w:t>
          </w:r>
          <w:r>
            <w:rPr>
              <w:rFonts w:hint="default" w:ascii="Times New Roman" w:hAnsi="Times New Roman" w:eastAsia="宋体" w:cs="Times New Roman"/>
              <w:b/>
              <w:bCs/>
              <w:sz w:val="28"/>
              <w:szCs w:val="28"/>
            </w:rPr>
            <w:t>录</w:t>
          </w:r>
        </w:p>
        <w:p>
          <w:pPr>
            <w:pStyle w:val="22"/>
            <w:tabs>
              <w:tab w:val="right" w:leader="dot" w:pos="9076"/>
              <w:tab w:val="clear" w:pos="420"/>
              <w:tab w:val="clear" w:pos="8296"/>
            </w:tabs>
            <w:spacing w:line="360" w:lineRule="auto"/>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TOC \o "1-1" \h \u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_Toc16631 </w:instrText>
          </w:r>
          <w:r>
            <w:rPr>
              <w:rFonts w:hint="default" w:ascii="Times New Roman" w:hAnsi="Times New Roman" w:eastAsia="宋体" w:cs="Times New Roman"/>
              <w:szCs w:val="24"/>
            </w:rPr>
            <w:fldChar w:fldCharType="separate"/>
          </w:r>
          <w:r>
            <w:rPr>
              <w:rFonts w:hAnsi="宋体"/>
              <w:kern w:val="21"/>
            </w:rPr>
            <w:t>建设项目基本情况</w:t>
          </w:r>
          <w:r>
            <w:tab/>
          </w:r>
          <w:r>
            <w:fldChar w:fldCharType="begin"/>
          </w:r>
          <w:r>
            <w:instrText xml:space="preserve"> PAGEREF _Toc16631 </w:instrText>
          </w:r>
          <w:r>
            <w:fldChar w:fldCharType="separate"/>
          </w:r>
          <w:r>
            <w:t>1</w:t>
          </w:r>
          <w:r>
            <w:fldChar w:fldCharType="end"/>
          </w:r>
          <w:r>
            <w:rPr>
              <w:rFonts w:hint="default" w:ascii="Times New Roman" w:hAnsi="Times New Roman" w:eastAsia="宋体" w:cs="Times New Roman"/>
              <w:szCs w:val="24"/>
            </w:rPr>
            <w:fldChar w:fldCharType="end"/>
          </w:r>
        </w:p>
        <w:p>
          <w:pPr>
            <w:pStyle w:val="22"/>
            <w:tabs>
              <w:tab w:val="right" w:leader="dot" w:pos="9076"/>
              <w:tab w:val="clear" w:pos="420"/>
              <w:tab w:val="clear" w:pos="8296"/>
            </w:tabs>
            <w:spacing w:line="360" w:lineRule="auto"/>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_Toc18226 </w:instrText>
          </w:r>
          <w:r>
            <w:rPr>
              <w:rFonts w:hint="default" w:ascii="Times New Roman" w:hAnsi="Times New Roman" w:eastAsia="宋体" w:cs="Times New Roman"/>
              <w:szCs w:val="24"/>
            </w:rPr>
            <w:fldChar w:fldCharType="separate"/>
          </w:r>
          <w:r>
            <w:rPr>
              <w:rFonts w:hAnsi="宋体"/>
              <w:kern w:val="21"/>
            </w:rPr>
            <w:t>建设项目所在地自然环境简况</w:t>
          </w:r>
          <w:r>
            <w:tab/>
          </w:r>
          <w:r>
            <w:fldChar w:fldCharType="begin"/>
          </w:r>
          <w:r>
            <w:instrText xml:space="preserve"> PAGEREF _Toc18226 </w:instrText>
          </w:r>
          <w:r>
            <w:fldChar w:fldCharType="separate"/>
          </w:r>
          <w:r>
            <w:t>11</w:t>
          </w:r>
          <w:r>
            <w:fldChar w:fldCharType="end"/>
          </w:r>
          <w:r>
            <w:rPr>
              <w:rFonts w:hint="default" w:ascii="Times New Roman" w:hAnsi="Times New Roman" w:eastAsia="宋体" w:cs="Times New Roman"/>
              <w:szCs w:val="24"/>
            </w:rPr>
            <w:fldChar w:fldCharType="end"/>
          </w:r>
        </w:p>
        <w:p>
          <w:pPr>
            <w:pStyle w:val="22"/>
            <w:tabs>
              <w:tab w:val="right" w:leader="dot" w:pos="9076"/>
              <w:tab w:val="clear" w:pos="420"/>
              <w:tab w:val="clear" w:pos="8296"/>
            </w:tabs>
            <w:spacing w:line="360" w:lineRule="auto"/>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_Toc6764 </w:instrText>
          </w:r>
          <w:r>
            <w:rPr>
              <w:rFonts w:hint="default" w:ascii="Times New Roman" w:hAnsi="Times New Roman" w:eastAsia="宋体" w:cs="Times New Roman"/>
              <w:szCs w:val="24"/>
            </w:rPr>
            <w:fldChar w:fldCharType="separate"/>
          </w:r>
          <w:r>
            <w:rPr>
              <w:rFonts w:hAnsi="宋体"/>
              <w:kern w:val="21"/>
            </w:rPr>
            <w:t>环境质量状况</w:t>
          </w:r>
          <w:r>
            <w:tab/>
          </w:r>
          <w:r>
            <w:fldChar w:fldCharType="begin"/>
          </w:r>
          <w:r>
            <w:instrText xml:space="preserve"> PAGEREF _Toc6764 </w:instrText>
          </w:r>
          <w:r>
            <w:fldChar w:fldCharType="separate"/>
          </w:r>
          <w:r>
            <w:t>15</w:t>
          </w:r>
          <w:r>
            <w:fldChar w:fldCharType="end"/>
          </w:r>
          <w:r>
            <w:rPr>
              <w:rFonts w:hint="default" w:ascii="Times New Roman" w:hAnsi="Times New Roman" w:eastAsia="宋体" w:cs="Times New Roman"/>
              <w:szCs w:val="24"/>
            </w:rPr>
            <w:fldChar w:fldCharType="end"/>
          </w:r>
        </w:p>
        <w:p>
          <w:pPr>
            <w:pStyle w:val="22"/>
            <w:tabs>
              <w:tab w:val="right" w:leader="dot" w:pos="9076"/>
              <w:tab w:val="clear" w:pos="420"/>
              <w:tab w:val="clear" w:pos="8296"/>
            </w:tabs>
            <w:spacing w:line="360" w:lineRule="auto"/>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_Toc7217 </w:instrText>
          </w:r>
          <w:r>
            <w:rPr>
              <w:rFonts w:hint="default" w:ascii="Times New Roman" w:hAnsi="Times New Roman" w:eastAsia="宋体" w:cs="Times New Roman"/>
              <w:szCs w:val="24"/>
            </w:rPr>
            <w:fldChar w:fldCharType="separate"/>
          </w:r>
          <w:r>
            <w:rPr>
              <w:rFonts w:hAnsi="宋体"/>
              <w:kern w:val="21"/>
            </w:rPr>
            <w:t>评价适用标准</w:t>
          </w:r>
          <w:r>
            <w:tab/>
          </w:r>
          <w:r>
            <w:fldChar w:fldCharType="begin"/>
          </w:r>
          <w:r>
            <w:instrText xml:space="preserve"> PAGEREF _Toc7217 </w:instrText>
          </w:r>
          <w:r>
            <w:fldChar w:fldCharType="separate"/>
          </w:r>
          <w:r>
            <w:t>22</w:t>
          </w:r>
          <w:r>
            <w:fldChar w:fldCharType="end"/>
          </w:r>
          <w:r>
            <w:rPr>
              <w:rFonts w:hint="default" w:ascii="Times New Roman" w:hAnsi="Times New Roman" w:eastAsia="宋体" w:cs="Times New Roman"/>
              <w:szCs w:val="24"/>
            </w:rPr>
            <w:fldChar w:fldCharType="end"/>
          </w:r>
        </w:p>
        <w:p>
          <w:pPr>
            <w:pStyle w:val="22"/>
            <w:tabs>
              <w:tab w:val="right" w:leader="dot" w:pos="9076"/>
              <w:tab w:val="clear" w:pos="420"/>
              <w:tab w:val="clear" w:pos="8296"/>
            </w:tabs>
            <w:spacing w:line="360" w:lineRule="auto"/>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_Toc23800 </w:instrText>
          </w:r>
          <w:r>
            <w:rPr>
              <w:rFonts w:hint="default" w:ascii="Times New Roman" w:hAnsi="Times New Roman" w:eastAsia="宋体" w:cs="Times New Roman"/>
              <w:szCs w:val="24"/>
            </w:rPr>
            <w:fldChar w:fldCharType="separate"/>
          </w:r>
          <w:r>
            <w:rPr>
              <w:rFonts w:hAnsi="宋体"/>
              <w:kern w:val="21"/>
            </w:rPr>
            <w:t>建设项目工程分析</w:t>
          </w:r>
          <w:r>
            <w:tab/>
          </w:r>
          <w:r>
            <w:fldChar w:fldCharType="begin"/>
          </w:r>
          <w:r>
            <w:instrText xml:space="preserve"> PAGEREF _Toc23800 </w:instrText>
          </w:r>
          <w:r>
            <w:fldChar w:fldCharType="separate"/>
          </w:r>
          <w:r>
            <w:t>26</w:t>
          </w:r>
          <w:r>
            <w:fldChar w:fldCharType="end"/>
          </w:r>
          <w:r>
            <w:rPr>
              <w:rFonts w:hint="default" w:ascii="Times New Roman" w:hAnsi="Times New Roman" w:eastAsia="宋体" w:cs="Times New Roman"/>
              <w:szCs w:val="24"/>
            </w:rPr>
            <w:fldChar w:fldCharType="end"/>
          </w:r>
        </w:p>
        <w:p>
          <w:pPr>
            <w:pStyle w:val="22"/>
            <w:tabs>
              <w:tab w:val="right" w:leader="dot" w:pos="9076"/>
              <w:tab w:val="clear" w:pos="420"/>
              <w:tab w:val="clear" w:pos="8296"/>
            </w:tabs>
            <w:spacing w:line="360" w:lineRule="auto"/>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_Toc24336 </w:instrText>
          </w:r>
          <w:r>
            <w:rPr>
              <w:rFonts w:hint="default" w:ascii="Times New Roman" w:hAnsi="Times New Roman" w:eastAsia="宋体" w:cs="Times New Roman"/>
              <w:szCs w:val="24"/>
            </w:rPr>
            <w:fldChar w:fldCharType="separate"/>
          </w:r>
          <w:r>
            <w:rPr>
              <w:rFonts w:hAnsi="宋体"/>
            </w:rPr>
            <w:t>项目主要污染物产生及预计排放情况</w:t>
          </w:r>
          <w:r>
            <w:tab/>
          </w:r>
          <w:r>
            <w:fldChar w:fldCharType="begin"/>
          </w:r>
          <w:r>
            <w:instrText xml:space="preserve"> PAGEREF _Toc24336 </w:instrText>
          </w:r>
          <w:r>
            <w:fldChar w:fldCharType="separate"/>
          </w:r>
          <w:r>
            <w:t>39</w:t>
          </w:r>
          <w:r>
            <w:fldChar w:fldCharType="end"/>
          </w:r>
          <w:r>
            <w:rPr>
              <w:rFonts w:hint="default" w:ascii="Times New Roman" w:hAnsi="Times New Roman" w:eastAsia="宋体" w:cs="Times New Roman"/>
              <w:szCs w:val="24"/>
            </w:rPr>
            <w:fldChar w:fldCharType="end"/>
          </w:r>
        </w:p>
        <w:p>
          <w:pPr>
            <w:pStyle w:val="22"/>
            <w:tabs>
              <w:tab w:val="right" w:leader="dot" w:pos="9076"/>
              <w:tab w:val="clear" w:pos="420"/>
              <w:tab w:val="clear" w:pos="8296"/>
            </w:tabs>
            <w:spacing w:line="360" w:lineRule="auto"/>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_Toc1902 </w:instrText>
          </w:r>
          <w:r>
            <w:rPr>
              <w:rFonts w:hint="default" w:ascii="Times New Roman" w:hAnsi="Times New Roman" w:eastAsia="宋体" w:cs="Times New Roman"/>
              <w:szCs w:val="24"/>
            </w:rPr>
            <w:fldChar w:fldCharType="separate"/>
          </w:r>
          <w:r>
            <w:rPr>
              <w:rFonts w:hint="eastAsia" w:hAnsi="宋体"/>
            </w:rPr>
            <w:t>环境影响分析</w:t>
          </w:r>
          <w:r>
            <w:tab/>
          </w:r>
          <w:r>
            <w:fldChar w:fldCharType="begin"/>
          </w:r>
          <w:r>
            <w:instrText xml:space="preserve"> PAGEREF _Toc1902 </w:instrText>
          </w:r>
          <w:r>
            <w:fldChar w:fldCharType="separate"/>
          </w:r>
          <w:r>
            <w:t>41</w:t>
          </w:r>
          <w:r>
            <w:fldChar w:fldCharType="end"/>
          </w:r>
          <w:r>
            <w:rPr>
              <w:rFonts w:hint="default" w:ascii="Times New Roman" w:hAnsi="Times New Roman" w:eastAsia="宋体" w:cs="Times New Roman"/>
              <w:szCs w:val="24"/>
            </w:rPr>
            <w:fldChar w:fldCharType="end"/>
          </w:r>
        </w:p>
        <w:p>
          <w:pPr>
            <w:pStyle w:val="22"/>
            <w:tabs>
              <w:tab w:val="right" w:leader="dot" w:pos="9076"/>
              <w:tab w:val="clear" w:pos="420"/>
              <w:tab w:val="clear" w:pos="8296"/>
            </w:tabs>
            <w:spacing w:line="360" w:lineRule="auto"/>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_Toc20117 </w:instrText>
          </w:r>
          <w:r>
            <w:rPr>
              <w:rFonts w:hint="default" w:ascii="Times New Roman" w:hAnsi="Times New Roman" w:eastAsia="宋体" w:cs="Times New Roman"/>
              <w:szCs w:val="24"/>
            </w:rPr>
            <w:fldChar w:fldCharType="separate"/>
          </w:r>
          <w:r>
            <w:rPr>
              <w:rFonts w:hAnsi="宋体"/>
            </w:rPr>
            <w:t>建设项目拟采取的防治措施及预期治理效果</w:t>
          </w:r>
          <w:r>
            <w:tab/>
          </w:r>
          <w:r>
            <w:fldChar w:fldCharType="begin"/>
          </w:r>
          <w:r>
            <w:instrText xml:space="preserve"> PAGEREF _Toc20117 </w:instrText>
          </w:r>
          <w:r>
            <w:fldChar w:fldCharType="separate"/>
          </w:r>
          <w:r>
            <w:t>78</w:t>
          </w:r>
          <w:r>
            <w:fldChar w:fldCharType="end"/>
          </w:r>
          <w:r>
            <w:rPr>
              <w:rFonts w:hint="default" w:ascii="Times New Roman" w:hAnsi="Times New Roman" w:eastAsia="宋体" w:cs="Times New Roman"/>
              <w:szCs w:val="24"/>
            </w:rPr>
            <w:fldChar w:fldCharType="end"/>
          </w:r>
        </w:p>
        <w:p>
          <w:pPr>
            <w:pStyle w:val="22"/>
            <w:tabs>
              <w:tab w:val="right" w:leader="dot" w:pos="9076"/>
              <w:tab w:val="clear" w:pos="420"/>
              <w:tab w:val="clear" w:pos="8296"/>
            </w:tabs>
            <w:spacing w:line="360" w:lineRule="auto"/>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_Toc5070 </w:instrText>
          </w:r>
          <w:r>
            <w:rPr>
              <w:rFonts w:hint="default" w:ascii="Times New Roman" w:hAnsi="Times New Roman" w:eastAsia="宋体" w:cs="Times New Roman"/>
              <w:szCs w:val="24"/>
            </w:rPr>
            <w:fldChar w:fldCharType="separate"/>
          </w:r>
          <w:r>
            <w:rPr>
              <w:rFonts w:hint="eastAsia" w:ascii="宋体" w:hAnsi="宋体"/>
              <w:kern w:val="2"/>
              <w:szCs w:val="24"/>
            </w:rPr>
            <w:t>结论与建议</w:t>
          </w:r>
          <w:r>
            <w:tab/>
          </w:r>
          <w:r>
            <w:fldChar w:fldCharType="begin"/>
          </w:r>
          <w:r>
            <w:instrText xml:space="preserve"> PAGEREF _Toc5070 </w:instrText>
          </w:r>
          <w:r>
            <w:fldChar w:fldCharType="separate"/>
          </w:r>
          <w:r>
            <w:t>80</w:t>
          </w:r>
          <w:r>
            <w:fldChar w:fldCharType="end"/>
          </w:r>
          <w:r>
            <w:rPr>
              <w:rFonts w:hint="default" w:ascii="Times New Roman" w:hAnsi="Times New Roman" w:eastAsia="宋体" w:cs="Times New Roman"/>
              <w:szCs w:val="24"/>
            </w:rPr>
            <w:fldChar w:fldCharType="end"/>
          </w:r>
        </w:p>
        <w:p>
          <w:pPr>
            <w:pStyle w:val="22"/>
            <w:tabs>
              <w:tab w:val="right" w:leader="dot" w:pos="9076"/>
              <w:tab w:val="clear" w:pos="420"/>
              <w:tab w:val="clear" w:pos="8296"/>
            </w:tabs>
            <w:spacing w:line="360" w:lineRule="auto"/>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_Toc8645 </w:instrText>
          </w:r>
          <w:r>
            <w:rPr>
              <w:rFonts w:hint="default" w:ascii="Times New Roman" w:hAnsi="Times New Roman" w:eastAsia="宋体" w:cs="Times New Roman"/>
              <w:szCs w:val="24"/>
            </w:rPr>
            <w:fldChar w:fldCharType="separate"/>
          </w:r>
          <w:r>
            <w:rPr>
              <w:rFonts w:ascii="Times New Roman" w:cs="宋体"/>
              <w:spacing w:val="0"/>
              <w:szCs w:val="20"/>
            </w:rPr>
            <w:t>附图</w:t>
          </w:r>
          <w:r>
            <w:rPr>
              <w:rFonts w:hint="eastAsia" w:ascii="Times New Roman" w:cs="宋体"/>
              <w:spacing w:val="0"/>
              <w:szCs w:val="20"/>
            </w:rPr>
            <w:t>1</w:t>
          </w:r>
          <w:r>
            <w:rPr>
              <w:rFonts w:ascii="Times New Roman" w:cs="宋体"/>
              <w:spacing w:val="0"/>
              <w:szCs w:val="20"/>
            </w:rPr>
            <w:t xml:space="preserve">  建设项目地理位置</w:t>
          </w:r>
          <w:r>
            <w:rPr>
              <w:rFonts w:hint="eastAsia" w:ascii="Times New Roman" w:cs="宋体"/>
              <w:spacing w:val="0"/>
              <w:szCs w:val="20"/>
            </w:rPr>
            <w:t>图</w:t>
          </w:r>
          <w:r>
            <w:tab/>
          </w:r>
          <w:r>
            <w:fldChar w:fldCharType="begin"/>
          </w:r>
          <w:r>
            <w:instrText xml:space="preserve"> PAGEREF _Toc8645 </w:instrText>
          </w:r>
          <w:r>
            <w:fldChar w:fldCharType="separate"/>
          </w:r>
          <w:r>
            <w:t>88</w:t>
          </w:r>
          <w:r>
            <w:fldChar w:fldCharType="end"/>
          </w:r>
          <w:r>
            <w:rPr>
              <w:rFonts w:hint="default" w:ascii="Times New Roman" w:hAnsi="Times New Roman" w:eastAsia="宋体" w:cs="Times New Roman"/>
              <w:szCs w:val="24"/>
            </w:rPr>
            <w:fldChar w:fldCharType="end"/>
          </w:r>
        </w:p>
        <w:p>
          <w:pPr>
            <w:pStyle w:val="22"/>
            <w:tabs>
              <w:tab w:val="right" w:leader="dot" w:pos="9076"/>
              <w:tab w:val="clear" w:pos="420"/>
              <w:tab w:val="clear" w:pos="8296"/>
            </w:tabs>
            <w:spacing w:line="360" w:lineRule="auto"/>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_Toc5613 </w:instrText>
          </w:r>
          <w:r>
            <w:rPr>
              <w:rFonts w:hint="default" w:ascii="Times New Roman" w:hAnsi="Times New Roman" w:eastAsia="宋体" w:cs="Times New Roman"/>
              <w:szCs w:val="24"/>
            </w:rPr>
            <w:fldChar w:fldCharType="separate"/>
          </w:r>
          <w:r>
            <w:rPr>
              <w:rFonts w:hint="eastAsia" w:ascii="Times New Roman" w:cs="宋体"/>
              <w:spacing w:val="0"/>
              <w:szCs w:val="20"/>
            </w:rPr>
            <w:t xml:space="preserve">附图2 </w:t>
          </w:r>
          <w:r>
            <w:rPr>
              <w:rFonts w:ascii="Times New Roman" w:cs="宋体"/>
              <w:spacing w:val="0"/>
              <w:szCs w:val="20"/>
            </w:rPr>
            <w:t xml:space="preserve"> </w:t>
          </w:r>
          <w:r>
            <w:rPr>
              <w:rFonts w:hint="eastAsia" w:ascii="Times New Roman" w:cs="宋体"/>
              <w:spacing w:val="0"/>
              <w:szCs w:val="20"/>
            </w:rPr>
            <w:t>项目周边敏感目标分布图</w:t>
          </w:r>
          <w:r>
            <w:tab/>
          </w:r>
          <w:r>
            <w:fldChar w:fldCharType="begin"/>
          </w:r>
          <w:r>
            <w:instrText xml:space="preserve"> PAGEREF _Toc5613 </w:instrText>
          </w:r>
          <w:r>
            <w:fldChar w:fldCharType="separate"/>
          </w:r>
          <w:r>
            <w:t>88</w:t>
          </w:r>
          <w:r>
            <w:fldChar w:fldCharType="end"/>
          </w:r>
          <w:r>
            <w:rPr>
              <w:rFonts w:hint="default" w:ascii="Times New Roman" w:hAnsi="Times New Roman" w:eastAsia="宋体" w:cs="Times New Roman"/>
              <w:szCs w:val="24"/>
            </w:rPr>
            <w:fldChar w:fldCharType="end"/>
          </w:r>
        </w:p>
        <w:p>
          <w:pPr>
            <w:pStyle w:val="22"/>
            <w:tabs>
              <w:tab w:val="right" w:leader="dot" w:pos="9076"/>
              <w:tab w:val="clear" w:pos="420"/>
              <w:tab w:val="clear" w:pos="8296"/>
            </w:tabs>
            <w:spacing w:line="360" w:lineRule="auto"/>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_Toc31359 </w:instrText>
          </w:r>
          <w:r>
            <w:rPr>
              <w:rFonts w:hint="default" w:ascii="Times New Roman" w:hAnsi="Times New Roman" w:eastAsia="宋体" w:cs="Times New Roman"/>
              <w:szCs w:val="24"/>
            </w:rPr>
            <w:fldChar w:fldCharType="separate"/>
          </w:r>
          <w:r>
            <w:rPr>
              <w:rFonts w:hint="eastAsia" w:ascii="Times New Roman" w:cs="宋体"/>
              <w:spacing w:val="0"/>
              <w:szCs w:val="20"/>
            </w:rPr>
            <w:t xml:space="preserve">附图3 </w:t>
          </w:r>
          <w:r>
            <w:rPr>
              <w:rFonts w:ascii="Times New Roman" w:cs="宋体"/>
              <w:spacing w:val="0"/>
              <w:szCs w:val="20"/>
            </w:rPr>
            <w:t xml:space="preserve"> </w:t>
          </w:r>
          <w:r>
            <w:rPr>
              <w:rFonts w:hint="eastAsia" w:ascii="Times New Roman" w:cs="宋体"/>
              <w:spacing w:val="0"/>
              <w:szCs w:val="20"/>
            </w:rPr>
            <w:t>平面布置图</w:t>
          </w:r>
          <w:r>
            <w:tab/>
          </w:r>
          <w:r>
            <w:fldChar w:fldCharType="begin"/>
          </w:r>
          <w:r>
            <w:instrText xml:space="preserve"> PAGEREF _Toc31359 </w:instrText>
          </w:r>
          <w:r>
            <w:fldChar w:fldCharType="separate"/>
          </w:r>
          <w:r>
            <w:t>88</w:t>
          </w:r>
          <w:r>
            <w:fldChar w:fldCharType="end"/>
          </w:r>
          <w:r>
            <w:rPr>
              <w:rFonts w:hint="default" w:ascii="Times New Roman" w:hAnsi="Times New Roman" w:eastAsia="宋体" w:cs="Times New Roman"/>
              <w:szCs w:val="24"/>
            </w:rPr>
            <w:fldChar w:fldCharType="end"/>
          </w:r>
        </w:p>
        <w:p>
          <w:pPr>
            <w:pStyle w:val="22"/>
            <w:tabs>
              <w:tab w:val="right" w:leader="dot" w:pos="9076"/>
              <w:tab w:val="clear" w:pos="420"/>
              <w:tab w:val="clear" w:pos="8296"/>
            </w:tabs>
            <w:spacing w:line="360" w:lineRule="auto"/>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_Toc30750 </w:instrText>
          </w:r>
          <w:r>
            <w:rPr>
              <w:rFonts w:hint="default" w:ascii="Times New Roman" w:hAnsi="Times New Roman" w:eastAsia="宋体" w:cs="Times New Roman"/>
              <w:szCs w:val="24"/>
            </w:rPr>
            <w:fldChar w:fldCharType="separate"/>
          </w:r>
          <w:r>
            <w:rPr>
              <w:rFonts w:hint="eastAsia" w:ascii="Times New Roman" w:cs="宋体"/>
              <w:spacing w:val="0"/>
              <w:szCs w:val="20"/>
            </w:rPr>
            <w:t>附图4  项目四至图</w:t>
          </w:r>
          <w:r>
            <w:tab/>
          </w:r>
          <w:r>
            <w:fldChar w:fldCharType="begin"/>
          </w:r>
          <w:r>
            <w:instrText xml:space="preserve"> PAGEREF _Toc30750 </w:instrText>
          </w:r>
          <w:r>
            <w:fldChar w:fldCharType="separate"/>
          </w:r>
          <w:r>
            <w:t>88</w:t>
          </w:r>
          <w:r>
            <w:fldChar w:fldCharType="end"/>
          </w:r>
          <w:r>
            <w:rPr>
              <w:rFonts w:hint="default" w:ascii="Times New Roman" w:hAnsi="Times New Roman" w:eastAsia="宋体" w:cs="Times New Roman"/>
              <w:szCs w:val="24"/>
            </w:rPr>
            <w:fldChar w:fldCharType="end"/>
          </w:r>
        </w:p>
        <w:p>
          <w:pPr>
            <w:pStyle w:val="22"/>
            <w:tabs>
              <w:tab w:val="right" w:leader="dot" w:pos="9076"/>
              <w:tab w:val="clear" w:pos="420"/>
              <w:tab w:val="clear" w:pos="8296"/>
            </w:tabs>
            <w:spacing w:line="360" w:lineRule="auto"/>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_Toc29168 </w:instrText>
          </w:r>
          <w:r>
            <w:rPr>
              <w:rFonts w:hint="default" w:ascii="Times New Roman" w:hAnsi="Times New Roman" w:eastAsia="宋体" w:cs="Times New Roman"/>
              <w:szCs w:val="24"/>
            </w:rPr>
            <w:fldChar w:fldCharType="separate"/>
          </w:r>
          <w:r>
            <w:rPr>
              <w:rFonts w:hint="eastAsia" w:ascii="Times New Roman" w:cs="宋体"/>
              <w:spacing w:val="0"/>
              <w:szCs w:val="20"/>
            </w:rPr>
            <w:t>附图5</w:t>
          </w:r>
          <w:r>
            <w:rPr>
              <w:rFonts w:ascii="Times New Roman" w:cs="宋体"/>
              <w:spacing w:val="0"/>
              <w:szCs w:val="20"/>
            </w:rPr>
            <w:t xml:space="preserve">  </w:t>
          </w:r>
          <w:r>
            <w:rPr>
              <w:rFonts w:hint="eastAsia" w:ascii="Times New Roman" w:cs="宋体"/>
              <w:spacing w:val="0"/>
              <w:szCs w:val="20"/>
            </w:rPr>
            <w:t>项目四至现状图</w:t>
          </w:r>
          <w:r>
            <w:tab/>
          </w:r>
          <w:r>
            <w:fldChar w:fldCharType="begin"/>
          </w:r>
          <w:r>
            <w:instrText xml:space="preserve"> PAGEREF _Toc29168 </w:instrText>
          </w:r>
          <w:r>
            <w:fldChar w:fldCharType="separate"/>
          </w:r>
          <w:r>
            <w:t>88</w:t>
          </w:r>
          <w:r>
            <w:fldChar w:fldCharType="end"/>
          </w:r>
          <w:r>
            <w:rPr>
              <w:rFonts w:hint="default" w:ascii="Times New Roman" w:hAnsi="Times New Roman" w:eastAsia="宋体" w:cs="Times New Roman"/>
              <w:szCs w:val="24"/>
            </w:rPr>
            <w:fldChar w:fldCharType="end"/>
          </w:r>
        </w:p>
        <w:p>
          <w:pPr>
            <w:pStyle w:val="22"/>
            <w:tabs>
              <w:tab w:val="right" w:leader="dot" w:pos="9076"/>
              <w:tab w:val="clear" w:pos="420"/>
              <w:tab w:val="clear" w:pos="8296"/>
            </w:tabs>
            <w:spacing w:line="360" w:lineRule="auto"/>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_Toc3673 </w:instrText>
          </w:r>
          <w:r>
            <w:rPr>
              <w:rFonts w:hint="default" w:ascii="Times New Roman" w:hAnsi="Times New Roman" w:eastAsia="宋体" w:cs="Times New Roman"/>
              <w:szCs w:val="24"/>
            </w:rPr>
            <w:fldChar w:fldCharType="separate"/>
          </w:r>
          <w:r>
            <w:rPr>
              <w:rFonts w:ascii="Times New Roman" w:hAnsi="宋体"/>
              <w:bCs/>
              <w:spacing w:val="0"/>
              <w:kern w:val="0"/>
            </w:rPr>
            <w:t>附图</w:t>
          </w:r>
          <w:r>
            <w:rPr>
              <w:rFonts w:hint="eastAsia" w:ascii="Times New Roman" w:hAnsi="宋体"/>
              <w:bCs/>
              <w:spacing w:val="0"/>
              <w:kern w:val="0"/>
            </w:rPr>
            <w:t>1</w:t>
          </w:r>
          <w:r>
            <w:rPr>
              <w:rFonts w:ascii="Times New Roman"/>
              <w:bCs/>
              <w:spacing w:val="0"/>
              <w:kern w:val="0"/>
            </w:rPr>
            <w:t xml:space="preserve">  </w:t>
          </w:r>
          <w:r>
            <w:rPr>
              <w:rFonts w:ascii="Times New Roman" w:hAnsi="宋体"/>
              <w:bCs/>
              <w:spacing w:val="0"/>
              <w:kern w:val="0"/>
            </w:rPr>
            <w:t>建设项目地理位置</w:t>
          </w:r>
          <w:r>
            <w:rPr>
              <w:rFonts w:hint="eastAsia" w:ascii="Times New Roman" w:hAnsi="宋体"/>
              <w:bCs/>
              <w:spacing w:val="0"/>
              <w:kern w:val="0"/>
            </w:rPr>
            <w:t>图</w:t>
          </w:r>
          <w:r>
            <w:tab/>
          </w:r>
          <w:r>
            <w:fldChar w:fldCharType="begin"/>
          </w:r>
          <w:r>
            <w:instrText xml:space="preserve"> PAGEREF _Toc3673 </w:instrText>
          </w:r>
          <w:r>
            <w:fldChar w:fldCharType="separate"/>
          </w:r>
          <w:r>
            <w:t>89</w:t>
          </w:r>
          <w:r>
            <w:fldChar w:fldCharType="end"/>
          </w:r>
          <w:r>
            <w:rPr>
              <w:rFonts w:hint="default" w:ascii="Times New Roman" w:hAnsi="Times New Roman" w:eastAsia="宋体" w:cs="Times New Roman"/>
              <w:szCs w:val="24"/>
            </w:rPr>
            <w:fldChar w:fldCharType="end"/>
          </w:r>
        </w:p>
        <w:p>
          <w:pPr>
            <w:pStyle w:val="22"/>
            <w:tabs>
              <w:tab w:val="right" w:leader="dot" w:pos="9076"/>
              <w:tab w:val="clear" w:pos="420"/>
              <w:tab w:val="clear" w:pos="8296"/>
            </w:tabs>
            <w:spacing w:line="360" w:lineRule="auto"/>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_Toc13740 </w:instrText>
          </w:r>
          <w:r>
            <w:rPr>
              <w:rFonts w:hint="default" w:ascii="Times New Roman" w:hAnsi="Times New Roman" w:eastAsia="宋体" w:cs="Times New Roman"/>
              <w:szCs w:val="24"/>
            </w:rPr>
            <w:fldChar w:fldCharType="separate"/>
          </w:r>
          <w:r>
            <w:rPr>
              <w:rFonts w:hint="eastAsia" w:ascii="Times New Roman" w:hAnsi="宋体"/>
              <w:bCs/>
              <w:spacing w:val="0"/>
              <w:kern w:val="0"/>
            </w:rPr>
            <w:t xml:space="preserve">附图2 </w:t>
          </w:r>
          <w:r>
            <w:rPr>
              <w:rFonts w:ascii="Times New Roman" w:hAnsi="宋体"/>
              <w:bCs/>
              <w:spacing w:val="0"/>
              <w:kern w:val="0"/>
            </w:rPr>
            <w:t xml:space="preserve"> </w:t>
          </w:r>
          <w:r>
            <w:rPr>
              <w:rFonts w:hint="eastAsia" w:ascii="Times New Roman" w:hAnsi="宋体"/>
              <w:bCs/>
              <w:spacing w:val="0"/>
              <w:kern w:val="0"/>
            </w:rPr>
            <w:t>项目周边敏感目标分布图</w:t>
          </w:r>
          <w:r>
            <w:tab/>
          </w:r>
          <w:r>
            <w:fldChar w:fldCharType="begin"/>
          </w:r>
          <w:r>
            <w:instrText xml:space="preserve"> PAGEREF _Toc13740 </w:instrText>
          </w:r>
          <w:r>
            <w:fldChar w:fldCharType="separate"/>
          </w:r>
          <w:r>
            <w:t>90</w:t>
          </w:r>
          <w:r>
            <w:fldChar w:fldCharType="end"/>
          </w:r>
          <w:r>
            <w:rPr>
              <w:rFonts w:hint="default" w:ascii="Times New Roman" w:hAnsi="Times New Roman" w:eastAsia="宋体" w:cs="Times New Roman"/>
              <w:szCs w:val="24"/>
            </w:rPr>
            <w:fldChar w:fldCharType="end"/>
          </w:r>
        </w:p>
        <w:p>
          <w:pPr>
            <w:pStyle w:val="22"/>
            <w:tabs>
              <w:tab w:val="right" w:leader="dot" w:pos="9076"/>
              <w:tab w:val="clear" w:pos="420"/>
              <w:tab w:val="clear" w:pos="8296"/>
            </w:tabs>
            <w:spacing w:line="360" w:lineRule="auto"/>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_Toc15229 </w:instrText>
          </w:r>
          <w:r>
            <w:rPr>
              <w:rFonts w:hint="default" w:ascii="Times New Roman" w:hAnsi="Times New Roman" w:eastAsia="宋体" w:cs="Times New Roman"/>
              <w:szCs w:val="24"/>
            </w:rPr>
            <w:fldChar w:fldCharType="separate"/>
          </w:r>
          <w:r>
            <w:rPr>
              <w:rFonts w:hint="eastAsia" w:ascii="Times New Roman"/>
              <w:bCs/>
              <w:spacing w:val="0"/>
              <w:kern w:val="0"/>
            </w:rPr>
            <w:t xml:space="preserve">附图3 </w:t>
          </w:r>
          <w:r>
            <w:rPr>
              <w:rFonts w:ascii="Times New Roman"/>
              <w:bCs/>
              <w:spacing w:val="0"/>
              <w:kern w:val="0"/>
            </w:rPr>
            <w:t xml:space="preserve"> </w:t>
          </w:r>
          <w:r>
            <w:rPr>
              <w:rFonts w:hint="eastAsia" w:ascii="Times New Roman"/>
              <w:bCs/>
              <w:spacing w:val="0"/>
              <w:kern w:val="0"/>
            </w:rPr>
            <w:t>平面布置图</w:t>
          </w:r>
          <w:r>
            <w:tab/>
          </w:r>
          <w:r>
            <w:fldChar w:fldCharType="begin"/>
          </w:r>
          <w:r>
            <w:instrText xml:space="preserve"> PAGEREF _Toc15229 </w:instrText>
          </w:r>
          <w:r>
            <w:fldChar w:fldCharType="separate"/>
          </w:r>
          <w:r>
            <w:t>91</w:t>
          </w:r>
          <w:r>
            <w:fldChar w:fldCharType="end"/>
          </w:r>
          <w:r>
            <w:rPr>
              <w:rFonts w:hint="default" w:ascii="Times New Roman" w:hAnsi="Times New Roman" w:eastAsia="宋体" w:cs="Times New Roman"/>
              <w:szCs w:val="24"/>
            </w:rPr>
            <w:fldChar w:fldCharType="end"/>
          </w:r>
        </w:p>
        <w:p>
          <w:pPr>
            <w:pStyle w:val="22"/>
            <w:tabs>
              <w:tab w:val="right" w:leader="dot" w:pos="9076"/>
              <w:tab w:val="clear" w:pos="420"/>
              <w:tab w:val="clear" w:pos="8296"/>
            </w:tabs>
            <w:spacing w:line="360" w:lineRule="auto"/>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_Toc8804 </w:instrText>
          </w:r>
          <w:r>
            <w:rPr>
              <w:rFonts w:hint="default" w:ascii="Times New Roman" w:hAnsi="Times New Roman" w:eastAsia="宋体" w:cs="Times New Roman"/>
              <w:szCs w:val="24"/>
            </w:rPr>
            <w:fldChar w:fldCharType="separate"/>
          </w:r>
          <w:r>
            <w:rPr>
              <w:rFonts w:hint="eastAsia" w:ascii="Times New Roman"/>
              <w:spacing w:val="0"/>
              <w:kern w:val="0"/>
            </w:rPr>
            <w:t>附图4  项目四至图</w:t>
          </w:r>
          <w:r>
            <w:tab/>
          </w:r>
          <w:r>
            <w:fldChar w:fldCharType="begin"/>
          </w:r>
          <w:r>
            <w:instrText xml:space="preserve"> PAGEREF _Toc8804 </w:instrText>
          </w:r>
          <w:r>
            <w:fldChar w:fldCharType="separate"/>
          </w:r>
          <w:r>
            <w:t>92</w:t>
          </w:r>
          <w:r>
            <w:fldChar w:fldCharType="end"/>
          </w:r>
          <w:r>
            <w:rPr>
              <w:rFonts w:hint="default" w:ascii="Times New Roman" w:hAnsi="Times New Roman" w:eastAsia="宋体" w:cs="Times New Roman"/>
              <w:szCs w:val="24"/>
            </w:rPr>
            <w:fldChar w:fldCharType="end"/>
          </w:r>
        </w:p>
        <w:p>
          <w:pPr>
            <w:pStyle w:val="22"/>
            <w:tabs>
              <w:tab w:val="right" w:leader="dot" w:pos="9076"/>
              <w:tab w:val="clear" w:pos="420"/>
              <w:tab w:val="clear" w:pos="8296"/>
            </w:tabs>
            <w:spacing w:line="360" w:lineRule="auto"/>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_Toc398 </w:instrText>
          </w:r>
          <w:r>
            <w:rPr>
              <w:rFonts w:hint="default" w:ascii="Times New Roman" w:hAnsi="Times New Roman" w:eastAsia="宋体" w:cs="Times New Roman"/>
              <w:szCs w:val="24"/>
            </w:rPr>
            <w:fldChar w:fldCharType="separate"/>
          </w:r>
          <w:r>
            <w:rPr>
              <w:rFonts w:hint="eastAsia" w:ascii="Times New Roman"/>
              <w:bCs/>
              <w:spacing w:val="0"/>
              <w:kern w:val="0"/>
            </w:rPr>
            <w:t>附图</w:t>
          </w:r>
          <w:r>
            <w:rPr>
              <w:rFonts w:ascii="Times New Roman"/>
              <w:bCs/>
              <w:spacing w:val="0"/>
              <w:kern w:val="0"/>
            </w:rPr>
            <w:t>5</w:t>
          </w:r>
          <w:r>
            <w:rPr>
              <w:rFonts w:hint="eastAsia" w:ascii="Times New Roman"/>
              <w:bCs/>
              <w:spacing w:val="0"/>
              <w:kern w:val="0"/>
            </w:rPr>
            <w:t xml:space="preserve">  项目四至现状图</w:t>
          </w:r>
          <w:r>
            <w:tab/>
          </w:r>
          <w:r>
            <w:fldChar w:fldCharType="begin"/>
          </w:r>
          <w:r>
            <w:instrText xml:space="preserve"> PAGEREF _Toc398 </w:instrText>
          </w:r>
          <w:r>
            <w:fldChar w:fldCharType="separate"/>
          </w:r>
          <w:r>
            <w:t>93</w:t>
          </w:r>
          <w:r>
            <w:fldChar w:fldCharType="end"/>
          </w:r>
          <w:r>
            <w:rPr>
              <w:rFonts w:hint="default" w:ascii="Times New Roman" w:hAnsi="Times New Roman" w:eastAsia="宋体" w:cs="Times New Roman"/>
              <w:szCs w:val="24"/>
            </w:rPr>
            <w:fldChar w:fldCharType="end"/>
          </w:r>
        </w:p>
        <w:p>
          <w:pPr>
            <w:pStyle w:val="22"/>
            <w:tabs>
              <w:tab w:val="right" w:leader="dot" w:pos="9076"/>
              <w:tab w:val="clear" w:pos="420"/>
              <w:tab w:val="clear" w:pos="8296"/>
            </w:tabs>
            <w:spacing w:line="360" w:lineRule="auto"/>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_Toc29086 </w:instrText>
          </w:r>
          <w:r>
            <w:rPr>
              <w:rFonts w:hint="default" w:ascii="Times New Roman" w:hAnsi="Times New Roman" w:eastAsia="宋体" w:cs="Times New Roman"/>
              <w:szCs w:val="24"/>
            </w:rPr>
            <w:fldChar w:fldCharType="separate"/>
          </w:r>
          <w:r>
            <w:rPr>
              <w:rFonts w:ascii="Times New Roman" w:hAnsi="宋体"/>
              <w:spacing w:val="0"/>
              <w:kern w:val="0"/>
            </w:rPr>
            <w:t>附件</w:t>
          </w:r>
          <w:r>
            <w:rPr>
              <w:rFonts w:hint="eastAsia" w:ascii="Times New Roman" w:hAnsi="宋体"/>
              <w:spacing w:val="0"/>
              <w:kern w:val="0"/>
            </w:rPr>
            <w:t>1</w:t>
          </w:r>
          <w:r>
            <w:rPr>
              <w:rFonts w:ascii="Times New Roman"/>
              <w:spacing w:val="0"/>
              <w:kern w:val="0"/>
            </w:rPr>
            <w:t xml:space="preserve">  </w:t>
          </w:r>
          <w:r>
            <w:rPr>
              <w:rFonts w:hint="eastAsia" w:ascii="Times New Roman" w:hAnsi="宋体"/>
              <w:spacing w:val="0"/>
              <w:kern w:val="0"/>
            </w:rPr>
            <w:t>委托书</w:t>
          </w:r>
          <w:r>
            <w:tab/>
          </w:r>
          <w:r>
            <w:fldChar w:fldCharType="begin"/>
          </w:r>
          <w:r>
            <w:instrText xml:space="preserve"> PAGEREF _Toc29086 </w:instrText>
          </w:r>
          <w:r>
            <w:fldChar w:fldCharType="separate"/>
          </w:r>
          <w:r>
            <w:t>94</w:t>
          </w:r>
          <w:r>
            <w:fldChar w:fldCharType="end"/>
          </w:r>
          <w:r>
            <w:rPr>
              <w:rFonts w:hint="default" w:ascii="Times New Roman" w:hAnsi="Times New Roman" w:eastAsia="宋体" w:cs="Times New Roman"/>
              <w:szCs w:val="24"/>
            </w:rPr>
            <w:fldChar w:fldCharType="end"/>
          </w:r>
        </w:p>
        <w:p>
          <w:pPr>
            <w:pStyle w:val="22"/>
            <w:tabs>
              <w:tab w:val="right" w:leader="dot" w:pos="9076"/>
              <w:tab w:val="clear" w:pos="420"/>
              <w:tab w:val="clear" w:pos="8296"/>
            </w:tabs>
            <w:spacing w:line="360" w:lineRule="auto"/>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_Toc23858 </w:instrText>
          </w:r>
          <w:r>
            <w:rPr>
              <w:rFonts w:hint="default" w:ascii="Times New Roman" w:hAnsi="Times New Roman" w:eastAsia="宋体" w:cs="Times New Roman"/>
              <w:szCs w:val="24"/>
            </w:rPr>
            <w:fldChar w:fldCharType="separate"/>
          </w:r>
          <w:r>
            <w:rPr>
              <w:rFonts w:hint="eastAsia" w:ascii="Times New Roman" w:hAnsi="宋体"/>
              <w:spacing w:val="0"/>
              <w:kern w:val="0"/>
            </w:rPr>
            <w:t>附件</w:t>
          </w:r>
          <w:r>
            <w:rPr>
              <w:rFonts w:ascii="Times New Roman" w:hAnsi="宋体"/>
              <w:spacing w:val="0"/>
              <w:kern w:val="0"/>
            </w:rPr>
            <w:t xml:space="preserve">2 </w:t>
          </w:r>
          <w:r>
            <w:rPr>
              <w:rFonts w:hint="eastAsia" w:ascii="Times New Roman" w:hAnsi="宋体"/>
              <w:spacing w:val="0"/>
              <w:kern w:val="0"/>
            </w:rPr>
            <w:t>承诺书</w:t>
          </w:r>
          <w:r>
            <w:tab/>
          </w:r>
          <w:r>
            <w:fldChar w:fldCharType="begin"/>
          </w:r>
          <w:r>
            <w:instrText xml:space="preserve"> PAGEREF _Toc23858 </w:instrText>
          </w:r>
          <w:r>
            <w:fldChar w:fldCharType="separate"/>
          </w:r>
          <w:r>
            <w:t>95</w:t>
          </w:r>
          <w:r>
            <w:fldChar w:fldCharType="end"/>
          </w:r>
          <w:r>
            <w:rPr>
              <w:rFonts w:hint="default" w:ascii="Times New Roman" w:hAnsi="Times New Roman" w:eastAsia="宋体" w:cs="Times New Roman"/>
              <w:szCs w:val="24"/>
            </w:rPr>
            <w:fldChar w:fldCharType="end"/>
          </w:r>
        </w:p>
        <w:p>
          <w:pPr>
            <w:pStyle w:val="22"/>
            <w:tabs>
              <w:tab w:val="right" w:leader="dot" w:pos="9076"/>
              <w:tab w:val="clear" w:pos="420"/>
              <w:tab w:val="clear" w:pos="8296"/>
            </w:tabs>
            <w:spacing w:line="360" w:lineRule="auto"/>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_Toc31193 </w:instrText>
          </w:r>
          <w:r>
            <w:rPr>
              <w:rFonts w:hint="default" w:ascii="Times New Roman" w:hAnsi="Times New Roman" w:eastAsia="宋体" w:cs="Times New Roman"/>
              <w:szCs w:val="24"/>
            </w:rPr>
            <w:fldChar w:fldCharType="separate"/>
          </w:r>
          <w:r>
            <w:rPr>
              <w:rFonts w:ascii="Times New Roman" w:hAnsi="宋体"/>
              <w:spacing w:val="0"/>
              <w:kern w:val="0"/>
            </w:rPr>
            <w:t xml:space="preserve">附件3 </w:t>
          </w:r>
          <w:r>
            <w:rPr>
              <w:rFonts w:hint="eastAsia" w:ascii="Times New Roman" w:hAnsi="宋体"/>
              <w:spacing w:val="0"/>
              <w:kern w:val="0"/>
            </w:rPr>
            <w:t>土地证明</w:t>
          </w:r>
          <w:r>
            <w:tab/>
          </w:r>
          <w:r>
            <w:fldChar w:fldCharType="begin"/>
          </w:r>
          <w:r>
            <w:instrText xml:space="preserve"> PAGEREF _Toc31193 </w:instrText>
          </w:r>
          <w:r>
            <w:fldChar w:fldCharType="separate"/>
          </w:r>
          <w:r>
            <w:t>98</w:t>
          </w:r>
          <w:r>
            <w:fldChar w:fldCharType="end"/>
          </w:r>
          <w:r>
            <w:rPr>
              <w:rFonts w:hint="default" w:ascii="Times New Roman" w:hAnsi="Times New Roman" w:eastAsia="宋体" w:cs="Times New Roman"/>
              <w:szCs w:val="24"/>
            </w:rPr>
            <w:fldChar w:fldCharType="end"/>
          </w:r>
        </w:p>
        <w:p>
          <w:pPr>
            <w:pStyle w:val="22"/>
            <w:tabs>
              <w:tab w:val="right" w:leader="dot" w:pos="9076"/>
              <w:tab w:val="clear" w:pos="420"/>
              <w:tab w:val="clear" w:pos="8296"/>
            </w:tabs>
            <w:spacing w:line="360" w:lineRule="auto"/>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_Toc3505 </w:instrText>
          </w:r>
          <w:r>
            <w:rPr>
              <w:rFonts w:hint="default" w:ascii="Times New Roman" w:hAnsi="Times New Roman" w:eastAsia="宋体" w:cs="Times New Roman"/>
              <w:szCs w:val="24"/>
            </w:rPr>
            <w:fldChar w:fldCharType="separate"/>
          </w:r>
          <w:r>
            <w:rPr>
              <w:rFonts w:ascii="Times New Roman" w:hAnsi="宋体"/>
              <w:spacing w:val="0"/>
              <w:kern w:val="0"/>
            </w:rPr>
            <w:t>附件4</w:t>
          </w:r>
          <w:r>
            <w:rPr>
              <w:rFonts w:hint="eastAsia" w:ascii="Times New Roman" w:hAnsi="宋体"/>
              <w:spacing w:val="0"/>
              <w:kern w:val="0"/>
            </w:rPr>
            <w:t>《关于同意雷州市雷高镇海东加油站平面规划方案的批复》</w:t>
          </w:r>
          <w:r>
            <w:tab/>
          </w:r>
          <w:r>
            <w:fldChar w:fldCharType="begin"/>
          </w:r>
          <w:r>
            <w:instrText xml:space="preserve"> PAGEREF _Toc3505 </w:instrText>
          </w:r>
          <w:r>
            <w:fldChar w:fldCharType="separate"/>
          </w:r>
          <w:r>
            <w:t>103</w:t>
          </w:r>
          <w:r>
            <w:fldChar w:fldCharType="end"/>
          </w:r>
          <w:r>
            <w:rPr>
              <w:rFonts w:hint="default" w:ascii="Times New Roman" w:hAnsi="Times New Roman" w:eastAsia="宋体" w:cs="Times New Roman"/>
              <w:szCs w:val="24"/>
            </w:rPr>
            <w:fldChar w:fldCharType="end"/>
          </w:r>
        </w:p>
        <w:p>
          <w:pPr>
            <w:pStyle w:val="22"/>
            <w:tabs>
              <w:tab w:val="right" w:leader="dot" w:pos="9076"/>
              <w:tab w:val="clear" w:pos="420"/>
              <w:tab w:val="clear" w:pos="8296"/>
            </w:tabs>
            <w:spacing w:line="360" w:lineRule="auto"/>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_Toc15602 </w:instrText>
          </w:r>
          <w:r>
            <w:rPr>
              <w:rFonts w:hint="default" w:ascii="Times New Roman" w:hAnsi="Times New Roman" w:eastAsia="宋体" w:cs="Times New Roman"/>
              <w:szCs w:val="24"/>
            </w:rPr>
            <w:fldChar w:fldCharType="separate"/>
          </w:r>
          <w:r>
            <w:rPr>
              <w:rFonts w:ascii="Times New Roman" w:hAnsi="宋体"/>
              <w:spacing w:val="0"/>
              <w:kern w:val="0"/>
            </w:rPr>
            <w:t>附件5</w:t>
          </w:r>
          <w:r>
            <w:rPr>
              <w:rFonts w:hint="eastAsia" w:ascii="Times New Roman" w:hAnsi="宋体"/>
              <w:spacing w:val="0"/>
              <w:kern w:val="0"/>
            </w:rPr>
            <w:t>《关于雷州市雷高镇海东加油站用地地块规划用途的说明》</w:t>
          </w:r>
          <w:r>
            <w:tab/>
          </w:r>
          <w:r>
            <w:fldChar w:fldCharType="begin"/>
          </w:r>
          <w:r>
            <w:instrText xml:space="preserve"> PAGEREF _Toc15602 </w:instrText>
          </w:r>
          <w:r>
            <w:fldChar w:fldCharType="separate"/>
          </w:r>
          <w:r>
            <w:t>105</w:t>
          </w:r>
          <w:r>
            <w:fldChar w:fldCharType="end"/>
          </w:r>
          <w:r>
            <w:rPr>
              <w:rFonts w:hint="default" w:ascii="Times New Roman" w:hAnsi="Times New Roman" w:eastAsia="宋体" w:cs="Times New Roman"/>
              <w:szCs w:val="24"/>
            </w:rPr>
            <w:fldChar w:fldCharType="end"/>
          </w:r>
        </w:p>
        <w:p>
          <w:pPr>
            <w:pStyle w:val="22"/>
            <w:tabs>
              <w:tab w:val="right" w:leader="dot" w:pos="9076"/>
              <w:tab w:val="clear" w:pos="420"/>
              <w:tab w:val="clear" w:pos="8296"/>
            </w:tabs>
            <w:spacing w:line="360" w:lineRule="auto"/>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_Toc13885 </w:instrText>
          </w:r>
          <w:r>
            <w:rPr>
              <w:rFonts w:hint="default" w:ascii="Times New Roman" w:hAnsi="Times New Roman" w:eastAsia="宋体" w:cs="Times New Roman"/>
              <w:szCs w:val="24"/>
            </w:rPr>
            <w:fldChar w:fldCharType="separate"/>
          </w:r>
          <w:r>
            <w:rPr>
              <w:rFonts w:ascii="Times New Roman" w:hAnsi="宋体"/>
              <w:spacing w:val="0"/>
              <w:kern w:val="0"/>
            </w:rPr>
            <w:t>附件</w:t>
          </w:r>
          <w:r>
            <w:rPr>
              <w:rFonts w:hint="eastAsia" w:ascii="Times New Roman" w:hAnsi="宋体"/>
              <w:spacing w:val="0"/>
              <w:kern w:val="0"/>
            </w:rPr>
            <w:t>6</w:t>
          </w:r>
          <w:r>
            <w:rPr>
              <w:rFonts w:ascii="Times New Roman" w:hAnsi="宋体"/>
              <w:spacing w:val="0"/>
              <w:kern w:val="0"/>
            </w:rPr>
            <w:t xml:space="preserve">  </w:t>
          </w:r>
          <w:r>
            <w:rPr>
              <w:rFonts w:hint="eastAsia" w:ascii="Times New Roman" w:hAnsi="宋体"/>
              <w:spacing w:val="0"/>
              <w:kern w:val="0"/>
            </w:rPr>
            <w:t>备案证明</w:t>
          </w:r>
          <w:r>
            <w:tab/>
          </w:r>
          <w:r>
            <w:fldChar w:fldCharType="begin"/>
          </w:r>
          <w:r>
            <w:instrText xml:space="preserve"> PAGEREF _Toc13885 </w:instrText>
          </w:r>
          <w:r>
            <w:fldChar w:fldCharType="separate"/>
          </w:r>
          <w:r>
            <w:t>107</w:t>
          </w:r>
          <w:r>
            <w:fldChar w:fldCharType="end"/>
          </w:r>
          <w:r>
            <w:rPr>
              <w:rFonts w:hint="default" w:ascii="Times New Roman" w:hAnsi="Times New Roman" w:eastAsia="宋体" w:cs="Times New Roman"/>
              <w:szCs w:val="24"/>
            </w:rPr>
            <w:fldChar w:fldCharType="end"/>
          </w:r>
        </w:p>
        <w:p>
          <w:pPr>
            <w:pStyle w:val="22"/>
            <w:tabs>
              <w:tab w:val="right" w:leader="dot" w:pos="9076"/>
              <w:tab w:val="clear" w:pos="420"/>
              <w:tab w:val="clear" w:pos="8296"/>
            </w:tabs>
            <w:spacing w:line="360" w:lineRule="auto"/>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_Toc7905 </w:instrText>
          </w:r>
          <w:r>
            <w:rPr>
              <w:rFonts w:hint="default" w:ascii="Times New Roman" w:hAnsi="Times New Roman" w:eastAsia="宋体" w:cs="Times New Roman"/>
              <w:szCs w:val="24"/>
            </w:rPr>
            <w:fldChar w:fldCharType="separate"/>
          </w:r>
          <w:r>
            <w:rPr>
              <w:rFonts w:ascii="Times New Roman" w:hAnsi="宋体"/>
              <w:spacing w:val="0"/>
              <w:kern w:val="0"/>
            </w:rPr>
            <w:t>附件7</w:t>
          </w:r>
          <w:r>
            <w:rPr>
              <w:rFonts w:ascii="Times New Roman"/>
              <w:spacing w:val="0"/>
              <w:kern w:val="0"/>
            </w:rPr>
            <w:t xml:space="preserve">  </w:t>
          </w:r>
          <w:r>
            <w:rPr>
              <w:rFonts w:hint="eastAsia" w:ascii="Times New Roman" w:hAnsi="宋体"/>
              <w:spacing w:val="0"/>
              <w:kern w:val="0"/>
            </w:rPr>
            <w:t>营业执照</w:t>
          </w:r>
          <w:r>
            <w:tab/>
          </w:r>
          <w:r>
            <w:fldChar w:fldCharType="begin"/>
          </w:r>
          <w:r>
            <w:instrText xml:space="preserve"> PAGEREF _Toc7905 </w:instrText>
          </w:r>
          <w:r>
            <w:fldChar w:fldCharType="separate"/>
          </w:r>
          <w:r>
            <w:t>108</w:t>
          </w:r>
          <w:r>
            <w:fldChar w:fldCharType="end"/>
          </w:r>
          <w:r>
            <w:rPr>
              <w:rFonts w:hint="default" w:ascii="Times New Roman" w:hAnsi="Times New Roman" w:eastAsia="宋体" w:cs="Times New Roman"/>
              <w:szCs w:val="24"/>
            </w:rPr>
            <w:fldChar w:fldCharType="end"/>
          </w:r>
        </w:p>
        <w:p>
          <w:pPr>
            <w:pStyle w:val="22"/>
            <w:tabs>
              <w:tab w:val="right" w:leader="dot" w:pos="9076"/>
              <w:tab w:val="clear" w:pos="420"/>
              <w:tab w:val="clear" w:pos="8296"/>
            </w:tabs>
            <w:spacing w:line="360" w:lineRule="auto"/>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_Toc27227 </w:instrText>
          </w:r>
          <w:r>
            <w:rPr>
              <w:rFonts w:hint="default" w:ascii="Times New Roman" w:hAnsi="Times New Roman" w:eastAsia="宋体" w:cs="Times New Roman"/>
              <w:szCs w:val="24"/>
            </w:rPr>
            <w:fldChar w:fldCharType="separate"/>
          </w:r>
          <w:r>
            <w:rPr>
              <w:rFonts w:ascii="Times New Roman" w:hAnsi="宋体"/>
              <w:bCs/>
              <w:spacing w:val="0"/>
              <w:kern w:val="0"/>
            </w:rPr>
            <w:t>附</w:t>
          </w:r>
          <w:r>
            <w:rPr>
              <w:rFonts w:hint="eastAsia" w:ascii="Times New Roman" w:hAnsi="宋体"/>
              <w:bCs/>
              <w:spacing w:val="0"/>
              <w:kern w:val="0"/>
            </w:rPr>
            <w:t>表</w:t>
          </w:r>
          <w:r>
            <w:rPr>
              <w:rFonts w:ascii="Times New Roman" w:hAnsi="宋体"/>
              <w:bCs/>
              <w:spacing w:val="0"/>
              <w:kern w:val="0"/>
            </w:rPr>
            <w:t>1</w:t>
          </w:r>
          <w:r>
            <w:rPr>
              <w:rFonts w:ascii="Times New Roman"/>
              <w:bCs/>
              <w:spacing w:val="0"/>
              <w:kern w:val="0"/>
            </w:rPr>
            <w:t xml:space="preserve">  </w:t>
          </w:r>
          <w:r>
            <w:rPr>
              <w:rFonts w:hint="eastAsia" w:ascii="Times New Roman"/>
              <w:bCs/>
              <w:spacing w:val="0"/>
              <w:kern w:val="0"/>
              <w:lang w:val="en-US" w:eastAsia="zh-CN"/>
            </w:rPr>
            <w:t>建设项目环评审批</w:t>
          </w:r>
          <w:r>
            <w:rPr>
              <w:rFonts w:hint="eastAsia" w:ascii="Times New Roman" w:hAnsi="宋体"/>
              <w:bCs/>
              <w:spacing w:val="0"/>
              <w:kern w:val="0"/>
            </w:rPr>
            <w:t>基础信息表</w:t>
          </w:r>
          <w:r>
            <w:tab/>
          </w:r>
          <w:r>
            <w:fldChar w:fldCharType="begin"/>
          </w:r>
          <w:r>
            <w:instrText xml:space="preserve"> PAGEREF _Toc27227 </w:instrText>
          </w:r>
          <w:r>
            <w:fldChar w:fldCharType="separate"/>
          </w:r>
          <w:r>
            <w:t>109</w:t>
          </w:r>
          <w:r>
            <w:fldChar w:fldCharType="end"/>
          </w:r>
          <w:r>
            <w:rPr>
              <w:rFonts w:hint="default" w:ascii="Times New Roman" w:hAnsi="Times New Roman" w:eastAsia="宋体" w:cs="Times New Roman"/>
              <w:szCs w:val="24"/>
            </w:rPr>
            <w:fldChar w:fldCharType="end"/>
          </w:r>
        </w:p>
        <w:p>
          <w:pPr>
            <w:pStyle w:val="2"/>
            <w:spacing w:line="360" w:lineRule="auto"/>
            <w:rPr>
              <w:sz w:val="24"/>
            </w:rPr>
            <w:sectPr>
              <w:footerReference r:id="rId5" w:type="default"/>
              <w:pgSz w:w="11910" w:h="16840"/>
              <w:pgMar w:top="1417" w:right="1417" w:bottom="1417" w:left="1417" w:header="720" w:footer="720" w:gutter="0"/>
              <w:pgBorders>
                <w:top w:val="none" w:sz="0" w:space="0"/>
                <w:left w:val="none" w:sz="0" w:space="0"/>
                <w:bottom w:val="none" w:sz="0" w:space="0"/>
                <w:right w:val="none" w:sz="0" w:space="0"/>
              </w:pgBorders>
              <w:pgNumType w:start="1"/>
              <w:cols w:space="720" w:num="1"/>
            </w:sectPr>
          </w:pPr>
          <w:r>
            <w:rPr>
              <w:rFonts w:hint="default" w:ascii="Times New Roman" w:hAnsi="Times New Roman" w:eastAsia="宋体" w:cs="Times New Roman"/>
              <w:szCs w:val="24"/>
            </w:rPr>
            <w:fldChar w:fldCharType="end"/>
          </w:r>
        </w:p>
      </w:sdtContent>
    </w:sdt>
    <w:p>
      <w:pPr>
        <w:spacing w:line="240" w:lineRule="auto"/>
        <w:outlineLvl w:val="0"/>
        <w:rPr>
          <w:b/>
          <w:snapToGrid w:val="0"/>
          <w:kern w:val="2"/>
          <w:sz w:val="30"/>
        </w:rPr>
      </w:pPr>
      <w:bookmarkStart w:id="1" w:name="_Toc16631"/>
      <w:r>
        <w:rPr>
          <w:rFonts w:hAnsi="宋体"/>
          <w:b/>
          <w:kern w:val="21"/>
          <w:sz w:val="32"/>
        </w:rPr>
        <w:t>建设项目基本情况</w:t>
      </w:r>
      <w:bookmarkEnd w:id="1"/>
    </w:p>
    <w:tbl>
      <w:tblPr>
        <w:tblStyle w:val="30"/>
        <w:tblW w:w="917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42"/>
        <w:gridCol w:w="1927"/>
        <w:gridCol w:w="584"/>
        <w:gridCol w:w="891"/>
        <w:gridCol w:w="708"/>
        <w:gridCol w:w="35"/>
        <w:gridCol w:w="504"/>
        <w:gridCol w:w="845"/>
        <w:gridCol w:w="825"/>
        <w:gridCol w:w="14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42" w:type="dxa"/>
            <w:tcBorders>
              <w:tl2br w:val="nil"/>
              <w:tr2bl w:val="nil"/>
            </w:tcBorders>
            <w:vAlign w:val="center"/>
          </w:tcPr>
          <w:p>
            <w:pPr>
              <w:adjustRightInd/>
              <w:spacing w:line="240" w:lineRule="auto"/>
              <w:jc w:val="center"/>
              <w:rPr>
                <w:rFonts w:hint="default" w:ascii="Times New Roman" w:hAnsi="Times New Roman" w:cs="Times New Roman"/>
                <w:b/>
                <w:sz w:val="24"/>
              </w:rPr>
            </w:pPr>
            <w:r>
              <w:rPr>
                <w:rFonts w:hint="default" w:ascii="Times New Roman" w:hAnsi="Times New Roman" w:cs="Times New Roman"/>
                <w:b/>
                <w:sz w:val="24"/>
              </w:rPr>
              <w:t>项目名称</w:t>
            </w:r>
          </w:p>
        </w:tc>
        <w:tc>
          <w:tcPr>
            <w:tcW w:w="7732" w:type="dxa"/>
            <w:gridSpan w:val="9"/>
            <w:tcBorders>
              <w:tl2br w:val="nil"/>
              <w:tr2bl w:val="nil"/>
            </w:tcBorders>
            <w:vAlign w:val="center"/>
          </w:tcPr>
          <w:p>
            <w:pPr>
              <w:adjustRightInd/>
              <w:spacing w:line="240" w:lineRule="auto"/>
              <w:jc w:val="center"/>
              <w:rPr>
                <w:rFonts w:hint="default" w:ascii="Times New Roman" w:hAnsi="Times New Roman" w:cs="Times New Roman"/>
                <w:sz w:val="24"/>
              </w:rPr>
            </w:pPr>
            <w:r>
              <w:rPr>
                <w:rFonts w:hint="default" w:ascii="Times New Roman" w:hAnsi="Times New Roman" w:cs="Times New Roman"/>
                <w:sz w:val="24"/>
              </w:rPr>
              <w:t>雷州市雷高镇海东加油站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42" w:type="dxa"/>
            <w:tcBorders>
              <w:tl2br w:val="nil"/>
              <w:tr2bl w:val="nil"/>
            </w:tcBorders>
            <w:vAlign w:val="center"/>
          </w:tcPr>
          <w:p>
            <w:pPr>
              <w:adjustRightInd/>
              <w:spacing w:line="240" w:lineRule="auto"/>
              <w:jc w:val="center"/>
              <w:rPr>
                <w:rFonts w:hint="default" w:ascii="Times New Roman" w:hAnsi="Times New Roman" w:cs="Times New Roman"/>
                <w:b/>
                <w:sz w:val="24"/>
              </w:rPr>
            </w:pPr>
            <w:r>
              <w:rPr>
                <w:rFonts w:hint="default" w:ascii="Times New Roman" w:hAnsi="Times New Roman" w:cs="Times New Roman"/>
                <w:b/>
                <w:sz w:val="24"/>
              </w:rPr>
              <w:t>建设单位</w:t>
            </w:r>
          </w:p>
        </w:tc>
        <w:tc>
          <w:tcPr>
            <w:tcW w:w="7732" w:type="dxa"/>
            <w:gridSpan w:val="9"/>
            <w:tcBorders>
              <w:tl2br w:val="nil"/>
              <w:tr2bl w:val="nil"/>
            </w:tcBorders>
            <w:vAlign w:val="center"/>
          </w:tcPr>
          <w:p>
            <w:pPr>
              <w:tabs>
                <w:tab w:val="left" w:pos="2672"/>
              </w:tabs>
              <w:adjustRightInd/>
              <w:spacing w:line="240" w:lineRule="auto"/>
              <w:jc w:val="center"/>
              <w:rPr>
                <w:rFonts w:hint="default" w:ascii="Times New Roman" w:hAnsi="Times New Roman" w:cs="Times New Roman"/>
                <w:sz w:val="24"/>
              </w:rPr>
            </w:pPr>
            <w:r>
              <w:rPr>
                <w:rFonts w:hint="default" w:ascii="Times New Roman" w:hAnsi="Times New Roman" w:cs="Times New Roman"/>
                <w:sz w:val="24"/>
              </w:rPr>
              <w:t>雷州市雷高镇海东加油站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42" w:type="dxa"/>
            <w:tcBorders>
              <w:tl2br w:val="nil"/>
              <w:tr2bl w:val="nil"/>
            </w:tcBorders>
            <w:vAlign w:val="center"/>
          </w:tcPr>
          <w:p>
            <w:pPr>
              <w:adjustRightInd/>
              <w:spacing w:line="240" w:lineRule="auto"/>
              <w:jc w:val="center"/>
              <w:rPr>
                <w:rFonts w:hint="default" w:ascii="Times New Roman" w:hAnsi="Times New Roman" w:cs="Times New Roman"/>
                <w:b/>
                <w:sz w:val="24"/>
              </w:rPr>
            </w:pPr>
            <w:r>
              <w:rPr>
                <w:rFonts w:hint="default" w:ascii="Times New Roman" w:hAnsi="Times New Roman" w:cs="Times New Roman"/>
                <w:b/>
                <w:sz w:val="24"/>
              </w:rPr>
              <w:t>法人代表</w:t>
            </w:r>
          </w:p>
        </w:tc>
        <w:tc>
          <w:tcPr>
            <w:tcW w:w="3402" w:type="dxa"/>
            <w:gridSpan w:val="3"/>
            <w:tcBorders>
              <w:tl2br w:val="nil"/>
              <w:tr2bl w:val="nil"/>
            </w:tcBorders>
            <w:vAlign w:val="center"/>
          </w:tcPr>
          <w:p>
            <w:pPr>
              <w:adjustRightInd/>
              <w:spacing w:line="240" w:lineRule="auto"/>
              <w:ind w:firstLine="1170" w:firstLineChars="450"/>
              <w:rPr>
                <w:rFonts w:hint="default" w:ascii="Times New Roman" w:hAnsi="Times New Roman" w:cs="Times New Roman"/>
                <w:sz w:val="24"/>
                <w:szCs w:val="24"/>
              </w:rPr>
            </w:pPr>
            <w:r>
              <w:rPr>
                <w:rFonts w:hint="default" w:ascii="Times New Roman" w:hAnsi="Times New Roman" w:cs="Times New Roman"/>
                <w:snapToGrid w:val="0"/>
                <w:spacing w:val="10"/>
                <w:sz w:val="24"/>
                <w:szCs w:val="24"/>
              </w:rPr>
              <w:t>陈家和</w:t>
            </w:r>
          </w:p>
        </w:tc>
        <w:tc>
          <w:tcPr>
            <w:tcW w:w="2092" w:type="dxa"/>
            <w:gridSpan w:val="4"/>
            <w:tcBorders>
              <w:tl2br w:val="nil"/>
              <w:tr2bl w:val="nil"/>
            </w:tcBorders>
            <w:vAlign w:val="center"/>
          </w:tcPr>
          <w:p>
            <w:pPr>
              <w:adjustRightInd/>
              <w:spacing w:line="24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联系人</w:t>
            </w:r>
          </w:p>
        </w:tc>
        <w:tc>
          <w:tcPr>
            <w:tcW w:w="2238" w:type="dxa"/>
            <w:gridSpan w:val="2"/>
            <w:tcBorders>
              <w:tl2br w:val="nil"/>
              <w:tr2bl w:val="nil"/>
            </w:tcBorders>
            <w:vAlign w:val="center"/>
          </w:tcPr>
          <w:p>
            <w:pPr>
              <w:adjustRightInd/>
              <w:spacing w:line="240" w:lineRule="auto"/>
              <w:jc w:val="center"/>
              <w:rPr>
                <w:rFonts w:hint="default" w:ascii="Times New Roman" w:hAnsi="Times New Roman" w:cs="Times New Roman"/>
                <w:b/>
                <w:sz w:val="24"/>
                <w:szCs w:val="24"/>
              </w:rPr>
            </w:pPr>
            <w:r>
              <w:rPr>
                <w:rFonts w:hint="default" w:ascii="Times New Roman" w:hAnsi="Times New Roman" w:cs="Times New Roman"/>
                <w:snapToGrid w:val="0"/>
                <w:spacing w:val="10"/>
                <w:sz w:val="24"/>
                <w:szCs w:val="24"/>
              </w:rPr>
              <w:t>陈家和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42" w:type="dxa"/>
            <w:tcBorders>
              <w:tl2br w:val="nil"/>
              <w:tr2bl w:val="nil"/>
            </w:tcBorders>
            <w:vAlign w:val="center"/>
          </w:tcPr>
          <w:p>
            <w:pPr>
              <w:adjustRightInd/>
              <w:spacing w:line="240" w:lineRule="auto"/>
              <w:jc w:val="center"/>
              <w:rPr>
                <w:rFonts w:hint="default" w:ascii="Times New Roman" w:hAnsi="Times New Roman" w:cs="Times New Roman"/>
                <w:b/>
                <w:sz w:val="24"/>
              </w:rPr>
            </w:pPr>
            <w:r>
              <w:rPr>
                <w:rFonts w:hint="default" w:ascii="Times New Roman" w:hAnsi="Times New Roman" w:cs="Times New Roman"/>
                <w:b/>
                <w:sz w:val="24"/>
              </w:rPr>
              <w:t>通讯地址</w:t>
            </w:r>
          </w:p>
        </w:tc>
        <w:tc>
          <w:tcPr>
            <w:tcW w:w="7732" w:type="dxa"/>
            <w:gridSpan w:val="9"/>
            <w:tcBorders>
              <w:tl2br w:val="nil"/>
              <w:tr2bl w:val="nil"/>
            </w:tcBorders>
            <w:vAlign w:val="center"/>
          </w:tcPr>
          <w:p>
            <w:pPr>
              <w:adjustRightInd/>
              <w:spacing w:line="240" w:lineRule="auto"/>
              <w:jc w:val="center"/>
              <w:rPr>
                <w:rFonts w:hint="default" w:ascii="Times New Roman" w:hAnsi="Times New Roman" w:cs="Times New Roman"/>
                <w:sz w:val="24"/>
                <w:szCs w:val="24"/>
              </w:rPr>
            </w:pPr>
            <w:r>
              <w:rPr>
                <w:rFonts w:hint="default" w:ascii="Times New Roman" w:hAnsi="Times New Roman" w:cs="Times New Roman"/>
                <w:sz w:val="24"/>
              </w:rPr>
              <w:t>雷州市雷高镇雷调公路东侧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42" w:type="dxa"/>
            <w:tcBorders>
              <w:tl2br w:val="nil"/>
              <w:tr2bl w:val="nil"/>
            </w:tcBorders>
            <w:vAlign w:val="center"/>
          </w:tcPr>
          <w:p>
            <w:pPr>
              <w:adjustRightInd/>
              <w:spacing w:line="240" w:lineRule="auto"/>
              <w:jc w:val="center"/>
              <w:rPr>
                <w:rFonts w:hint="default" w:ascii="Times New Roman" w:hAnsi="Times New Roman" w:cs="Times New Roman"/>
                <w:b/>
                <w:sz w:val="24"/>
              </w:rPr>
            </w:pPr>
            <w:r>
              <w:rPr>
                <w:rFonts w:hint="default" w:ascii="Times New Roman" w:hAnsi="Times New Roman" w:cs="Times New Roman"/>
                <w:b/>
                <w:sz w:val="24"/>
              </w:rPr>
              <w:t>联系电话</w:t>
            </w:r>
          </w:p>
        </w:tc>
        <w:tc>
          <w:tcPr>
            <w:tcW w:w="2511" w:type="dxa"/>
            <w:gridSpan w:val="2"/>
            <w:tcBorders>
              <w:tl2br w:val="nil"/>
              <w:tr2bl w:val="nil"/>
            </w:tcBorders>
            <w:vAlign w:val="center"/>
          </w:tcPr>
          <w:p>
            <w:pPr>
              <w:adjustRightInd/>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15016437888</w:t>
            </w:r>
          </w:p>
        </w:tc>
        <w:tc>
          <w:tcPr>
            <w:tcW w:w="891" w:type="dxa"/>
            <w:tcBorders>
              <w:tl2br w:val="nil"/>
              <w:tr2bl w:val="nil"/>
            </w:tcBorders>
            <w:vAlign w:val="center"/>
          </w:tcPr>
          <w:p>
            <w:pPr>
              <w:adjustRightInd/>
              <w:spacing w:line="24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传真</w:t>
            </w:r>
          </w:p>
        </w:tc>
        <w:tc>
          <w:tcPr>
            <w:tcW w:w="708" w:type="dxa"/>
            <w:tcBorders>
              <w:tl2br w:val="nil"/>
              <w:tr2bl w:val="nil"/>
            </w:tcBorders>
            <w:vAlign w:val="center"/>
          </w:tcPr>
          <w:p>
            <w:pPr>
              <w:adjustRightInd/>
              <w:spacing w:line="240" w:lineRule="auto"/>
              <w:jc w:val="center"/>
              <w:rPr>
                <w:rFonts w:hint="default" w:ascii="Times New Roman" w:hAnsi="Times New Roman" w:cs="Times New Roman"/>
                <w:sz w:val="24"/>
                <w:szCs w:val="24"/>
              </w:rPr>
            </w:pPr>
          </w:p>
        </w:tc>
        <w:tc>
          <w:tcPr>
            <w:tcW w:w="1384" w:type="dxa"/>
            <w:gridSpan w:val="3"/>
            <w:tcBorders>
              <w:tl2br w:val="nil"/>
              <w:tr2bl w:val="nil"/>
            </w:tcBorders>
            <w:vAlign w:val="center"/>
          </w:tcPr>
          <w:p>
            <w:pPr>
              <w:adjustRightInd/>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邮政编码</w:t>
            </w:r>
          </w:p>
        </w:tc>
        <w:tc>
          <w:tcPr>
            <w:tcW w:w="2238" w:type="dxa"/>
            <w:gridSpan w:val="2"/>
            <w:tcBorders>
              <w:tl2br w:val="nil"/>
              <w:tr2bl w:val="nil"/>
            </w:tcBorders>
            <w:vAlign w:val="center"/>
          </w:tcPr>
          <w:p>
            <w:pPr>
              <w:adjustRightInd/>
              <w:spacing w:line="240" w:lineRule="auto"/>
              <w:jc w:val="center"/>
              <w:rPr>
                <w:rFonts w:hint="default" w:ascii="Times New Roman" w:hAnsi="Times New Roman" w:cs="Times New Roman"/>
                <w:sz w:val="24"/>
                <w:szCs w:val="24"/>
              </w:rPr>
            </w:pPr>
            <w:r>
              <w:rPr>
                <w:rFonts w:hint="default" w:ascii="Times New Roman" w:hAnsi="Times New Roman" w:cs="Times New Roman"/>
                <w:sz w:val="24"/>
              </w:rPr>
              <w:t>524241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42" w:type="dxa"/>
            <w:tcBorders>
              <w:tl2br w:val="nil"/>
              <w:tr2bl w:val="nil"/>
            </w:tcBorders>
            <w:vAlign w:val="center"/>
          </w:tcPr>
          <w:p>
            <w:pPr>
              <w:adjustRightInd/>
              <w:spacing w:line="240" w:lineRule="auto"/>
              <w:jc w:val="center"/>
              <w:rPr>
                <w:rFonts w:hint="default" w:ascii="Times New Roman" w:hAnsi="Times New Roman" w:cs="Times New Roman"/>
                <w:b/>
                <w:sz w:val="24"/>
              </w:rPr>
            </w:pPr>
            <w:r>
              <w:rPr>
                <w:rFonts w:hint="default" w:ascii="Times New Roman" w:hAnsi="Times New Roman" w:cs="Times New Roman"/>
                <w:b/>
                <w:sz w:val="24"/>
              </w:rPr>
              <w:t>建设地点</w:t>
            </w:r>
          </w:p>
        </w:tc>
        <w:tc>
          <w:tcPr>
            <w:tcW w:w="7732" w:type="dxa"/>
            <w:gridSpan w:val="9"/>
            <w:tcBorders>
              <w:tl2br w:val="nil"/>
              <w:tr2bl w:val="nil"/>
            </w:tcBorders>
            <w:vAlign w:val="center"/>
          </w:tcPr>
          <w:p>
            <w:pPr>
              <w:adjustRightInd/>
              <w:spacing w:line="240" w:lineRule="auto"/>
              <w:jc w:val="center"/>
              <w:rPr>
                <w:rFonts w:hint="default" w:ascii="Times New Roman" w:hAnsi="Times New Roman" w:cs="Times New Roman"/>
                <w:snapToGrid w:val="0"/>
                <w:spacing w:val="10"/>
                <w:sz w:val="24"/>
                <w:szCs w:val="24"/>
              </w:rPr>
            </w:pPr>
            <w:r>
              <w:rPr>
                <w:rFonts w:hint="default" w:ascii="Times New Roman" w:hAnsi="Times New Roman" w:cs="Times New Roman"/>
                <w:sz w:val="24"/>
              </w:rPr>
              <w:t>雷州市雷高镇雷调公路东侧（N20°48'43.89"，E</w:t>
            </w:r>
            <w:r>
              <w:rPr>
                <w:rFonts w:hint="default" w:ascii="Times New Roman" w:hAnsi="Times New Roman" w:cs="Times New Roman"/>
              </w:rPr>
              <w:t xml:space="preserve"> </w:t>
            </w:r>
            <w:r>
              <w:rPr>
                <w:rFonts w:hint="default" w:ascii="Times New Roman" w:hAnsi="Times New Roman" w:cs="Times New Roman"/>
                <w:sz w:val="24"/>
              </w:rPr>
              <w:t>110°11'25.75"）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42" w:type="dxa"/>
            <w:tcBorders>
              <w:tl2br w:val="nil"/>
              <w:tr2bl w:val="nil"/>
            </w:tcBorders>
            <w:vAlign w:val="center"/>
          </w:tcPr>
          <w:p>
            <w:pPr>
              <w:adjustRightInd/>
              <w:spacing w:line="240" w:lineRule="auto"/>
              <w:jc w:val="center"/>
              <w:rPr>
                <w:rFonts w:hint="default" w:ascii="Times New Roman" w:hAnsi="Times New Roman" w:cs="Times New Roman"/>
                <w:b/>
                <w:sz w:val="24"/>
              </w:rPr>
            </w:pPr>
            <w:r>
              <w:rPr>
                <w:rFonts w:hint="default" w:ascii="Times New Roman" w:hAnsi="Times New Roman" w:cs="Times New Roman"/>
                <w:b/>
                <w:sz w:val="24"/>
              </w:rPr>
              <w:t>立项审批部门</w:t>
            </w:r>
          </w:p>
        </w:tc>
        <w:tc>
          <w:tcPr>
            <w:tcW w:w="3402" w:type="dxa"/>
            <w:gridSpan w:val="3"/>
            <w:tcBorders>
              <w:tl2br w:val="nil"/>
              <w:tr2bl w:val="nil"/>
            </w:tcBorders>
            <w:vAlign w:val="center"/>
          </w:tcPr>
          <w:p>
            <w:pPr>
              <w:adjustRightInd/>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雷州市发展和改革局</w:t>
            </w:r>
          </w:p>
        </w:tc>
        <w:tc>
          <w:tcPr>
            <w:tcW w:w="1247" w:type="dxa"/>
            <w:gridSpan w:val="3"/>
            <w:tcBorders>
              <w:tl2br w:val="nil"/>
              <w:tr2bl w:val="nil"/>
            </w:tcBorders>
            <w:vAlign w:val="center"/>
          </w:tcPr>
          <w:p>
            <w:pPr>
              <w:adjustRightInd/>
              <w:spacing w:line="24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批准文号</w:t>
            </w:r>
          </w:p>
        </w:tc>
        <w:tc>
          <w:tcPr>
            <w:tcW w:w="3083" w:type="dxa"/>
            <w:gridSpan w:val="3"/>
            <w:tcBorders>
              <w:tl2br w:val="nil"/>
              <w:tr2bl w:val="nil"/>
            </w:tcBorders>
            <w:vAlign w:val="center"/>
          </w:tcPr>
          <w:p>
            <w:pPr>
              <w:adjustRightInd/>
              <w:spacing w:line="240" w:lineRule="auto"/>
              <w:jc w:val="center"/>
              <w:rPr>
                <w:rFonts w:hint="default" w:ascii="Times New Roman" w:hAnsi="Times New Roman" w:cs="Times New Roman"/>
                <w:b/>
                <w:sz w:val="24"/>
                <w:szCs w:val="24"/>
              </w:rPr>
            </w:pPr>
            <w:r>
              <w:rPr>
                <w:rFonts w:hint="default" w:ascii="Times New Roman" w:hAnsi="Times New Roman" w:cs="Times New Roman"/>
                <w:b w:val="0"/>
                <w:bCs/>
                <w:sz w:val="24"/>
                <w:szCs w:val="24"/>
              </w:rPr>
              <w:t>2020-440882-45-03-032570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42" w:type="dxa"/>
            <w:tcBorders>
              <w:tl2br w:val="nil"/>
              <w:tr2bl w:val="nil"/>
            </w:tcBorders>
            <w:shd w:val="clear" w:color="auto" w:fill="auto"/>
            <w:vAlign w:val="center"/>
          </w:tcPr>
          <w:p>
            <w:pPr>
              <w:adjustRightInd/>
              <w:spacing w:line="240" w:lineRule="auto"/>
              <w:jc w:val="center"/>
              <w:rPr>
                <w:rFonts w:hint="default" w:ascii="Times New Roman" w:hAnsi="Times New Roman" w:cs="Times New Roman"/>
                <w:b/>
                <w:sz w:val="24"/>
              </w:rPr>
            </w:pPr>
            <w:r>
              <w:rPr>
                <w:rFonts w:hint="default" w:ascii="Times New Roman" w:hAnsi="Times New Roman" w:cs="Times New Roman"/>
                <w:b/>
                <w:sz w:val="24"/>
              </w:rPr>
              <w:t>建设性质</w:t>
            </w:r>
          </w:p>
        </w:tc>
        <w:tc>
          <w:tcPr>
            <w:tcW w:w="3402" w:type="dxa"/>
            <w:gridSpan w:val="3"/>
            <w:tcBorders>
              <w:tl2br w:val="nil"/>
              <w:tr2bl w:val="nil"/>
            </w:tcBorders>
            <w:shd w:val="clear" w:color="auto" w:fill="auto"/>
            <w:vAlign w:val="center"/>
          </w:tcPr>
          <w:p>
            <w:pPr>
              <w:adjustRightInd/>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新建■改扩建□技改□</w:t>
            </w:r>
          </w:p>
        </w:tc>
        <w:tc>
          <w:tcPr>
            <w:tcW w:w="1247" w:type="dxa"/>
            <w:gridSpan w:val="3"/>
            <w:tcBorders>
              <w:tl2br w:val="nil"/>
              <w:tr2bl w:val="nil"/>
            </w:tcBorders>
            <w:shd w:val="clear" w:color="auto" w:fill="FFFFFF"/>
            <w:vAlign w:val="center"/>
          </w:tcPr>
          <w:p>
            <w:pPr>
              <w:adjustRightInd/>
              <w:spacing w:line="24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行业类别及代码</w:t>
            </w:r>
          </w:p>
        </w:tc>
        <w:tc>
          <w:tcPr>
            <w:tcW w:w="3083" w:type="dxa"/>
            <w:gridSpan w:val="3"/>
            <w:tcBorders>
              <w:tl2br w:val="nil"/>
              <w:tr2bl w:val="nil"/>
            </w:tcBorders>
            <w:shd w:val="clear" w:color="auto" w:fill="FFFFFF"/>
            <w:vAlign w:val="center"/>
          </w:tcPr>
          <w:p>
            <w:pPr>
              <w:adjustRightInd/>
              <w:spacing w:line="240" w:lineRule="auto"/>
              <w:jc w:val="center"/>
              <w:rPr>
                <w:rFonts w:hint="default" w:ascii="Times New Roman" w:hAnsi="Times New Roman" w:cs="Times New Roman"/>
                <w:b/>
                <w:sz w:val="24"/>
                <w:szCs w:val="24"/>
              </w:rPr>
            </w:pPr>
            <w:r>
              <w:rPr>
                <w:rFonts w:hint="default" w:ascii="Times New Roman" w:hAnsi="Times New Roman" w:cs="Times New Roman"/>
                <w:sz w:val="24"/>
                <w:szCs w:val="24"/>
              </w:rPr>
              <w:t>机动车燃油零售 F5265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42" w:type="dxa"/>
            <w:tcBorders>
              <w:tl2br w:val="nil"/>
              <w:tr2bl w:val="nil"/>
            </w:tcBorders>
            <w:vAlign w:val="center"/>
          </w:tcPr>
          <w:p>
            <w:pPr>
              <w:adjustRightInd/>
              <w:spacing w:line="240" w:lineRule="auto"/>
              <w:jc w:val="center"/>
              <w:rPr>
                <w:rFonts w:hint="default" w:ascii="Times New Roman" w:hAnsi="Times New Roman" w:cs="Times New Roman"/>
                <w:b/>
                <w:sz w:val="24"/>
              </w:rPr>
            </w:pPr>
            <w:r>
              <w:rPr>
                <w:rFonts w:hint="default" w:ascii="Times New Roman" w:hAnsi="Times New Roman" w:cs="Times New Roman"/>
                <w:b/>
                <w:sz w:val="24"/>
              </w:rPr>
              <w:t>占地面积</w:t>
            </w:r>
          </w:p>
          <w:p>
            <w:pPr>
              <w:adjustRightInd/>
              <w:spacing w:line="240" w:lineRule="auto"/>
              <w:jc w:val="center"/>
              <w:rPr>
                <w:rFonts w:hint="default" w:ascii="Times New Roman" w:hAnsi="Times New Roman" w:cs="Times New Roman"/>
                <w:b/>
                <w:sz w:val="24"/>
              </w:rPr>
            </w:pPr>
            <w:r>
              <w:rPr>
                <w:rFonts w:hint="default" w:ascii="Times New Roman" w:hAnsi="Times New Roman" w:cs="Times New Roman"/>
                <w:b/>
                <w:sz w:val="24"/>
              </w:rPr>
              <w:t>（平方米）</w:t>
            </w:r>
          </w:p>
        </w:tc>
        <w:tc>
          <w:tcPr>
            <w:tcW w:w="3402" w:type="dxa"/>
            <w:gridSpan w:val="3"/>
            <w:tcBorders>
              <w:tl2br w:val="nil"/>
              <w:tr2bl w:val="nil"/>
            </w:tcBorders>
            <w:vAlign w:val="center"/>
          </w:tcPr>
          <w:p>
            <w:pPr>
              <w:pStyle w:val="132"/>
              <w:spacing w:line="240" w:lineRule="auto"/>
              <w:ind w:firstLine="0" w:firstLineChars="0"/>
              <w:jc w:val="center"/>
              <w:rPr>
                <w:rFonts w:hint="default" w:ascii="Times New Roman" w:hAnsi="Times New Roman" w:eastAsia="宋体" w:cs="Times New Roman"/>
                <w:color w:val="auto"/>
                <w:lang w:val="en-US" w:eastAsia="zh-CN"/>
              </w:rPr>
            </w:pPr>
            <w:r>
              <w:rPr>
                <w:rFonts w:hint="eastAsia" w:cs="Times New Roman"/>
                <w:color w:val="auto"/>
                <w:lang w:val="en-US" w:eastAsia="zh-CN"/>
              </w:rPr>
              <w:t>1414.90</w:t>
            </w:r>
          </w:p>
        </w:tc>
        <w:tc>
          <w:tcPr>
            <w:tcW w:w="1247" w:type="dxa"/>
            <w:gridSpan w:val="3"/>
            <w:tcBorders>
              <w:tl2br w:val="nil"/>
              <w:tr2bl w:val="nil"/>
            </w:tcBorders>
            <w:vAlign w:val="center"/>
          </w:tcPr>
          <w:p>
            <w:pPr>
              <w:adjustRightInd/>
              <w:spacing w:line="240" w:lineRule="auto"/>
              <w:ind w:left="-105" w:leftChars="-50" w:right="-105" w:rightChars="-50"/>
              <w:jc w:val="center"/>
              <w:rPr>
                <w:rFonts w:hint="default" w:ascii="Times New Roman" w:hAnsi="Times New Roman" w:cs="Times New Roman"/>
                <w:b/>
                <w:sz w:val="24"/>
                <w:szCs w:val="24"/>
              </w:rPr>
            </w:pPr>
            <w:r>
              <w:rPr>
                <w:rFonts w:hint="eastAsia" w:cs="Times New Roman"/>
                <w:b/>
                <w:sz w:val="24"/>
                <w:szCs w:val="24"/>
                <w:lang w:val="en-US" w:eastAsia="zh-CN"/>
              </w:rPr>
              <w:t>建筑</w:t>
            </w:r>
            <w:r>
              <w:rPr>
                <w:rFonts w:hint="default" w:ascii="Times New Roman" w:hAnsi="Times New Roman" w:cs="Times New Roman"/>
                <w:b/>
                <w:sz w:val="24"/>
                <w:szCs w:val="24"/>
              </w:rPr>
              <w:t>面积（平方米）</w:t>
            </w:r>
          </w:p>
        </w:tc>
        <w:tc>
          <w:tcPr>
            <w:tcW w:w="3083" w:type="dxa"/>
            <w:gridSpan w:val="3"/>
            <w:tcBorders>
              <w:tl2br w:val="nil"/>
              <w:tr2bl w:val="nil"/>
            </w:tcBorders>
            <w:vAlign w:val="center"/>
          </w:tcPr>
          <w:p>
            <w:pPr>
              <w:adjustRightInd/>
              <w:spacing w:line="240" w:lineRule="auto"/>
              <w:ind w:left="-105" w:leftChars="-50" w:right="-105" w:rightChars="-50"/>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213.31</w:t>
            </w:r>
            <w:bookmarkStart w:id="72" w:name="_GoBack"/>
            <w:bookmarkEnd w:id="72"/>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42" w:type="dxa"/>
            <w:tcBorders>
              <w:tl2br w:val="nil"/>
              <w:tr2bl w:val="nil"/>
            </w:tcBorders>
            <w:vAlign w:val="center"/>
          </w:tcPr>
          <w:p>
            <w:pPr>
              <w:adjustRightInd/>
              <w:spacing w:line="240" w:lineRule="auto"/>
              <w:jc w:val="center"/>
              <w:rPr>
                <w:rFonts w:hint="default" w:ascii="Times New Roman" w:hAnsi="Times New Roman" w:cs="Times New Roman"/>
                <w:b/>
                <w:sz w:val="24"/>
              </w:rPr>
            </w:pPr>
            <w:r>
              <w:rPr>
                <w:rFonts w:hint="default" w:ascii="Times New Roman" w:hAnsi="Times New Roman" w:cs="Times New Roman"/>
                <w:b/>
                <w:sz w:val="24"/>
              </w:rPr>
              <w:t>总投资</w:t>
            </w:r>
          </w:p>
          <w:p>
            <w:pPr>
              <w:adjustRightInd/>
              <w:spacing w:line="240" w:lineRule="auto"/>
              <w:jc w:val="center"/>
              <w:rPr>
                <w:rFonts w:hint="default" w:ascii="Times New Roman" w:hAnsi="Times New Roman" w:cs="Times New Roman"/>
                <w:b/>
                <w:sz w:val="24"/>
              </w:rPr>
            </w:pPr>
            <w:r>
              <w:rPr>
                <w:rFonts w:hint="default" w:ascii="Times New Roman" w:hAnsi="Times New Roman" w:cs="Times New Roman"/>
                <w:b/>
                <w:sz w:val="24"/>
              </w:rPr>
              <w:t>（万元）</w:t>
            </w:r>
          </w:p>
        </w:tc>
        <w:tc>
          <w:tcPr>
            <w:tcW w:w="1927" w:type="dxa"/>
            <w:tcBorders>
              <w:tl2br w:val="nil"/>
              <w:tr2bl w:val="nil"/>
            </w:tcBorders>
            <w:vAlign w:val="center"/>
          </w:tcPr>
          <w:p>
            <w:pPr>
              <w:adjustRightInd/>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200</w:t>
            </w:r>
          </w:p>
        </w:tc>
        <w:tc>
          <w:tcPr>
            <w:tcW w:w="1475" w:type="dxa"/>
            <w:gridSpan w:val="2"/>
            <w:tcBorders>
              <w:tl2br w:val="nil"/>
              <w:tr2bl w:val="nil"/>
            </w:tcBorders>
            <w:vAlign w:val="center"/>
          </w:tcPr>
          <w:p>
            <w:pPr>
              <w:adjustRightInd/>
              <w:spacing w:line="24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其中：环保投资（万元）</w:t>
            </w:r>
          </w:p>
        </w:tc>
        <w:tc>
          <w:tcPr>
            <w:tcW w:w="743" w:type="dxa"/>
            <w:gridSpan w:val="2"/>
            <w:tcBorders>
              <w:tl2br w:val="nil"/>
              <w:tr2bl w:val="nil"/>
            </w:tcBorders>
            <w:vAlign w:val="center"/>
          </w:tcPr>
          <w:p>
            <w:pPr>
              <w:adjustRightInd/>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27</w:t>
            </w:r>
          </w:p>
        </w:tc>
        <w:tc>
          <w:tcPr>
            <w:tcW w:w="2174" w:type="dxa"/>
            <w:gridSpan w:val="3"/>
            <w:tcBorders>
              <w:tl2br w:val="nil"/>
              <w:tr2bl w:val="nil"/>
            </w:tcBorders>
            <w:vAlign w:val="center"/>
          </w:tcPr>
          <w:p>
            <w:pPr>
              <w:adjustRightInd/>
              <w:spacing w:line="240" w:lineRule="auto"/>
              <w:ind w:left="-105" w:leftChars="-50" w:right="-105" w:rightChars="-50"/>
              <w:jc w:val="center"/>
              <w:rPr>
                <w:rFonts w:hint="default" w:ascii="Times New Roman" w:hAnsi="Times New Roman" w:cs="Times New Roman"/>
                <w:b/>
                <w:sz w:val="24"/>
                <w:szCs w:val="24"/>
              </w:rPr>
            </w:pPr>
            <w:r>
              <w:rPr>
                <w:rFonts w:hint="default" w:ascii="Times New Roman" w:hAnsi="Times New Roman" w:cs="Times New Roman"/>
                <w:b/>
                <w:sz w:val="24"/>
                <w:szCs w:val="24"/>
              </w:rPr>
              <w:t>环保投资</w:t>
            </w:r>
          </w:p>
          <w:p>
            <w:pPr>
              <w:adjustRightInd/>
              <w:spacing w:line="240" w:lineRule="auto"/>
              <w:ind w:left="-105" w:leftChars="-50" w:right="-105" w:rightChars="-50"/>
              <w:jc w:val="center"/>
              <w:rPr>
                <w:rFonts w:hint="default" w:ascii="Times New Roman" w:hAnsi="Times New Roman" w:cs="Times New Roman"/>
                <w:sz w:val="24"/>
                <w:szCs w:val="24"/>
              </w:rPr>
            </w:pPr>
            <w:r>
              <w:rPr>
                <w:rFonts w:hint="default" w:ascii="Times New Roman" w:hAnsi="Times New Roman" w:cs="Times New Roman"/>
                <w:b/>
                <w:sz w:val="24"/>
                <w:szCs w:val="24"/>
              </w:rPr>
              <w:t>占总投资比例</w:t>
            </w:r>
          </w:p>
        </w:tc>
        <w:tc>
          <w:tcPr>
            <w:tcW w:w="1413" w:type="dxa"/>
            <w:tcBorders>
              <w:tl2br w:val="nil"/>
              <w:tr2bl w:val="nil"/>
            </w:tcBorders>
            <w:vAlign w:val="center"/>
          </w:tcPr>
          <w:p>
            <w:pPr>
              <w:adjustRightInd/>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42" w:type="dxa"/>
            <w:tcBorders>
              <w:tl2br w:val="nil"/>
              <w:tr2bl w:val="nil"/>
            </w:tcBorders>
            <w:vAlign w:val="center"/>
          </w:tcPr>
          <w:p>
            <w:pPr>
              <w:adjustRightInd/>
              <w:spacing w:line="240" w:lineRule="auto"/>
              <w:jc w:val="center"/>
              <w:rPr>
                <w:rFonts w:hint="default" w:ascii="Times New Roman" w:hAnsi="Times New Roman" w:cs="Times New Roman"/>
                <w:b/>
                <w:sz w:val="24"/>
              </w:rPr>
            </w:pPr>
            <w:r>
              <w:rPr>
                <w:rFonts w:hint="default" w:ascii="Times New Roman" w:hAnsi="Times New Roman" w:cs="Times New Roman"/>
                <w:b/>
                <w:sz w:val="24"/>
              </w:rPr>
              <w:t>评价经费</w:t>
            </w:r>
          </w:p>
          <w:p>
            <w:pPr>
              <w:adjustRightInd/>
              <w:spacing w:line="240" w:lineRule="auto"/>
              <w:jc w:val="center"/>
              <w:rPr>
                <w:rFonts w:hint="default" w:ascii="Times New Roman" w:hAnsi="Times New Roman" w:cs="Times New Roman"/>
                <w:b/>
                <w:sz w:val="24"/>
              </w:rPr>
            </w:pPr>
            <w:r>
              <w:rPr>
                <w:rFonts w:hint="default" w:ascii="Times New Roman" w:hAnsi="Times New Roman" w:cs="Times New Roman"/>
                <w:b/>
                <w:sz w:val="24"/>
              </w:rPr>
              <w:t>（万元）</w:t>
            </w:r>
          </w:p>
        </w:tc>
        <w:tc>
          <w:tcPr>
            <w:tcW w:w="1927" w:type="dxa"/>
            <w:tcBorders>
              <w:tl2br w:val="nil"/>
              <w:tr2bl w:val="nil"/>
            </w:tcBorders>
            <w:vAlign w:val="center"/>
          </w:tcPr>
          <w:p>
            <w:pPr>
              <w:adjustRightInd/>
              <w:spacing w:line="240" w:lineRule="auto"/>
              <w:jc w:val="center"/>
              <w:rPr>
                <w:rFonts w:hint="default" w:ascii="Times New Roman" w:hAnsi="Times New Roman" w:cs="Times New Roman"/>
                <w:sz w:val="24"/>
              </w:rPr>
            </w:pPr>
            <w:r>
              <w:rPr>
                <w:rFonts w:hint="default" w:ascii="Times New Roman" w:hAnsi="Times New Roman" w:cs="Times New Roman"/>
                <w:sz w:val="24"/>
              </w:rPr>
              <w:t>/</w:t>
            </w:r>
          </w:p>
        </w:tc>
        <w:tc>
          <w:tcPr>
            <w:tcW w:w="1475" w:type="dxa"/>
            <w:gridSpan w:val="2"/>
            <w:tcBorders>
              <w:tl2br w:val="nil"/>
              <w:tr2bl w:val="nil"/>
            </w:tcBorders>
            <w:vAlign w:val="center"/>
          </w:tcPr>
          <w:p>
            <w:pPr>
              <w:adjustRightInd/>
              <w:spacing w:line="240" w:lineRule="auto"/>
              <w:jc w:val="center"/>
              <w:rPr>
                <w:rFonts w:hint="default" w:ascii="Times New Roman" w:hAnsi="Times New Roman" w:cs="Times New Roman"/>
                <w:b/>
                <w:sz w:val="24"/>
              </w:rPr>
            </w:pPr>
            <w:r>
              <w:rPr>
                <w:rFonts w:hint="default" w:ascii="Times New Roman" w:hAnsi="Times New Roman" w:cs="Times New Roman"/>
                <w:b/>
                <w:sz w:val="24"/>
              </w:rPr>
              <w:t>投产日期</w:t>
            </w:r>
          </w:p>
        </w:tc>
        <w:tc>
          <w:tcPr>
            <w:tcW w:w="4330" w:type="dxa"/>
            <w:gridSpan w:val="6"/>
            <w:tcBorders>
              <w:tl2br w:val="nil"/>
              <w:tr2bl w:val="nil"/>
            </w:tcBorders>
            <w:vAlign w:val="center"/>
          </w:tcPr>
          <w:p>
            <w:pPr>
              <w:adjustRightInd/>
              <w:spacing w:line="240" w:lineRule="auto"/>
              <w:jc w:val="center"/>
              <w:rPr>
                <w:rFonts w:hint="default" w:ascii="Times New Roman" w:hAnsi="Times New Roman" w:cs="Times New Roman"/>
                <w:sz w:val="24"/>
              </w:rPr>
            </w:pPr>
            <w:r>
              <w:rPr>
                <w:rFonts w:hint="default" w:ascii="Times New Roman" w:hAnsi="Times New Roman" w:cs="Times New Roman"/>
                <w:sz w:val="24"/>
              </w:rPr>
              <w:t>2020年10月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56" w:hRule="atLeast"/>
        </w:trPr>
        <w:tc>
          <w:tcPr>
            <w:tcW w:w="9174" w:type="dxa"/>
            <w:gridSpan w:val="10"/>
            <w:tcBorders>
              <w:tl2br w:val="nil"/>
              <w:tr2bl w:val="nil"/>
            </w:tcBorders>
          </w:tcPr>
          <w:p>
            <w:pPr>
              <w:tabs>
                <w:tab w:val="left" w:pos="0"/>
              </w:tabs>
              <w:adjustRightInd/>
              <w:spacing w:line="360" w:lineRule="auto"/>
              <w:jc w:val="left"/>
              <w:rPr>
                <w:rFonts w:hint="default" w:ascii="Times New Roman" w:hAnsi="Times New Roman" w:cs="Times New Roman"/>
                <w:b/>
                <w:sz w:val="28"/>
                <w:szCs w:val="28"/>
              </w:rPr>
            </w:pPr>
            <w:r>
              <w:rPr>
                <w:rFonts w:hint="default" w:ascii="Times New Roman" w:hAnsi="Times New Roman" w:cs="Times New Roman"/>
                <w:b/>
                <w:sz w:val="28"/>
                <w:szCs w:val="28"/>
              </w:rPr>
              <w:t>工程内容及规模：</w:t>
            </w:r>
          </w:p>
          <w:p>
            <w:pPr>
              <w:pStyle w:val="161"/>
              <w:rPr>
                <w:rFonts w:hint="default" w:ascii="Times New Roman" w:hAnsi="Times New Roman" w:cs="Times New Roman"/>
              </w:rPr>
            </w:pPr>
            <w:r>
              <w:rPr>
                <w:rFonts w:hint="default" w:ascii="Times New Roman" w:hAnsi="Times New Roman" w:cs="Times New Roman"/>
              </w:rPr>
              <w:t>1、项目由来及编制依据</w:t>
            </w:r>
          </w:p>
          <w:p>
            <w:pPr>
              <w:pStyle w:val="161"/>
              <w:rPr>
                <w:rFonts w:hint="default" w:ascii="Times New Roman" w:hAnsi="Times New Roman" w:cs="Times New Roman"/>
              </w:rPr>
            </w:pPr>
            <w:r>
              <w:rPr>
                <w:rFonts w:hint="default" w:ascii="Times New Roman" w:hAnsi="Times New Roman" w:cs="Times New Roman"/>
              </w:rPr>
              <w:t>（1）项目由来</w:t>
            </w:r>
          </w:p>
          <w:p>
            <w:pPr>
              <w:pStyle w:val="137"/>
              <w:ind w:firstLine="480"/>
              <w:rPr>
                <w:rFonts w:hint="default" w:ascii="Times New Roman" w:hAnsi="Times New Roman" w:cs="Times New Roman"/>
              </w:rPr>
            </w:pPr>
            <w:r>
              <w:rPr>
                <w:rFonts w:hint="default" w:ascii="Times New Roman" w:hAnsi="Times New Roman" w:cs="Times New Roman"/>
              </w:rPr>
              <w:t>雷州市雷高镇海东加油站（以下简称“海东加油站”）位于雷州市雷高镇雷调公路东侧（N 20°48'43.89"，E 110°11'25.75"），主要从事汽油、柴油、润滑油的零售，来满足当地车辆加油需求。</w:t>
            </w:r>
          </w:p>
          <w:p>
            <w:pPr>
              <w:pStyle w:val="137"/>
              <w:ind w:firstLine="480"/>
              <w:rPr>
                <w:rFonts w:hint="default" w:ascii="Times New Roman" w:hAnsi="Times New Roman" w:cs="Times New Roman"/>
              </w:rPr>
            </w:pPr>
            <w:r>
              <w:rPr>
                <w:rFonts w:hint="default" w:ascii="Times New Roman" w:hAnsi="Times New Roman" w:cs="Times New Roman"/>
              </w:rPr>
              <w:t>根据《中华人民共和国环境保护法》、《中华人民共和国环境影响评价法》、国务院令第682号《国务院关于修改&lt;建设项目环境保护管理条例&gt;的决定》等有关法律法规的规定，本项目须执行环境影响审批制度，根据《建设项目环境影响评价分类管理名录》（环境保护部令第44号）及《关于修改&lt;建设项目环境影响评价分类管理名录&gt;部分内容的决定》（生态环境部令部令第1号），本项目属于“124加油、加气站”类别，需编制建设项目环境影响报告表。</w:t>
            </w:r>
          </w:p>
          <w:p>
            <w:pPr>
              <w:pStyle w:val="137"/>
              <w:ind w:firstLine="480"/>
              <w:rPr>
                <w:rFonts w:hint="default" w:ascii="Times New Roman" w:hAnsi="Times New Roman" w:cs="Times New Roman"/>
              </w:rPr>
            </w:pPr>
            <w:r>
              <w:rPr>
                <w:rFonts w:hint="default" w:ascii="Times New Roman" w:hAnsi="Times New Roman" w:cs="Times New Roman"/>
              </w:rPr>
              <w:t>环评单位接受委托后即组织进行现场勘查、相关资料收集及其他相关工作，在充分收集和分析相关资料的基础上，根据本项目的特点和项目所在地区的环境特征，分析建设项目的主要环境问题，筛选确定评价因子和主要评价内容，制定评价工作实施方案，依据有关环评导则、技术规范，完成了本报告表的编制。。</w:t>
            </w:r>
          </w:p>
          <w:p>
            <w:pPr>
              <w:pStyle w:val="161"/>
              <w:rPr>
                <w:rFonts w:hint="default" w:ascii="Times New Roman" w:hAnsi="Times New Roman" w:cs="Times New Roman"/>
              </w:rPr>
            </w:pPr>
            <w:r>
              <w:rPr>
                <w:rFonts w:hint="default" w:ascii="Times New Roman" w:hAnsi="Times New Roman" w:cs="Times New Roman"/>
              </w:rPr>
              <w:t>2、建设概况</w:t>
            </w:r>
          </w:p>
          <w:p>
            <w:pPr>
              <w:pStyle w:val="137"/>
              <w:ind w:firstLine="480"/>
              <w:rPr>
                <w:rFonts w:hint="default" w:ascii="Times New Roman" w:hAnsi="Times New Roman" w:cs="Times New Roman"/>
              </w:rPr>
            </w:pPr>
            <w:r>
              <w:rPr>
                <w:rFonts w:hint="default" w:ascii="Times New Roman" w:hAnsi="Times New Roman" w:cs="Times New Roman"/>
              </w:rPr>
              <w:t>本项目占地面积1414.90m</w:t>
            </w:r>
            <w:r>
              <w:rPr>
                <w:rFonts w:hint="default" w:ascii="Times New Roman" w:hAnsi="Times New Roman" w:cs="Times New Roman"/>
                <w:vertAlign w:val="superscript"/>
              </w:rPr>
              <w:t>2</w:t>
            </w:r>
            <w:r>
              <w:rPr>
                <w:rFonts w:hint="default" w:ascii="Times New Roman" w:hAnsi="Times New Roman" w:cs="Times New Roman"/>
              </w:rPr>
              <w:t>，位于雷州市雷高镇雷调公路东侧，项目中心位置为N 20°48'43.89"，E 110°11'25.75"。项目具体地理位置见附图1。</w:t>
            </w:r>
          </w:p>
          <w:p>
            <w:pPr>
              <w:pStyle w:val="161"/>
              <w:rPr>
                <w:rFonts w:hint="default" w:ascii="Times New Roman" w:hAnsi="Times New Roman" w:cs="Times New Roman"/>
              </w:rPr>
            </w:pPr>
            <w:r>
              <w:rPr>
                <w:rFonts w:hint="default" w:ascii="Times New Roman" w:hAnsi="Times New Roman" w:cs="Times New Roman"/>
              </w:rPr>
              <w:t>3、建设内容</w:t>
            </w:r>
          </w:p>
          <w:p>
            <w:pPr>
              <w:pStyle w:val="13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rPr>
            </w:pPr>
            <w:r>
              <w:rPr>
                <w:rFonts w:hint="default" w:ascii="Times New Roman" w:hAnsi="Times New Roman" w:cs="Times New Roman"/>
              </w:rPr>
              <w:t>项目拟设0#柴油罐1个、92#汽油罐1个、95#汽油罐1个、98#汽油罐1个，柴油罐储存量为30m</w:t>
            </w:r>
            <w:r>
              <w:rPr>
                <w:rFonts w:hint="default" w:ascii="Times New Roman" w:hAnsi="Times New Roman" w:cs="Times New Roman"/>
                <w:vertAlign w:val="superscript"/>
              </w:rPr>
              <w:t>3</w:t>
            </w:r>
            <w:r>
              <w:rPr>
                <w:rFonts w:hint="default" w:ascii="Times New Roman" w:hAnsi="Times New Roman" w:cs="Times New Roman"/>
              </w:rPr>
              <w:t>，汽油罐储存量为25m</w:t>
            </w:r>
            <w:r>
              <w:rPr>
                <w:rFonts w:hint="default" w:ascii="Times New Roman" w:hAnsi="Times New Roman" w:cs="Times New Roman"/>
                <w:vertAlign w:val="superscript"/>
              </w:rPr>
              <w:t>3</w:t>
            </w:r>
            <w:r>
              <w:rPr>
                <w:rFonts w:hint="default" w:ascii="Times New Roman" w:hAnsi="Times New Roman" w:cs="Times New Roman"/>
              </w:rPr>
              <w:t>。总储存量为90m</w:t>
            </w:r>
            <w:r>
              <w:rPr>
                <w:rFonts w:hint="default" w:ascii="Times New Roman" w:hAnsi="Times New Roman" w:cs="Times New Roman"/>
                <w:vertAlign w:val="superscript"/>
              </w:rPr>
              <w:t>3</w:t>
            </w:r>
            <w:r>
              <w:rPr>
                <w:rFonts w:hint="default" w:ascii="Times New Roman" w:hAnsi="Times New Roman" w:cs="Times New Roman"/>
              </w:rPr>
              <w:t>（柴油罐容积折半计入油罐总容积）。根据《汽车加油加气站设计与施工规范》（GB50156-2012，2014 年局部修订版）中“表3.0.9 加油站的等级划分”，本项目油罐总容积90m</w:t>
            </w:r>
            <w:r>
              <w:rPr>
                <w:rFonts w:hint="default" w:ascii="Times New Roman" w:hAnsi="Times New Roman" w:cs="Times New Roman"/>
                <w:vertAlign w:val="superscript"/>
              </w:rPr>
              <w:t>3</w:t>
            </w:r>
            <w:r>
              <w:rPr>
                <w:rFonts w:hint="default" w:ascii="Times New Roman" w:hAnsi="Times New Roman" w:cs="Times New Roman"/>
              </w:rPr>
              <w:t>，单汽油油罐容积≤30m</w:t>
            </w:r>
            <w:r>
              <w:rPr>
                <w:rFonts w:hint="default" w:ascii="Times New Roman" w:hAnsi="Times New Roman" w:cs="Times New Roman"/>
                <w:vertAlign w:val="superscript"/>
              </w:rPr>
              <w:t>3</w:t>
            </w:r>
            <w:r>
              <w:rPr>
                <w:rFonts w:hint="default" w:ascii="Times New Roman" w:hAnsi="Times New Roman" w:cs="Times New Roman"/>
              </w:rPr>
              <w:t>，单柴油油罐容积≤50m</w:t>
            </w:r>
            <w:r>
              <w:rPr>
                <w:rFonts w:hint="default" w:ascii="Times New Roman" w:hAnsi="Times New Roman" w:cs="Times New Roman"/>
                <w:vertAlign w:val="superscript"/>
              </w:rPr>
              <w:t>3</w:t>
            </w:r>
            <w:r>
              <w:rPr>
                <w:rFonts w:hint="default" w:ascii="Times New Roman" w:hAnsi="Times New Roman" w:cs="Times New Roman"/>
              </w:rPr>
              <w:t>，属三级加油站。项目罩棚内共设4台四枪加油机，预计年销售油品500t。本项目具体情况详见</w:t>
            </w:r>
            <w:r>
              <w:rPr>
                <w:rFonts w:hint="eastAsia" w:cs="Times New Roman"/>
                <w:lang w:val="en-US" w:eastAsia="zh-CN"/>
              </w:rPr>
              <w:t>表1-1</w:t>
            </w:r>
            <w:r>
              <w:rPr>
                <w:rFonts w:hint="default" w:ascii="Times New Roman" w:hAnsi="Times New Roman" w:cs="Times New Roman"/>
                <w:lang w:val="en-US" w:eastAsia="zh-CN"/>
              </w:rPr>
              <w:t>~</w:t>
            </w:r>
            <w:r>
              <w:rPr>
                <w:rFonts w:hint="eastAsia" w:cs="Times New Roman"/>
                <w:lang w:val="en-US" w:eastAsia="zh-CN"/>
              </w:rPr>
              <w:t>表1-4</w:t>
            </w:r>
            <w:r>
              <w:rPr>
                <w:rFonts w:hint="default" w:ascii="Times New Roman" w:hAnsi="Times New Roman" w:cs="Times New Roman"/>
              </w:rPr>
              <w:t>。</w:t>
            </w:r>
          </w:p>
          <w:p>
            <w:pPr>
              <w:pStyle w:val="143"/>
              <w:keepNext w:val="0"/>
              <w:keepLines w:val="0"/>
              <w:pageBreakBefore w:val="0"/>
              <w:widowControl w:val="0"/>
              <w:kinsoku/>
              <w:wordWrap/>
              <w:overflowPunct/>
              <w:topLinePunct w:val="0"/>
              <w:autoSpaceDE/>
              <w:autoSpaceDN/>
              <w:bidi w:val="0"/>
              <w:adjustRightInd/>
              <w:snapToGrid/>
              <w:spacing w:beforeLines="0"/>
              <w:textAlignment w:val="auto"/>
              <w:rPr>
                <w:rFonts w:hint="default" w:ascii="Times New Roman" w:hAnsi="Times New Roman" w:cs="Times New Roman"/>
              </w:rPr>
            </w:pPr>
            <w:bookmarkStart w:id="2" w:name="_Ref45443538"/>
            <w:r>
              <w:rPr>
                <w:rFonts w:hint="default" w:ascii="Times New Roman" w:hAnsi="Times New Roman" w:cs="Times New Roman"/>
              </w:rPr>
              <w:t>表</w:t>
            </w:r>
            <w:bookmarkEnd w:id="2"/>
            <w:r>
              <w:rPr>
                <w:rFonts w:hint="eastAsia" w:cs="Times New Roman"/>
                <w:lang w:val="en-US" w:eastAsia="zh-CN"/>
              </w:rPr>
              <w:t xml:space="preserve">1-1  </w:t>
            </w:r>
            <w:r>
              <w:rPr>
                <w:rFonts w:hint="default" w:ascii="Times New Roman" w:hAnsi="Times New Roman" w:cs="Times New Roman"/>
              </w:rPr>
              <w:t xml:space="preserve"> 项目建设内容</w:t>
            </w:r>
          </w:p>
          <w:tbl>
            <w:tblPr>
              <w:tblStyle w:val="1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34" w:type="dxa"/>
                <w:left w:w="1" w:type="dxa"/>
                <w:bottom w:w="30" w:type="dxa"/>
                <w:right w:w="0" w:type="dxa"/>
              </w:tblCellMar>
            </w:tblPr>
            <w:tblGrid>
              <w:gridCol w:w="760"/>
              <w:gridCol w:w="2221"/>
              <w:gridCol w:w="1045"/>
              <w:gridCol w:w="1491"/>
              <w:gridCol w:w="3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4" w:type="dxa"/>
                  <w:left w:w="1" w:type="dxa"/>
                  <w:bottom w:w="30" w:type="dxa"/>
                  <w:right w:w="0" w:type="dxa"/>
                </w:tblCellMar>
              </w:tblPrEx>
              <w:trPr>
                <w:trHeight w:val="379" w:hRule="atLeast"/>
                <w:jc w:val="center"/>
              </w:trPr>
              <w:tc>
                <w:tcPr>
                  <w:tcW w:w="425" w:type="pct"/>
                  <w:vAlign w:val="center"/>
                </w:tcPr>
                <w:p>
                  <w:pPr>
                    <w:pStyle w:val="141"/>
                    <w:rPr>
                      <w:rFonts w:hint="default" w:ascii="Times New Roman" w:hAnsi="Times New Roman" w:cs="Times New Roman"/>
                      <w:sz w:val="24"/>
                    </w:rPr>
                  </w:pPr>
                  <w:r>
                    <w:rPr>
                      <w:rFonts w:hint="default" w:ascii="Times New Roman" w:hAnsi="Times New Roman" w:cs="Times New Roman"/>
                    </w:rPr>
                    <w:t>序号</w:t>
                  </w:r>
                </w:p>
              </w:tc>
              <w:tc>
                <w:tcPr>
                  <w:tcW w:w="1241" w:type="pct"/>
                  <w:vAlign w:val="center"/>
                </w:tcPr>
                <w:p>
                  <w:pPr>
                    <w:pStyle w:val="141"/>
                    <w:rPr>
                      <w:rFonts w:hint="default" w:ascii="Times New Roman" w:hAnsi="Times New Roman" w:cs="Times New Roman"/>
                    </w:rPr>
                  </w:pPr>
                  <w:r>
                    <w:rPr>
                      <w:rFonts w:hint="default" w:ascii="Times New Roman" w:hAnsi="Times New Roman" w:cs="Times New Roman"/>
                    </w:rPr>
                    <w:t>项目类型</w:t>
                  </w:r>
                </w:p>
              </w:tc>
              <w:tc>
                <w:tcPr>
                  <w:tcW w:w="584" w:type="pct"/>
                  <w:vAlign w:val="center"/>
                </w:tcPr>
                <w:p>
                  <w:pPr>
                    <w:pStyle w:val="141"/>
                    <w:rPr>
                      <w:rFonts w:hint="default" w:ascii="Times New Roman" w:hAnsi="Times New Roman" w:cs="Times New Roman"/>
                    </w:rPr>
                  </w:pPr>
                  <w:r>
                    <w:rPr>
                      <w:rFonts w:hint="default" w:ascii="Times New Roman" w:hAnsi="Times New Roman" w:cs="Times New Roman"/>
                    </w:rPr>
                    <w:t>单位</w:t>
                  </w:r>
                </w:p>
              </w:tc>
              <w:tc>
                <w:tcPr>
                  <w:tcW w:w="833" w:type="pct"/>
                  <w:vAlign w:val="center"/>
                </w:tcPr>
                <w:p>
                  <w:pPr>
                    <w:pStyle w:val="141"/>
                    <w:rPr>
                      <w:rFonts w:hint="default" w:ascii="Times New Roman" w:hAnsi="Times New Roman" w:cs="Times New Roman"/>
                    </w:rPr>
                  </w:pPr>
                  <w:r>
                    <w:rPr>
                      <w:rFonts w:hint="default" w:ascii="Times New Roman" w:hAnsi="Times New Roman" w:cs="Times New Roman"/>
                    </w:rPr>
                    <w:t>数值</w:t>
                  </w:r>
                </w:p>
              </w:tc>
              <w:tc>
                <w:tcPr>
                  <w:tcW w:w="1917" w:type="pct"/>
                  <w:vAlign w:val="center"/>
                </w:tcPr>
                <w:p>
                  <w:pPr>
                    <w:pStyle w:val="141"/>
                    <w:rPr>
                      <w:rFonts w:hint="default" w:ascii="Times New Roman" w:hAnsi="Times New Roman" w:cs="Times New Roman"/>
                    </w:rPr>
                  </w:pPr>
                  <w:r>
                    <w:rPr>
                      <w:rFonts w:hint="default" w:ascii="Times New Roman" w:hAnsi="Times New Roman" w:cs="Times New Roma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4" w:type="dxa"/>
                  <w:left w:w="1" w:type="dxa"/>
                  <w:bottom w:w="30" w:type="dxa"/>
                  <w:right w:w="0" w:type="dxa"/>
                </w:tblCellMar>
              </w:tblPrEx>
              <w:trPr>
                <w:trHeight w:val="59" w:hRule="atLeast"/>
                <w:jc w:val="center"/>
              </w:trPr>
              <w:tc>
                <w:tcPr>
                  <w:tcW w:w="425" w:type="pct"/>
                  <w:vAlign w:val="center"/>
                </w:tcPr>
                <w:p>
                  <w:pPr>
                    <w:pStyle w:val="141"/>
                    <w:rPr>
                      <w:rFonts w:hint="default" w:ascii="Times New Roman" w:hAnsi="Times New Roman" w:cs="Times New Roman"/>
                    </w:rPr>
                  </w:pPr>
                  <w:r>
                    <w:rPr>
                      <w:rFonts w:hint="default" w:ascii="Times New Roman" w:hAnsi="Times New Roman" w:eastAsia="Times New Roman" w:cs="Times New Roman"/>
                    </w:rPr>
                    <w:t>1</w:t>
                  </w:r>
                </w:p>
              </w:tc>
              <w:tc>
                <w:tcPr>
                  <w:tcW w:w="1241" w:type="pct"/>
                  <w:vAlign w:val="center"/>
                </w:tcPr>
                <w:p>
                  <w:pPr>
                    <w:pStyle w:val="141"/>
                    <w:rPr>
                      <w:rFonts w:hint="default" w:ascii="Times New Roman" w:hAnsi="Times New Roman" w:cs="Times New Roman"/>
                    </w:rPr>
                  </w:pPr>
                  <w:r>
                    <w:rPr>
                      <w:rFonts w:hint="default" w:ascii="Times New Roman" w:hAnsi="Times New Roman" w:cs="Times New Roman"/>
                    </w:rPr>
                    <w:t>总占地面积</w:t>
                  </w:r>
                </w:p>
              </w:tc>
              <w:tc>
                <w:tcPr>
                  <w:tcW w:w="584" w:type="pct"/>
                  <w:vAlign w:val="center"/>
                </w:tcPr>
                <w:p>
                  <w:pPr>
                    <w:pStyle w:val="141"/>
                    <w:rPr>
                      <w:rFonts w:hint="default" w:ascii="Times New Roman" w:hAnsi="Times New Roman" w:cs="Times New Roman"/>
                    </w:rPr>
                  </w:pPr>
                  <w:r>
                    <w:rPr>
                      <w:rFonts w:hint="default" w:ascii="Times New Roman" w:hAnsi="Times New Roman" w:cs="Times New Roman"/>
                    </w:rPr>
                    <w:t>m</w:t>
                  </w:r>
                  <w:r>
                    <w:rPr>
                      <w:rFonts w:hint="default" w:ascii="Times New Roman" w:hAnsi="Times New Roman" w:cs="Times New Roman"/>
                      <w:vertAlign w:val="superscript"/>
                    </w:rPr>
                    <w:t>2</w:t>
                  </w:r>
                </w:p>
              </w:tc>
              <w:tc>
                <w:tcPr>
                  <w:tcW w:w="833" w:type="pct"/>
                  <w:vAlign w:val="center"/>
                </w:tcPr>
                <w:p>
                  <w:pPr>
                    <w:pStyle w:val="141"/>
                    <w:rPr>
                      <w:rFonts w:hint="default" w:ascii="Times New Roman" w:hAnsi="Times New Roman" w:cs="Times New Roman"/>
                    </w:rPr>
                  </w:pPr>
                  <w:r>
                    <w:rPr>
                      <w:rFonts w:hint="default" w:ascii="Times New Roman" w:hAnsi="Times New Roman" w:cs="Times New Roman"/>
                    </w:rPr>
                    <w:t>1414.90</w:t>
                  </w:r>
                </w:p>
              </w:tc>
              <w:tc>
                <w:tcPr>
                  <w:tcW w:w="1917" w:type="pct"/>
                  <w:vAlign w:val="center"/>
                </w:tcPr>
                <w:p>
                  <w:pPr>
                    <w:pStyle w:val="141"/>
                    <w:rPr>
                      <w:rFonts w:hint="default" w:ascii="Times New Roman" w:hAnsi="Times New Roman" w:cs="Times New Roman"/>
                    </w:rPr>
                  </w:pPr>
                  <w:r>
                    <w:rPr>
                      <w:rFonts w:hint="default" w:ascii="Times New Roman" w:hAnsi="Times New Roman" w:eastAsia="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4" w:type="dxa"/>
                  <w:left w:w="1" w:type="dxa"/>
                  <w:bottom w:w="30" w:type="dxa"/>
                  <w:right w:w="0" w:type="dxa"/>
                </w:tblCellMar>
              </w:tblPrEx>
              <w:trPr>
                <w:trHeight w:val="36" w:hRule="atLeast"/>
                <w:jc w:val="center"/>
              </w:trPr>
              <w:tc>
                <w:tcPr>
                  <w:tcW w:w="425" w:type="pct"/>
                  <w:vAlign w:val="center"/>
                </w:tcPr>
                <w:p>
                  <w:pPr>
                    <w:pStyle w:val="141"/>
                    <w:rPr>
                      <w:rFonts w:hint="default" w:ascii="Times New Roman" w:hAnsi="Times New Roman" w:cs="Times New Roman" w:eastAsiaTheme="minorEastAsia"/>
                    </w:rPr>
                  </w:pPr>
                  <w:r>
                    <w:rPr>
                      <w:rFonts w:hint="default" w:ascii="Times New Roman" w:hAnsi="Times New Roman" w:cs="Times New Roman" w:eastAsiaTheme="minorEastAsia"/>
                    </w:rPr>
                    <w:t>2</w:t>
                  </w:r>
                </w:p>
              </w:tc>
              <w:tc>
                <w:tcPr>
                  <w:tcW w:w="1241" w:type="pct"/>
                  <w:vAlign w:val="center"/>
                </w:tcPr>
                <w:p>
                  <w:pPr>
                    <w:pStyle w:val="141"/>
                    <w:rPr>
                      <w:rFonts w:hint="default" w:ascii="Times New Roman" w:hAnsi="Times New Roman" w:cs="Times New Roman"/>
                    </w:rPr>
                  </w:pPr>
                  <w:r>
                    <w:rPr>
                      <w:rFonts w:hint="default" w:ascii="Times New Roman" w:hAnsi="Times New Roman" w:cs="Times New Roman"/>
                    </w:rPr>
                    <w:t>罐区</w:t>
                  </w:r>
                </w:p>
              </w:tc>
              <w:tc>
                <w:tcPr>
                  <w:tcW w:w="584" w:type="pct"/>
                  <w:vAlign w:val="center"/>
                </w:tcPr>
                <w:p>
                  <w:pPr>
                    <w:pStyle w:val="141"/>
                    <w:rPr>
                      <w:rFonts w:hint="default" w:ascii="Times New Roman" w:hAnsi="Times New Roman" w:cs="Times New Roman"/>
                    </w:rPr>
                  </w:pPr>
                  <w:r>
                    <w:rPr>
                      <w:rFonts w:hint="default" w:ascii="Times New Roman" w:hAnsi="Times New Roman" w:cs="Times New Roman"/>
                    </w:rPr>
                    <w:t>m</w:t>
                  </w:r>
                  <w:r>
                    <w:rPr>
                      <w:rFonts w:hint="default" w:ascii="Times New Roman" w:hAnsi="Times New Roman" w:cs="Times New Roman"/>
                      <w:vertAlign w:val="superscript"/>
                    </w:rPr>
                    <w:t>2</w:t>
                  </w:r>
                </w:p>
              </w:tc>
              <w:tc>
                <w:tcPr>
                  <w:tcW w:w="833" w:type="pct"/>
                  <w:vAlign w:val="center"/>
                </w:tcPr>
                <w:p>
                  <w:pPr>
                    <w:pStyle w:val="141"/>
                    <w:rPr>
                      <w:rFonts w:hint="default" w:ascii="Times New Roman" w:hAnsi="Times New Roman" w:cs="Times New Roman"/>
                    </w:rPr>
                  </w:pPr>
                  <w:r>
                    <w:rPr>
                      <w:rFonts w:hint="default" w:ascii="Times New Roman" w:hAnsi="Times New Roman" w:cs="Times New Roman"/>
                    </w:rPr>
                    <w:t>85</w:t>
                  </w:r>
                </w:p>
              </w:tc>
              <w:tc>
                <w:tcPr>
                  <w:tcW w:w="1917" w:type="pct"/>
                  <w:vAlign w:val="center"/>
                </w:tcPr>
                <w:p>
                  <w:pPr>
                    <w:pStyle w:val="141"/>
                    <w:rPr>
                      <w:rFonts w:hint="default" w:ascii="Times New Roman" w:hAnsi="Times New Roman" w:eastAsia="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4" w:type="dxa"/>
                  <w:left w:w="1" w:type="dxa"/>
                  <w:bottom w:w="30" w:type="dxa"/>
                  <w:right w:w="0" w:type="dxa"/>
                </w:tblCellMar>
              </w:tblPrEx>
              <w:trPr>
                <w:trHeight w:val="36" w:hRule="atLeast"/>
                <w:jc w:val="center"/>
              </w:trPr>
              <w:tc>
                <w:tcPr>
                  <w:tcW w:w="425" w:type="pct"/>
                  <w:vAlign w:val="center"/>
                </w:tcPr>
                <w:p>
                  <w:pPr>
                    <w:pStyle w:val="141"/>
                    <w:rPr>
                      <w:rFonts w:hint="default" w:ascii="Times New Roman" w:hAnsi="Times New Roman" w:cs="Times New Roman" w:eastAsiaTheme="minorEastAsia"/>
                    </w:rPr>
                  </w:pPr>
                  <w:r>
                    <w:rPr>
                      <w:rFonts w:hint="default" w:ascii="Times New Roman" w:hAnsi="Times New Roman" w:cs="Times New Roman" w:eastAsiaTheme="minorEastAsia"/>
                    </w:rPr>
                    <w:t>3</w:t>
                  </w:r>
                </w:p>
              </w:tc>
              <w:tc>
                <w:tcPr>
                  <w:tcW w:w="1241" w:type="pct"/>
                  <w:vAlign w:val="center"/>
                </w:tcPr>
                <w:p>
                  <w:pPr>
                    <w:pStyle w:val="141"/>
                    <w:rPr>
                      <w:rFonts w:hint="default" w:ascii="Times New Roman" w:hAnsi="Times New Roman" w:cs="Times New Roman"/>
                    </w:rPr>
                  </w:pPr>
                  <w:r>
                    <w:rPr>
                      <w:rFonts w:hint="default" w:ascii="Times New Roman" w:hAnsi="Times New Roman" w:cs="Times New Roman"/>
                    </w:rPr>
                    <w:t>罩棚及加油岛</w:t>
                  </w:r>
                </w:p>
              </w:tc>
              <w:tc>
                <w:tcPr>
                  <w:tcW w:w="584" w:type="pct"/>
                  <w:vAlign w:val="center"/>
                </w:tcPr>
                <w:p>
                  <w:pPr>
                    <w:pStyle w:val="141"/>
                    <w:rPr>
                      <w:rFonts w:hint="default" w:ascii="Times New Roman" w:hAnsi="Times New Roman" w:cs="Times New Roman"/>
                    </w:rPr>
                  </w:pPr>
                  <w:r>
                    <w:rPr>
                      <w:rFonts w:hint="default" w:ascii="Times New Roman" w:hAnsi="Times New Roman" w:cs="Times New Roman"/>
                    </w:rPr>
                    <w:t>m</w:t>
                  </w:r>
                  <w:r>
                    <w:rPr>
                      <w:rFonts w:hint="default" w:ascii="Times New Roman" w:hAnsi="Times New Roman" w:cs="Times New Roman"/>
                      <w:vertAlign w:val="superscript"/>
                    </w:rPr>
                    <w:t>2</w:t>
                  </w:r>
                </w:p>
              </w:tc>
              <w:tc>
                <w:tcPr>
                  <w:tcW w:w="833" w:type="pct"/>
                  <w:vAlign w:val="center"/>
                </w:tcPr>
                <w:p>
                  <w:pPr>
                    <w:pStyle w:val="141"/>
                    <w:rPr>
                      <w:rFonts w:hint="default" w:ascii="Times New Roman" w:hAnsi="Times New Roman" w:cs="Times New Roman"/>
                    </w:rPr>
                  </w:pPr>
                  <w:r>
                    <w:rPr>
                      <w:rFonts w:hint="default" w:ascii="Times New Roman" w:hAnsi="Times New Roman" w:cs="Times New Roman"/>
                    </w:rPr>
                    <w:t>234</w:t>
                  </w:r>
                </w:p>
              </w:tc>
              <w:tc>
                <w:tcPr>
                  <w:tcW w:w="1917" w:type="pct"/>
                  <w:vAlign w:val="center"/>
                </w:tcPr>
                <w:p>
                  <w:pPr>
                    <w:pStyle w:val="141"/>
                    <w:rPr>
                      <w:rFonts w:hint="default" w:ascii="Times New Roman" w:hAnsi="Times New Roman" w:eastAsia="Times New Roman" w:cs="Times New Roman"/>
                    </w:rPr>
                  </w:pPr>
                  <w:r>
                    <w:rPr>
                      <w:rFonts w:hint="default" w:ascii="Times New Roman" w:hAnsi="Times New Roman" w:cs="Times New Roman"/>
                    </w:rPr>
                    <w:t>一层，高3m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4" w:type="dxa"/>
                  <w:left w:w="1" w:type="dxa"/>
                  <w:bottom w:w="30" w:type="dxa"/>
                  <w:right w:w="0" w:type="dxa"/>
                </w:tblCellMar>
              </w:tblPrEx>
              <w:trPr>
                <w:trHeight w:val="36" w:hRule="atLeast"/>
                <w:jc w:val="center"/>
              </w:trPr>
              <w:tc>
                <w:tcPr>
                  <w:tcW w:w="425" w:type="pct"/>
                  <w:vAlign w:val="center"/>
                </w:tcPr>
                <w:p>
                  <w:pPr>
                    <w:pStyle w:val="141"/>
                    <w:rPr>
                      <w:rFonts w:hint="default" w:ascii="Times New Roman" w:hAnsi="Times New Roman" w:cs="Times New Roman" w:eastAsiaTheme="minorEastAsia"/>
                    </w:rPr>
                  </w:pPr>
                  <w:r>
                    <w:rPr>
                      <w:rFonts w:hint="default" w:ascii="Times New Roman" w:hAnsi="Times New Roman" w:cs="Times New Roman" w:eastAsiaTheme="minorEastAsia"/>
                    </w:rPr>
                    <w:t>4</w:t>
                  </w:r>
                </w:p>
              </w:tc>
              <w:tc>
                <w:tcPr>
                  <w:tcW w:w="1241" w:type="pct"/>
                  <w:vAlign w:val="center"/>
                </w:tcPr>
                <w:p>
                  <w:pPr>
                    <w:pStyle w:val="141"/>
                    <w:rPr>
                      <w:rFonts w:hint="default" w:ascii="Times New Roman" w:hAnsi="Times New Roman" w:cs="Times New Roman"/>
                    </w:rPr>
                  </w:pPr>
                  <w:r>
                    <w:rPr>
                      <w:rFonts w:hint="default" w:ascii="Times New Roman" w:hAnsi="Times New Roman" w:cs="Times New Roman"/>
                    </w:rPr>
                    <w:t>辅助用房</w:t>
                  </w:r>
                </w:p>
              </w:tc>
              <w:tc>
                <w:tcPr>
                  <w:tcW w:w="584" w:type="pct"/>
                  <w:vAlign w:val="center"/>
                </w:tcPr>
                <w:p>
                  <w:pPr>
                    <w:pStyle w:val="141"/>
                    <w:rPr>
                      <w:rFonts w:hint="default" w:ascii="Times New Roman" w:hAnsi="Times New Roman" w:cs="Times New Roman"/>
                    </w:rPr>
                  </w:pPr>
                  <w:r>
                    <w:rPr>
                      <w:rFonts w:hint="default" w:ascii="Times New Roman" w:hAnsi="Times New Roman" w:cs="Times New Roman"/>
                    </w:rPr>
                    <w:t>m</w:t>
                  </w:r>
                  <w:r>
                    <w:rPr>
                      <w:rFonts w:hint="default" w:ascii="Times New Roman" w:hAnsi="Times New Roman" w:cs="Times New Roman"/>
                      <w:vertAlign w:val="superscript"/>
                    </w:rPr>
                    <w:t>2</w:t>
                  </w:r>
                </w:p>
              </w:tc>
              <w:tc>
                <w:tcPr>
                  <w:tcW w:w="833" w:type="pct"/>
                  <w:vAlign w:val="center"/>
                </w:tcPr>
                <w:p>
                  <w:pPr>
                    <w:pStyle w:val="141"/>
                    <w:rPr>
                      <w:rFonts w:hint="default" w:ascii="Times New Roman" w:hAnsi="Times New Roman" w:cs="Times New Roman"/>
                    </w:rPr>
                  </w:pPr>
                  <w:r>
                    <w:rPr>
                      <w:rFonts w:hint="default" w:ascii="Times New Roman" w:hAnsi="Times New Roman" w:cs="Times New Roman"/>
                    </w:rPr>
                    <w:t>40.17</w:t>
                  </w:r>
                </w:p>
              </w:tc>
              <w:tc>
                <w:tcPr>
                  <w:tcW w:w="1917" w:type="pct"/>
                  <w:vAlign w:val="center"/>
                </w:tcPr>
                <w:p>
                  <w:pPr>
                    <w:pStyle w:val="141"/>
                    <w:rPr>
                      <w:rFonts w:hint="default" w:ascii="Times New Roman" w:hAnsi="Times New Roman" w:eastAsia="Times New Roman" w:cs="Times New Roman"/>
                    </w:rPr>
                  </w:pPr>
                  <w:r>
                    <w:rPr>
                      <w:rFonts w:hint="default" w:ascii="Times New Roman" w:hAnsi="Times New Roman" w:cs="Times New Roman"/>
                    </w:rPr>
                    <w:t>一层，高4m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4" w:type="dxa"/>
                  <w:left w:w="1" w:type="dxa"/>
                  <w:bottom w:w="30" w:type="dxa"/>
                  <w:right w:w="0" w:type="dxa"/>
                </w:tblCellMar>
              </w:tblPrEx>
              <w:trPr>
                <w:trHeight w:val="36" w:hRule="atLeast"/>
                <w:jc w:val="center"/>
              </w:trPr>
              <w:tc>
                <w:tcPr>
                  <w:tcW w:w="425" w:type="pct"/>
                  <w:vAlign w:val="center"/>
                </w:tcPr>
                <w:p>
                  <w:pPr>
                    <w:pStyle w:val="141"/>
                    <w:rPr>
                      <w:rFonts w:hint="default" w:ascii="Times New Roman" w:hAnsi="Times New Roman" w:cs="Times New Roman" w:eastAsiaTheme="minorEastAsia"/>
                    </w:rPr>
                  </w:pPr>
                  <w:r>
                    <w:rPr>
                      <w:rFonts w:hint="default" w:ascii="Times New Roman" w:hAnsi="Times New Roman" w:cs="Times New Roman" w:eastAsiaTheme="minorEastAsia"/>
                    </w:rPr>
                    <w:t>5</w:t>
                  </w:r>
                </w:p>
              </w:tc>
              <w:tc>
                <w:tcPr>
                  <w:tcW w:w="1241" w:type="pct"/>
                  <w:vAlign w:val="center"/>
                </w:tcPr>
                <w:p>
                  <w:pPr>
                    <w:pStyle w:val="141"/>
                    <w:rPr>
                      <w:rFonts w:hint="default" w:ascii="Times New Roman" w:hAnsi="Times New Roman" w:cs="Times New Roman"/>
                    </w:rPr>
                  </w:pPr>
                  <w:r>
                    <w:rPr>
                      <w:rFonts w:hint="default" w:ascii="Times New Roman" w:hAnsi="Times New Roman" w:cs="Times New Roman"/>
                    </w:rPr>
                    <w:t>站房</w:t>
                  </w:r>
                </w:p>
              </w:tc>
              <w:tc>
                <w:tcPr>
                  <w:tcW w:w="584" w:type="pct"/>
                  <w:vAlign w:val="center"/>
                </w:tcPr>
                <w:p>
                  <w:pPr>
                    <w:pStyle w:val="141"/>
                    <w:rPr>
                      <w:rFonts w:hint="default" w:ascii="Times New Roman" w:hAnsi="Times New Roman" w:cs="Times New Roman"/>
                    </w:rPr>
                  </w:pPr>
                  <w:r>
                    <w:rPr>
                      <w:rFonts w:hint="default" w:ascii="Times New Roman" w:hAnsi="Times New Roman" w:cs="Times New Roman"/>
                    </w:rPr>
                    <w:t>m</w:t>
                  </w:r>
                  <w:r>
                    <w:rPr>
                      <w:rFonts w:hint="default" w:ascii="Times New Roman" w:hAnsi="Times New Roman" w:cs="Times New Roman"/>
                      <w:vertAlign w:val="superscript"/>
                    </w:rPr>
                    <w:t>2</w:t>
                  </w:r>
                </w:p>
              </w:tc>
              <w:tc>
                <w:tcPr>
                  <w:tcW w:w="833" w:type="pct"/>
                  <w:vAlign w:val="center"/>
                </w:tcPr>
                <w:p>
                  <w:pPr>
                    <w:pStyle w:val="141"/>
                    <w:rPr>
                      <w:rFonts w:hint="default" w:ascii="Times New Roman" w:hAnsi="Times New Roman" w:cs="Times New Roman"/>
                    </w:rPr>
                  </w:pPr>
                  <w:r>
                    <w:rPr>
                      <w:rFonts w:hint="default" w:ascii="Times New Roman" w:hAnsi="Times New Roman" w:cs="Times New Roman"/>
                    </w:rPr>
                    <w:t>56.14</w:t>
                  </w:r>
                </w:p>
              </w:tc>
              <w:tc>
                <w:tcPr>
                  <w:tcW w:w="1917" w:type="pct"/>
                  <w:vAlign w:val="center"/>
                </w:tcPr>
                <w:p>
                  <w:pPr>
                    <w:pStyle w:val="141"/>
                    <w:rPr>
                      <w:rFonts w:hint="default" w:ascii="Times New Roman" w:hAnsi="Times New Roman" w:eastAsia="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4" w:type="dxa"/>
                  <w:left w:w="1" w:type="dxa"/>
                  <w:bottom w:w="30" w:type="dxa"/>
                  <w:right w:w="0" w:type="dxa"/>
                </w:tblCellMar>
              </w:tblPrEx>
              <w:trPr>
                <w:trHeight w:val="36" w:hRule="atLeast"/>
                <w:jc w:val="center"/>
              </w:trPr>
              <w:tc>
                <w:tcPr>
                  <w:tcW w:w="425" w:type="pct"/>
                  <w:vAlign w:val="center"/>
                </w:tcPr>
                <w:p>
                  <w:pPr>
                    <w:pStyle w:val="141"/>
                    <w:rPr>
                      <w:rFonts w:hint="default" w:ascii="Times New Roman" w:hAnsi="Times New Roman" w:cs="Times New Roman" w:eastAsiaTheme="minorEastAsia"/>
                    </w:rPr>
                  </w:pPr>
                  <w:r>
                    <w:rPr>
                      <w:rFonts w:hint="default" w:ascii="Times New Roman" w:hAnsi="Times New Roman" w:cs="Times New Roman" w:eastAsiaTheme="minorEastAsia"/>
                    </w:rPr>
                    <w:t>6</w:t>
                  </w:r>
                </w:p>
              </w:tc>
              <w:tc>
                <w:tcPr>
                  <w:tcW w:w="1241" w:type="pct"/>
                  <w:vAlign w:val="center"/>
                </w:tcPr>
                <w:p>
                  <w:pPr>
                    <w:pStyle w:val="141"/>
                    <w:rPr>
                      <w:rFonts w:hint="default" w:ascii="Times New Roman" w:hAnsi="Times New Roman" w:cs="Times New Roman"/>
                    </w:rPr>
                  </w:pPr>
                  <w:r>
                    <w:rPr>
                      <w:rFonts w:hint="default" w:ascii="Times New Roman" w:hAnsi="Times New Roman" w:cs="Times New Roman"/>
                    </w:rPr>
                    <w:t>员工人数</w:t>
                  </w:r>
                </w:p>
              </w:tc>
              <w:tc>
                <w:tcPr>
                  <w:tcW w:w="584" w:type="pct"/>
                  <w:vAlign w:val="center"/>
                </w:tcPr>
                <w:p>
                  <w:pPr>
                    <w:pStyle w:val="141"/>
                    <w:rPr>
                      <w:rFonts w:hint="default" w:ascii="Times New Roman" w:hAnsi="Times New Roman" w:cs="Times New Roman"/>
                    </w:rPr>
                  </w:pPr>
                  <w:r>
                    <w:rPr>
                      <w:rFonts w:hint="default" w:ascii="Times New Roman" w:hAnsi="Times New Roman" w:cs="Times New Roman"/>
                    </w:rPr>
                    <w:t>人</w:t>
                  </w:r>
                </w:p>
              </w:tc>
              <w:tc>
                <w:tcPr>
                  <w:tcW w:w="833" w:type="pct"/>
                  <w:vAlign w:val="center"/>
                </w:tcPr>
                <w:p>
                  <w:pPr>
                    <w:pStyle w:val="141"/>
                    <w:rPr>
                      <w:rFonts w:hint="default" w:ascii="Times New Roman" w:hAnsi="Times New Roman" w:cs="Times New Roman"/>
                    </w:rPr>
                  </w:pPr>
                  <w:r>
                    <w:rPr>
                      <w:rFonts w:hint="default" w:ascii="Times New Roman" w:hAnsi="Times New Roman" w:cs="Times New Roman"/>
                    </w:rPr>
                    <w:t>8</w:t>
                  </w:r>
                </w:p>
              </w:tc>
              <w:tc>
                <w:tcPr>
                  <w:tcW w:w="1917" w:type="pct"/>
                  <w:vAlign w:val="center"/>
                </w:tcPr>
                <w:p>
                  <w:pPr>
                    <w:pStyle w:val="141"/>
                    <w:rPr>
                      <w:rFonts w:hint="default" w:ascii="Times New Roman" w:hAnsi="Times New Roman" w:eastAsia="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4" w:type="dxa"/>
                  <w:left w:w="1" w:type="dxa"/>
                  <w:bottom w:w="30" w:type="dxa"/>
                  <w:right w:w="0" w:type="dxa"/>
                </w:tblCellMar>
              </w:tblPrEx>
              <w:trPr>
                <w:trHeight w:val="36" w:hRule="atLeast"/>
                <w:jc w:val="center"/>
              </w:trPr>
              <w:tc>
                <w:tcPr>
                  <w:tcW w:w="425" w:type="pct"/>
                  <w:vAlign w:val="center"/>
                </w:tcPr>
                <w:p>
                  <w:pPr>
                    <w:pStyle w:val="141"/>
                    <w:rPr>
                      <w:rFonts w:hint="default" w:ascii="Times New Roman" w:hAnsi="Times New Roman" w:cs="Times New Roman" w:eastAsiaTheme="minorEastAsia"/>
                    </w:rPr>
                  </w:pPr>
                  <w:r>
                    <w:rPr>
                      <w:rFonts w:hint="default" w:ascii="Times New Roman" w:hAnsi="Times New Roman" w:cs="Times New Roman" w:eastAsiaTheme="minorEastAsia"/>
                    </w:rPr>
                    <w:t>7</w:t>
                  </w:r>
                </w:p>
              </w:tc>
              <w:tc>
                <w:tcPr>
                  <w:tcW w:w="1241" w:type="pct"/>
                  <w:vAlign w:val="center"/>
                </w:tcPr>
                <w:p>
                  <w:pPr>
                    <w:pStyle w:val="141"/>
                    <w:rPr>
                      <w:rFonts w:hint="default" w:ascii="Times New Roman" w:hAnsi="Times New Roman" w:cs="Times New Roman"/>
                    </w:rPr>
                  </w:pPr>
                  <w:r>
                    <w:rPr>
                      <w:rFonts w:hint="default" w:ascii="Times New Roman" w:hAnsi="Times New Roman" w:cs="Times New Roman"/>
                    </w:rPr>
                    <w:t>备用发电机</w:t>
                  </w:r>
                </w:p>
              </w:tc>
              <w:tc>
                <w:tcPr>
                  <w:tcW w:w="584" w:type="pct"/>
                  <w:vAlign w:val="center"/>
                </w:tcPr>
                <w:p>
                  <w:pPr>
                    <w:pStyle w:val="141"/>
                    <w:rPr>
                      <w:rFonts w:hint="default" w:ascii="Times New Roman" w:hAnsi="Times New Roman" w:cs="Times New Roman"/>
                    </w:rPr>
                  </w:pPr>
                  <w:r>
                    <w:rPr>
                      <w:rFonts w:hint="default" w:ascii="Times New Roman" w:hAnsi="Times New Roman" w:cs="Times New Roman"/>
                    </w:rPr>
                    <w:t>台</w:t>
                  </w:r>
                </w:p>
              </w:tc>
              <w:tc>
                <w:tcPr>
                  <w:tcW w:w="833" w:type="pct"/>
                  <w:vAlign w:val="center"/>
                </w:tcPr>
                <w:p>
                  <w:pPr>
                    <w:pStyle w:val="141"/>
                    <w:rPr>
                      <w:rFonts w:hint="default" w:ascii="Times New Roman" w:hAnsi="Times New Roman" w:cs="Times New Roman"/>
                    </w:rPr>
                  </w:pPr>
                  <w:r>
                    <w:rPr>
                      <w:rFonts w:hint="default" w:ascii="Times New Roman" w:hAnsi="Times New Roman" w:cs="Times New Roman"/>
                    </w:rPr>
                    <w:t>1</w:t>
                  </w:r>
                </w:p>
              </w:tc>
              <w:tc>
                <w:tcPr>
                  <w:tcW w:w="1917" w:type="pct"/>
                  <w:vAlign w:val="center"/>
                </w:tcPr>
                <w:p>
                  <w:pPr>
                    <w:pStyle w:val="141"/>
                    <w:rPr>
                      <w:rFonts w:hint="default" w:ascii="Times New Roman" w:hAnsi="Times New Roman" w:eastAsia="Times New Roman" w:cs="Times New Roman"/>
                    </w:rPr>
                  </w:pPr>
                </w:p>
              </w:tc>
            </w:tr>
          </w:tbl>
          <w:p>
            <w:pPr>
              <w:pStyle w:val="143"/>
              <w:spacing w:before="156"/>
              <w:rPr>
                <w:rFonts w:hint="default" w:ascii="Times New Roman" w:hAnsi="Times New Roman" w:cs="Times New Roman"/>
              </w:rPr>
            </w:pPr>
            <w:r>
              <w:rPr>
                <w:rFonts w:hint="default" w:ascii="Times New Roman" w:hAnsi="Times New Roman" w:cs="Times New Roman"/>
              </w:rPr>
              <w:t>表</w:t>
            </w:r>
            <w:r>
              <w:rPr>
                <w:rFonts w:hint="eastAsia" w:cs="Times New Roman"/>
                <w:lang w:val="en-US" w:eastAsia="zh-CN"/>
              </w:rPr>
              <w:t>1-2</w:t>
            </w:r>
            <w:r>
              <w:rPr>
                <w:rFonts w:hint="default" w:ascii="Times New Roman" w:hAnsi="Times New Roman" w:cs="Times New Roman"/>
              </w:rPr>
              <w:t xml:space="preserve"> 年销售量</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9"/>
              <w:gridCol w:w="1952"/>
              <w:gridCol w:w="4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8" w:type="pct"/>
                  <w:gridSpan w:val="2"/>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名称</w:t>
                  </w:r>
                </w:p>
              </w:tc>
              <w:tc>
                <w:tcPr>
                  <w:tcW w:w="2602" w:type="pct"/>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数量（t/a）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pct"/>
                  <w:vMerge w:val="restart"/>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汽油</w:t>
                  </w:r>
                </w:p>
              </w:tc>
              <w:tc>
                <w:tcPr>
                  <w:tcW w:w="1091" w:type="pct"/>
                  <w:tcBorders>
                    <w:tl2br w:val="nil"/>
                    <w:tr2bl w:val="nil"/>
                  </w:tcBorders>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92#</w:t>
                  </w:r>
                </w:p>
              </w:tc>
              <w:tc>
                <w:tcPr>
                  <w:tcW w:w="2602" w:type="pct"/>
                  <w:tcBorders>
                    <w:tl2br w:val="nil"/>
                    <w:tr2bl w:val="nil"/>
                  </w:tcBorders>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pct"/>
                  <w:vMerge w:val="continue"/>
                  <w:tcBorders>
                    <w:tl2br w:val="nil"/>
                    <w:tr2bl w:val="nil"/>
                  </w:tcBorders>
                  <w:vAlign w:val="center"/>
                </w:tcPr>
                <w:p>
                  <w:pPr>
                    <w:pStyle w:val="141"/>
                    <w:rPr>
                      <w:rFonts w:hint="default" w:ascii="Times New Roman" w:hAnsi="Times New Roman" w:cs="Times New Roman"/>
                    </w:rPr>
                  </w:pPr>
                </w:p>
              </w:tc>
              <w:tc>
                <w:tcPr>
                  <w:tcW w:w="1091" w:type="pct"/>
                  <w:tcBorders>
                    <w:tl2br w:val="nil"/>
                    <w:tr2bl w:val="nil"/>
                  </w:tcBorders>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95#</w:t>
                  </w:r>
                </w:p>
              </w:tc>
              <w:tc>
                <w:tcPr>
                  <w:tcW w:w="2602" w:type="pct"/>
                  <w:tcBorders>
                    <w:tl2br w:val="nil"/>
                    <w:tr2bl w:val="nil"/>
                  </w:tcBorders>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pct"/>
                  <w:vMerge w:val="continue"/>
                  <w:tcBorders>
                    <w:tl2br w:val="nil"/>
                    <w:tr2bl w:val="nil"/>
                  </w:tcBorders>
                  <w:vAlign w:val="center"/>
                </w:tcPr>
                <w:p>
                  <w:pPr>
                    <w:pStyle w:val="141"/>
                    <w:rPr>
                      <w:rFonts w:hint="default" w:ascii="Times New Roman" w:hAnsi="Times New Roman" w:cs="Times New Roman"/>
                    </w:rPr>
                  </w:pPr>
                </w:p>
              </w:tc>
              <w:tc>
                <w:tcPr>
                  <w:tcW w:w="1091" w:type="pct"/>
                  <w:tcBorders>
                    <w:tl2br w:val="nil"/>
                    <w:tr2bl w:val="nil"/>
                  </w:tcBorders>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98#</w:t>
                  </w:r>
                </w:p>
              </w:tc>
              <w:tc>
                <w:tcPr>
                  <w:tcW w:w="2602" w:type="pct"/>
                  <w:tcBorders>
                    <w:tl2br w:val="nil"/>
                    <w:tr2bl w:val="nil"/>
                  </w:tcBorders>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7" w:type="pct"/>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柴油</w:t>
                  </w:r>
                </w:p>
              </w:tc>
              <w:tc>
                <w:tcPr>
                  <w:tcW w:w="1091" w:type="pct"/>
                  <w:tcBorders>
                    <w:tl2br w:val="nil"/>
                    <w:tr2bl w:val="nil"/>
                  </w:tcBorders>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0#</w:t>
                  </w:r>
                </w:p>
              </w:tc>
              <w:tc>
                <w:tcPr>
                  <w:tcW w:w="2602" w:type="pct"/>
                  <w:tcBorders>
                    <w:tl2br w:val="nil"/>
                    <w:tr2bl w:val="nil"/>
                  </w:tcBorders>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70</w:t>
                  </w:r>
                </w:p>
              </w:tc>
            </w:tr>
          </w:tbl>
          <w:p>
            <w:pPr>
              <w:pStyle w:val="143"/>
              <w:spacing w:before="156"/>
              <w:rPr>
                <w:rFonts w:hint="default" w:ascii="Times New Roman" w:hAnsi="Times New Roman" w:cs="Times New Roman"/>
              </w:rPr>
            </w:pPr>
            <w:r>
              <w:rPr>
                <w:rFonts w:hint="default" w:ascii="Times New Roman" w:hAnsi="Times New Roman" w:cs="Times New Roman"/>
              </w:rPr>
              <w:t>表</w:t>
            </w:r>
            <w:r>
              <w:rPr>
                <w:rFonts w:hint="eastAsia" w:cs="Times New Roman"/>
                <w:lang w:val="en-US" w:eastAsia="zh-CN"/>
              </w:rPr>
              <w:t xml:space="preserve">1-3 </w:t>
            </w:r>
            <w:r>
              <w:rPr>
                <w:rFonts w:hint="default" w:ascii="Times New Roman" w:hAnsi="Times New Roman" w:cs="Times New Roman"/>
              </w:rPr>
              <w:t xml:space="preserve"> 项目主要建筑物组成</w:t>
            </w:r>
          </w:p>
          <w:tbl>
            <w:tblPr>
              <w:tblStyle w:val="30"/>
              <w:tblW w:w="8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1485"/>
              <w:gridCol w:w="6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工程类别</w:t>
                  </w:r>
                </w:p>
              </w:tc>
              <w:tc>
                <w:tcPr>
                  <w:tcW w:w="148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工程名称</w:t>
                  </w:r>
                </w:p>
              </w:tc>
              <w:tc>
                <w:tcPr>
                  <w:tcW w:w="616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主要建设内容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主体工程</w:t>
                  </w:r>
                </w:p>
              </w:tc>
              <w:tc>
                <w:tcPr>
                  <w:tcW w:w="148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储油区</w:t>
                  </w:r>
                </w:p>
              </w:tc>
              <w:tc>
                <w:tcPr>
                  <w:tcW w:w="616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占地约85</w:t>
                  </w:r>
                  <w:r>
                    <w:rPr>
                      <w:rFonts w:hint="default" w:ascii="Times New Roman" w:hAnsi="Times New Roman" w:cs="Times New Roman"/>
                    </w:rPr>
                    <w:t xml:space="preserve"> m</w:t>
                  </w:r>
                  <w:r>
                    <w:rPr>
                      <w:rFonts w:hint="default" w:ascii="Times New Roman" w:hAnsi="Times New Roman" w:cs="Times New Roman"/>
                      <w:vertAlign w:val="superscript"/>
                    </w:rPr>
                    <w:t>2</w:t>
                  </w:r>
                  <w:r>
                    <w:rPr>
                      <w:rFonts w:hint="default" w:ascii="Times New Roman" w:hAnsi="Times New Roman" w:cs="Times New Roman"/>
                      <w:szCs w:val="21"/>
                    </w:rPr>
                    <w:t>，设</w:t>
                  </w:r>
                  <w:r>
                    <w:rPr>
                      <w:rFonts w:hint="default" w:ascii="Times New Roman" w:hAnsi="Times New Roman" w:cs="Times New Roman"/>
                    </w:rPr>
                    <w:t>25</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szCs w:val="21"/>
                    </w:rPr>
                    <w:t>埋地卧式汽油油罐3个，</w:t>
                  </w:r>
                  <w:r>
                    <w:rPr>
                      <w:rFonts w:hint="default" w:ascii="Times New Roman" w:hAnsi="Times New Roman" w:cs="Times New Roman"/>
                    </w:rPr>
                    <w:t>30</w:t>
                  </w:r>
                  <w:r>
                    <w:rPr>
                      <w:rFonts w:hint="default" w:ascii="Times New Roman" w:hAnsi="Times New Roman" w:cs="Times New Roman"/>
                      <w:szCs w:val="21"/>
                    </w:rPr>
                    <w:t>m</w:t>
                  </w:r>
                  <w:r>
                    <w:rPr>
                      <w:rFonts w:hint="default" w:ascii="Times New Roman" w:hAnsi="Times New Roman" w:cs="Times New Roman"/>
                      <w:szCs w:val="21"/>
                      <w:vertAlign w:val="superscript"/>
                    </w:rPr>
                    <w:t>3</w:t>
                  </w:r>
                  <w:r>
                    <w:rPr>
                      <w:rFonts w:hint="default" w:ascii="Times New Roman" w:hAnsi="Times New Roman" w:cs="Times New Roman"/>
                      <w:szCs w:val="21"/>
                    </w:rPr>
                    <w:t>埋地卧式柴油油罐1个，折合后总容量为90m</w:t>
                  </w:r>
                  <w:r>
                    <w:rPr>
                      <w:rFonts w:hint="default" w:ascii="Times New Roman" w:hAnsi="Times New Roman" w:cs="Times New Roman"/>
                      <w:szCs w:val="21"/>
                      <w:vertAlign w:val="superscript"/>
                    </w:rPr>
                    <w:t>3</w:t>
                  </w:r>
                  <w:r>
                    <w:rPr>
                      <w:rFonts w:hint="default" w:ascii="Times New Roman" w:hAnsi="Times New Roman" w:cs="Times New Roman"/>
                      <w:szCs w:val="21"/>
                    </w:rPr>
                    <w:t>（柴油储量折半计入总容积），均采用 SF 双层内钢外玻璃纤维增强塑料卧式油罐，油罐固定于地下整体浇筑钢筋混凝土结构的底座。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pPr>
                    <w:jc w:val="center"/>
                    <w:rPr>
                      <w:rFonts w:hint="default" w:ascii="Times New Roman" w:hAnsi="Times New Roman" w:cs="Times New Roman"/>
                      <w:szCs w:val="21"/>
                    </w:rPr>
                  </w:pPr>
                </w:p>
              </w:tc>
              <w:tc>
                <w:tcPr>
                  <w:tcW w:w="148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加油区</w:t>
                  </w:r>
                </w:p>
              </w:tc>
              <w:tc>
                <w:tcPr>
                  <w:tcW w:w="616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加油岛：4个，占地约560m</w:t>
                  </w:r>
                  <w:r>
                    <w:rPr>
                      <w:rFonts w:hint="default" w:ascii="Times New Roman" w:hAnsi="Times New Roman" w:cs="Times New Roman"/>
                      <w:szCs w:val="21"/>
                      <w:vertAlign w:val="superscript"/>
                    </w:rPr>
                    <w:t>2</w:t>
                  </w:r>
                  <w:r>
                    <w:rPr>
                      <w:rFonts w:hint="default" w:ascii="Times New Roman" w:hAnsi="Times New Roman" w:cs="Times New Roman"/>
                      <w:szCs w:val="21"/>
                    </w:rPr>
                    <w:t>，设4台四枪潜油泵式加油机</w:t>
                  </w:r>
                </w:p>
                <w:p>
                  <w:pPr>
                    <w:jc w:val="center"/>
                    <w:rPr>
                      <w:rFonts w:hint="default" w:ascii="Times New Roman" w:hAnsi="Times New Roman" w:cs="Times New Roman"/>
                      <w:szCs w:val="21"/>
                    </w:rPr>
                  </w:pPr>
                  <w:r>
                    <w:rPr>
                      <w:rFonts w:hint="default" w:ascii="Times New Roman" w:hAnsi="Times New Roman" w:cs="Times New Roman"/>
                      <w:szCs w:val="21"/>
                    </w:rPr>
                    <w:t>罩棚：一层。共234</w:t>
                  </w:r>
                  <w:r>
                    <w:rPr>
                      <w:rFonts w:hint="default" w:ascii="Times New Roman" w:hAnsi="Times New Roman" w:cs="Times New Roman"/>
                    </w:rPr>
                    <w:t xml:space="preserve"> m</w:t>
                  </w:r>
                  <w:r>
                    <w:rPr>
                      <w:rFonts w:hint="default" w:ascii="Times New Roman" w:hAnsi="Times New Roman" w:cs="Times New Roman"/>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辅助工程</w:t>
                  </w:r>
                </w:p>
              </w:tc>
              <w:tc>
                <w:tcPr>
                  <w:tcW w:w="148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辅助区</w:t>
                  </w:r>
                </w:p>
              </w:tc>
              <w:tc>
                <w:tcPr>
                  <w:tcW w:w="616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建筑面积40.17m</w:t>
                  </w:r>
                  <w:r>
                    <w:rPr>
                      <w:rFonts w:hint="default" w:ascii="Times New Roman" w:hAnsi="Times New Roman" w:cs="Times New Roman"/>
                      <w:szCs w:val="21"/>
                      <w:vertAlign w:val="superscript"/>
                    </w:rPr>
                    <w:t>2</w:t>
                  </w:r>
                  <w:r>
                    <w:rPr>
                      <w:rFonts w:hint="default" w:ascii="Times New Roman" w:hAnsi="Times New Roman" w:cs="Times New Roman"/>
                      <w:szCs w:val="21"/>
                    </w:rPr>
                    <w:t>，1层框架结构，设有便利店、办公室、洗手间等辅助服务功能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公用工程</w:t>
                  </w:r>
                </w:p>
              </w:tc>
              <w:tc>
                <w:tcPr>
                  <w:tcW w:w="148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供水</w:t>
                  </w:r>
                </w:p>
              </w:tc>
              <w:tc>
                <w:tcPr>
                  <w:tcW w:w="616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由当地市政供水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pPr>
                    <w:jc w:val="center"/>
                    <w:rPr>
                      <w:rFonts w:hint="default" w:ascii="Times New Roman" w:hAnsi="Times New Roman" w:cs="Times New Roman"/>
                      <w:szCs w:val="21"/>
                    </w:rPr>
                  </w:pPr>
                </w:p>
              </w:tc>
              <w:tc>
                <w:tcPr>
                  <w:tcW w:w="148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供电</w:t>
                  </w:r>
                </w:p>
              </w:tc>
              <w:tc>
                <w:tcPr>
                  <w:tcW w:w="616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由当地市政电网供给，年用电量</w:t>
                  </w:r>
                  <w:r>
                    <w:rPr>
                      <w:rFonts w:hint="eastAsia" w:cs="Times New Roman"/>
                      <w:szCs w:val="21"/>
                      <w:lang w:val="en-US" w:eastAsia="zh-CN"/>
                    </w:rPr>
                    <w:t>1.2</w:t>
                  </w:r>
                  <w:r>
                    <w:rPr>
                      <w:rFonts w:hint="default" w:ascii="Times New Roman" w:hAnsi="Times New Roman" w:cs="Times New Roman"/>
                      <w:szCs w:val="21"/>
                    </w:rPr>
                    <w:t>万kwh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pPr>
                    <w:jc w:val="center"/>
                    <w:rPr>
                      <w:rFonts w:hint="default" w:ascii="Times New Roman" w:hAnsi="Times New Roman" w:cs="Times New Roman"/>
                      <w:szCs w:val="21"/>
                    </w:rPr>
                  </w:pPr>
                </w:p>
              </w:tc>
              <w:tc>
                <w:tcPr>
                  <w:tcW w:w="148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消防系统</w:t>
                  </w:r>
                </w:p>
              </w:tc>
              <w:tc>
                <w:tcPr>
                  <w:tcW w:w="616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按规范要求配备手提式干粉灭火器8个，推车式干粉灭火器2个，手提式二氧化碳灭火器2具，消防沙2m</w:t>
                  </w:r>
                  <w:r>
                    <w:rPr>
                      <w:rFonts w:hint="default" w:ascii="Times New Roman" w:hAnsi="Times New Roman" w:cs="Times New Roman"/>
                      <w:szCs w:val="21"/>
                      <w:vertAlign w:val="superscript"/>
                    </w:rPr>
                    <w:t>3</w:t>
                  </w:r>
                  <w:r>
                    <w:rPr>
                      <w:rFonts w:hint="default" w:ascii="Times New Roman" w:hAnsi="Times New Roman" w:cs="Times New Roman"/>
                      <w:szCs w:val="21"/>
                    </w:rPr>
                    <w:t>，灭火毯8块，消防铲，消防桶8套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环保工程</w:t>
                  </w:r>
                </w:p>
              </w:tc>
              <w:tc>
                <w:tcPr>
                  <w:tcW w:w="148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废气处理</w:t>
                  </w:r>
                </w:p>
              </w:tc>
              <w:tc>
                <w:tcPr>
                  <w:tcW w:w="616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配设一、二次油气回收系统，备用发电机尾气经设备自带的</w:t>
                  </w:r>
                  <w:r>
                    <w:rPr>
                      <w:rFonts w:hint="default" w:ascii="Times New Roman" w:hAnsi="Times New Roman" w:cs="Times New Roman"/>
                    </w:rPr>
                    <w:t>水喷淋装置处理后，引至室外排放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pPr>
                    <w:jc w:val="center"/>
                    <w:rPr>
                      <w:rFonts w:hint="default" w:ascii="Times New Roman" w:hAnsi="Times New Roman" w:cs="Times New Roman"/>
                      <w:szCs w:val="21"/>
                    </w:rPr>
                  </w:pPr>
                </w:p>
              </w:tc>
              <w:tc>
                <w:tcPr>
                  <w:tcW w:w="148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废水处理</w:t>
                  </w:r>
                </w:p>
              </w:tc>
              <w:tc>
                <w:tcPr>
                  <w:tcW w:w="616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加油区清洗含油废水经隔油池处理，生活污水经三级化粪池处理。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pPr>
                    <w:jc w:val="center"/>
                    <w:rPr>
                      <w:rFonts w:hint="default" w:ascii="Times New Roman" w:hAnsi="Times New Roman" w:cs="Times New Roman"/>
                      <w:szCs w:val="21"/>
                    </w:rPr>
                  </w:pPr>
                </w:p>
              </w:tc>
              <w:tc>
                <w:tcPr>
                  <w:tcW w:w="148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噪声控制</w:t>
                  </w:r>
                </w:p>
              </w:tc>
              <w:tc>
                <w:tcPr>
                  <w:tcW w:w="616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选择低噪声设备、合理布局、配套减振降噪措施，设置绿化带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vMerge w:val="continue"/>
                  <w:vAlign w:val="center"/>
                </w:tcPr>
                <w:p>
                  <w:pPr>
                    <w:jc w:val="center"/>
                    <w:rPr>
                      <w:rFonts w:hint="default" w:ascii="Times New Roman" w:hAnsi="Times New Roman" w:cs="Times New Roman"/>
                      <w:szCs w:val="21"/>
                    </w:rPr>
                  </w:pPr>
                </w:p>
              </w:tc>
              <w:tc>
                <w:tcPr>
                  <w:tcW w:w="1485"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固废处理</w:t>
                  </w:r>
                </w:p>
              </w:tc>
              <w:tc>
                <w:tcPr>
                  <w:tcW w:w="6166" w:type="dxa"/>
                  <w:vAlign w:val="center"/>
                </w:tcPr>
                <w:p>
                  <w:pPr>
                    <w:jc w:val="center"/>
                    <w:rPr>
                      <w:rFonts w:hint="default" w:ascii="Times New Roman" w:hAnsi="Times New Roman" w:cs="Times New Roman"/>
                      <w:szCs w:val="21"/>
                    </w:rPr>
                  </w:pPr>
                  <w:r>
                    <w:rPr>
                      <w:rFonts w:hint="default" w:ascii="Times New Roman" w:hAnsi="Times New Roman" w:cs="Times New Roman"/>
                      <w:szCs w:val="21"/>
                    </w:rPr>
                    <w:t>办公生活垃圾交由市政环卫部门处理，隔油池废油、清罐油泥等交由有资质单处理</w:t>
                  </w:r>
                </w:p>
              </w:tc>
            </w:tr>
          </w:tbl>
          <w:p>
            <w:pPr>
              <w:pStyle w:val="143"/>
              <w:spacing w:before="156"/>
              <w:rPr>
                <w:rFonts w:hint="default" w:ascii="Times New Roman" w:hAnsi="Times New Roman" w:cs="Times New Roman"/>
              </w:rPr>
            </w:pPr>
            <w:bookmarkStart w:id="3" w:name="_Ref45443547"/>
            <w:r>
              <w:rPr>
                <w:rFonts w:hint="default" w:ascii="Times New Roman" w:hAnsi="Times New Roman" w:cs="Times New Roman"/>
              </w:rPr>
              <w:t>表</w:t>
            </w:r>
            <w:bookmarkEnd w:id="3"/>
            <w:r>
              <w:rPr>
                <w:rFonts w:hint="eastAsia" w:cs="Times New Roman"/>
                <w:lang w:val="en-US" w:eastAsia="zh-CN"/>
              </w:rPr>
              <w:t xml:space="preserve">1-4 </w:t>
            </w:r>
            <w:r>
              <w:rPr>
                <w:rFonts w:hint="default" w:ascii="Times New Roman" w:hAnsi="Times New Roman" w:cs="Times New Roman" w:eastAsiaTheme="minorEastAsia"/>
              </w:rPr>
              <w:t xml:space="preserve"> </w:t>
            </w:r>
            <w:r>
              <w:rPr>
                <w:rFonts w:hint="default" w:ascii="Times New Roman" w:hAnsi="Times New Roman" w:cs="Times New Roman"/>
              </w:rPr>
              <w:t>项目主要设备一览表</w:t>
            </w:r>
          </w:p>
          <w:tbl>
            <w:tblPr>
              <w:tblStyle w:val="3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81"/>
              <w:gridCol w:w="2978"/>
              <w:gridCol w:w="3207"/>
              <w:gridCol w:w="13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72" w:type="pct"/>
                  <w:vAlign w:val="center"/>
                </w:tcPr>
                <w:p>
                  <w:pPr>
                    <w:pStyle w:val="141"/>
                    <w:rPr>
                      <w:rFonts w:hint="default" w:ascii="Times New Roman" w:hAnsi="Times New Roman" w:cs="Times New Roman"/>
                    </w:rPr>
                  </w:pPr>
                  <w:r>
                    <w:rPr>
                      <w:rFonts w:hint="default" w:ascii="Times New Roman" w:hAnsi="Times New Roman" w:cs="Times New Roman"/>
                    </w:rPr>
                    <w:t>序号</w:t>
                  </w:r>
                </w:p>
              </w:tc>
              <w:tc>
                <w:tcPr>
                  <w:tcW w:w="1664" w:type="pct"/>
                  <w:vAlign w:val="center"/>
                </w:tcPr>
                <w:p>
                  <w:pPr>
                    <w:pStyle w:val="141"/>
                    <w:rPr>
                      <w:rFonts w:hint="default" w:ascii="Times New Roman" w:hAnsi="Times New Roman" w:cs="Times New Roman"/>
                    </w:rPr>
                  </w:pPr>
                  <w:r>
                    <w:rPr>
                      <w:rFonts w:hint="default" w:ascii="Times New Roman" w:hAnsi="Times New Roman" w:cs="Times New Roman"/>
                    </w:rPr>
                    <w:t>设备名称</w:t>
                  </w:r>
                </w:p>
              </w:tc>
              <w:tc>
                <w:tcPr>
                  <w:tcW w:w="1792" w:type="pct"/>
                  <w:vAlign w:val="center"/>
                </w:tcPr>
                <w:p>
                  <w:pPr>
                    <w:pStyle w:val="141"/>
                    <w:rPr>
                      <w:rFonts w:hint="default" w:ascii="Times New Roman" w:hAnsi="Times New Roman" w:cs="Times New Roman"/>
                    </w:rPr>
                  </w:pPr>
                  <w:r>
                    <w:rPr>
                      <w:rFonts w:hint="default" w:ascii="Times New Roman" w:hAnsi="Times New Roman" w:cs="Times New Roman"/>
                    </w:rPr>
                    <w:t>设备规格型号</w:t>
                  </w:r>
                </w:p>
              </w:tc>
              <w:tc>
                <w:tcPr>
                  <w:tcW w:w="772" w:type="pct"/>
                  <w:vAlign w:val="center"/>
                </w:tcPr>
                <w:p>
                  <w:pPr>
                    <w:pStyle w:val="141"/>
                    <w:rPr>
                      <w:rFonts w:hint="default" w:ascii="Times New Roman" w:hAnsi="Times New Roman" w:cs="Times New Roman"/>
                    </w:rPr>
                  </w:pPr>
                  <w:r>
                    <w:rPr>
                      <w:rFonts w:hint="default" w:ascii="Times New Roman" w:hAnsi="Times New Roman" w:cs="Times New Roman"/>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72" w:type="pct"/>
                  <w:vAlign w:val="center"/>
                </w:tcPr>
                <w:p>
                  <w:pPr>
                    <w:pStyle w:val="141"/>
                    <w:rPr>
                      <w:rFonts w:hint="default" w:ascii="Times New Roman" w:hAnsi="Times New Roman" w:cs="Times New Roman"/>
                    </w:rPr>
                  </w:pPr>
                  <w:r>
                    <w:rPr>
                      <w:rFonts w:hint="default" w:ascii="Times New Roman" w:hAnsi="Times New Roman" w:cs="Times New Roman"/>
                    </w:rPr>
                    <w:t>1</w:t>
                  </w:r>
                </w:p>
              </w:tc>
              <w:tc>
                <w:tcPr>
                  <w:tcW w:w="1664" w:type="pct"/>
                  <w:vAlign w:val="center"/>
                </w:tcPr>
                <w:p>
                  <w:pPr>
                    <w:pStyle w:val="141"/>
                    <w:rPr>
                      <w:rFonts w:hint="default" w:ascii="Times New Roman" w:hAnsi="Times New Roman" w:cs="Times New Roman"/>
                    </w:rPr>
                  </w:pPr>
                  <w:r>
                    <w:rPr>
                      <w:rFonts w:hint="default" w:ascii="Times New Roman" w:hAnsi="Times New Roman" w:cs="Times New Roman"/>
                    </w:rPr>
                    <w:t>92#汽油储罐</w:t>
                  </w:r>
                </w:p>
              </w:tc>
              <w:tc>
                <w:tcPr>
                  <w:tcW w:w="1792" w:type="pct"/>
                  <w:vAlign w:val="center"/>
                </w:tcPr>
                <w:p>
                  <w:pPr>
                    <w:pStyle w:val="141"/>
                    <w:rPr>
                      <w:rFonts w:hint="default" w:ascii="Times New Roman" w:hAnsi="Times New Roman" w:cs="Times New Roman"/>
                    </w:rPr>
                  </w:pPr>
                  <w:r>
                    <w:rPr>
                      <w:rFonts w:hint="default" w:ascii="Times New Roman" w:hAnsi="Times New Roman" w:cs="Times New Roman"/>
                    </w:rPr>
                    <w:t>25m</w:t>
                  </w:r>
                  <w:r>
                    <w:rPr>
                      <w:rFonts w:hint="default" w:ascii="Times New Roman" w:hAnsi="Times New Roman" w:cs="Times New Roman"/>
                      <w:vertAlign w:val="superscript"/>
                    </w:rPr>
                    <w:t>3</w:t>
                  </w:r>
                </w:p>
              </w:tc>
              <w:tc>
                <w:tcPr>
                  <w:tcW w:w="772" w:type="pct"/>
                  <w:vAlign w:val="center"/>
                </w:tcPr>
                <w:p>
                  <w:pPr>
                    <w:pStyle w:val="141"/>
                    <w:rPr>
                      <w:rFonts w:hint="default" w:ascii="Times New Roman" w:hAnsi="Times New Roman" w:cs="Times New Roman"/>
                    </w:rPr>
                  </w:pPr>
                  <w:r>
                    <w:rPr>
                      <w:rFonts w:hint="default" w:ascii="Times New Roman" w:hAnsi="Times New Roman" w:cs="Times New Roma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72" w:type="pct"/>
                  <w:vAlign w:val="center"/>
                </w:tcPr>
                <w:p>
                  <w:pPr>
                    <w:pStyle w:val="141"/>
                    <w:rPr>
                      <w:rFonts w:hint="default" w:ascii="Times New Roman" w:hAnsi="Times New Roman" w:cs="Times New Roman"/>
                    </w:rPr>
                  </w:pPr>
                  <w:r>
                    <w:rPr>
                      <w:rFonts w:hint="default" w:ascii="Times New Roman" w:hAnsi="Times New Roman" w:cs="Times New Roman"/>
                    </w:rPr>
                    <w:t>2</w:t>
                  </w:r>
                </w:p>
              </w:tc>
              <w:tc>
                <w:tcPr>
                  <w:tcW w:w="1664" w:type="pct"/>
                  <w:vAlign w:val="center"/>
                </w:tcPr>
                <w:p>
                  <w:pPr>
                    <w:pStyle w:val="141"/>
                    <w:rPr>
                      <w:rFonts w:hint="default" w:ascii="Times New Roman" w:hAnsi="Times New Roman" w:cs="Times New Roman"/>
                    </w:rPr>
                  </w:pPr>
                  <w:r>
                    <w:rPr>
                      <w:rFonts w:hint="default" w:ascii="Times New Roman" w:hAnsi="Times New Roman" w:cs="Times New Roman"/>
                    </w:rPr>
                    <w:t>95#汽油储罐</w:t>
                  </w:r>
                </w:p>
              </w:tc>
              <w:tc>
                <w:tcPr>
                  <w:tcW w:w="1792" w:type="pct"/>
                  <w:vAlign w:val="center"/>
                </w:tcPr>
                <w:p>
                  <w:pPr>
                    <w:pStyle w:val="141"/>
                    <w:rPr>
                      <w:rFonts w:hint="default" w:ascii="Times New Roman" w:hAnsi="Times New Roman" w:cs="Times New Roman"/>
                    </w:rPr>
                  </w:pPr>
                  <w:r>
                    <w:rPr>
                      <w:rFonts w:hint="default" w:ascii="Times New Roman" w:hAnsi="Times New Roman" w:cs="Times New Roman"/>
                    </w:rPr>
                    <w:t>25m</w:t>
                  </w:r>
                  <w:r>
                    <w:rPr>
                      <w:rFonts w:hint="default" w:ascii="Times New Roman" w:hAnsi="Times New Roman" w:cs="Times New Roman"/>
                      <w:vertAlign w:val="superscript"/>
                    </w:rPr>
                    <w:t>3</w:t>
                  </w:r>
                </w:p>
              </w:tc>
              <w:tc>
                <w:tcPr>
                  <w:tcW w:w="772" w:type="pct"/>
                  <w:vAlign w:val="center"/>
                </w:tcPr>
                <w:p>
                  <w:pPr>
                    <w:pStyle w:val="141"/>
                    <w:rPr>
                      <w:rFonts w:hint="default" w:ascii="Times New Roman" w:hAnsi="Times New Roman" w:cs="Times New Roman"/>
                    </w:rPr>
                  </w:pPr>
                  <w:r>
                    <w:rPr>
                      <w:rFonts w:hint="default" w:ascii="Times New Roman" w:hAnsi="Times New Roman" w:cs="Times New Roma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72" w:type="pct"/>
                  <w:vAlign w:val="center"/>
                </w:tcPr>
                <w:p>
                  <w:pPr>
                    <w:pStyle w:val="141"/>
                    <w:rPr>
                      <w:rFonts w:hint="default" w:ascii="Times New Roman" w:hAnsi="Times New Roman" w:cs="Times New Roman"/>
                    </w:rPr>
                  </w:pPr>
                  <w:r>
                    <w:rPr>
                      <w:rFonts w:hint="default" w:ascii="Times New Roman" w:hAnsi="Times New Roman" w:cs="Times New Roman"/>
                    </w:rPr>
                    <w:t>3</w:t>
                  </w:r>
                </w:p>
              </w:tc>
              <w:tc>
                <w:tcPr>
                  <w:tcW w:w="1664" w:type="pct"/>
                  <w:vAlign w:val="center"/>
                </w:tcPr>
                <w:p>
                  <w:pPr>
                    <w:pStyle w:val="141"/>
                    <w:rPr>
                      <w:rFonts w:hint="default" w:ascii="Times New Roman" w:hAnsi="Times New Roman" w:cs="Times New Roman"/>
                    </w:rPr>
                  </w:pPr>
                  <w:r>
                    <w:rPr>
                      <w:rFonts w:hint="default" w:ascii="Times New Roman" w:hAnsi="Times New Roman" w:cs="Times New Roman"/>
                    </w:rPr>
                    <w:t>98#汽油储罐</w:t>
                  </w:r>
                </w:p>
              </w:tc>
              <w:tc>
                <w:tcPr>
                  <w:tcW w:w="1792" w:type="pct"/>
                  <w:vAlign w:val="center"/>
                </w:tcPr>
                <w:p>
                  <w:pPr>
                    <w:pStyle w:val="141"/>
                    <w:rPr>
                      <w:rFonts w:hint="default" w:ascii="Times New Roman" w:hAnsi="Times New Roman" w:cs="Times New Roman"/>
                    </w:rPr>
                  </w:pPr>
                  <w:r>
                    <w:rPr>
                      <w:rFonts w:hint="default" w:ascii="Times New Roman" w:hAnsi="Times New Roman" w:cs="Times New Roman"/>
                    </w:rPr>
                    <w:t>25m</w:t>
                  </w:r>
                  <w:r>
                    <w:rPr>
                      <w:rFonts w:hint="default" w:ascii="Times New Roman" w:hAnsi="Times New Roman" w:cs="Times New Roman"/>
                      <w:vertAlign w:val="superscript"/>
                    </w:rPr>
                    <w:t>3</w:t>
                  </w:r>
                </w:p>
              </w:tc>
              <w:tc>
                <w:tcPr>
                  <w:tcW w:w="772" w:type="pct"/>
                  <w:vAlign w:val="center"/>
                </w:tcPr>
                <w:p>
                  <w:pPr>
                    <w:pStyle w:val="141"/>
                    <w:rPr>
                      <w:rFonts w:hint="default" w:ascii="Times New Roman" w:hAnsi="Times New Roman" w:cs="Times New Roman"/>
                    </w:rPr>
                  </w:pPr>
                  <w:r>
                    <w:rPr>
                      <w:rFonts w:hint="default" w:ascii="Times New Roman" w:hAnsi="Times New Roman" w:cs="Times New Roma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72" w:type="pct"/>
                  <w:vAlign w:val="center"/>
                </w:tcPr>
                <w:p>
                  <w:pPr>
                    <w:pStyle w:val="141"/>
                    <w:rPr>
                      <w:rFonts w:hint="default" w:ascii="Times New Roman" w:hAnsi="Times New Roman" w:cs="Times New Roman"/>
                    </w:rPr>
                  </w:pPr>
                  <w:r>
                    <w:rPr>
                      <w:rFonts w:hint="default" w:ascii="Times New Roman" w:hAnsi="Times New Roman" w:cs="Times New Roman"/>
                    </w:rPr>
                    <w:t>4</w:t>
                  </w:r>
                </w:p>
              </w:tc>
              <w:tc>
                <w:tcPr>
                  <w:tcW w:w="1664" w:type="pct"/>
                  <w:vAlign w:val="center"/>
                </w:tcPr>
                <w:p>
                  <w:pPr>
                    <w:pStyle w:val="141"/>
                    <w:rPr>
                      <w:rFonts w:hint="default" w:ascii="Times New Roman" w:hAnsi="Times New Roman" w:cs="Times New Roman"/>
                    </w:rPr>
                  </w:pPr>
                  <w:r>
                    <w:rPr>
                      <w:rFonts w:hint="default" w:ascii="Times New Roman" w:hAnsi="Times New Roman" w:cs="Times New Roman"/>
                    </w:rPr>
                    <w:t>0#柴油储罐</w:t>
                  </w:r>
                </w:p>
              </w:tc>
              <w:tc>
                <w:tcPr>
                  <w:tcW w:w="1792" w:type="pct"/>
                  <w:vAlign w:val="center"/>
                </w:tcPr>
                <w:p>
                  <w:pPr>
                    <w:pStyle w:val="141"/>
                    <w:rPr>
                      <w:rFonts w:hint="default" w:ascii="Times New Roman" w:hAnsi="Times New Roman" w:cs="Times New Roman"/>
                    </w:rPr>
                  </w:pPr>
                  <w:r>
                    <w:rPr>
                      <w:rFonts w:hint="default" w:ascii="Times New Roman" w:hAnsi="Times New Roman" w:cs="Times New Roman"/>
                    </w:rPr>
                    <w:t>30m</w:t>
                  </w:r>
                  <w:r>
                    <w:rPr>
                      <w:rFonts w:hint="default" w:ascii="Times New Roman" w:hAnsi="Times New Roman" w:cs="Times New Roman"/>
                      <w:vertAlign w:val="superscript"/>
                    </w:rPr>
                    <w:t>3</w:t>
                  </w:r>
                </w:p>
              </w:tc>
              <w:tc>
                <w:tcPr>
                  <w:tcW w:w="772" w:type="pct"/>
                  <w:vAlign w:val="center"/>
                </w:tcPr>
                <w:p>
                  <w:pPr>
                    <w:pStyle w:val="141"/>
                    <w:rPr>
                      <w:rFonts w:hint="default" w:ascii="Times New Roman" w:hAnsi="Times New Roman" w:cs="Times New Roman"/>
                    </w:rPr>
                  </w:pPr>
                  <w:r>
                    <w:rPr>
                      <w:rFonts w:hint="default" w:ascii="Times New Roman" w:hAnsi="Times New Roman" w:cs="Times New Roma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72" w:type="pct"/>
                  <w:vAlign w:val="center"/>
                </w:tcPr>
                <w:p>
                  <w:pPr>
                    <w:pStyle w:val="141"/>
                    <w:rPr>
                      <w:rFonts w:hint="default" w:ascii="Times New Roman" w:hAnsi="Times New Roman" w:cs="Times New Roman"/>
                    </w:rPr>
                  </w:pPr>
                  <w:r>
                    <w:rPr>
                      <w:rFonts w:hint="default" w:ascii="Times New Roman" w:hAnsi="Times New Roman" w:cs="Times New Roman"/>
                    </w:rPr>
                    <w:t>5</w:t>
                  </w:r>
                </w:p>
              </w:tc>
              <w:tc>
                <w:tcPr>
                  <w:tcW w:w="1664" w:type="pct"/>
                  <w:vAlign w:val="center"/>
                </w:tcPr>
                <w:p>
                  <w:pPr>
                    <w:pStyle w:val="141"/>
                    <w:rPr>
                      <w:rFonts w:hint="default" w:ascii="Times New Roman" w:hAnsi="Times New Roman" w:cs="Times New Roman"/>
                    </w:rPr>
                  </w:pPr>
                  <w:r>
                    <w:rPr>
                      <w:rFonts w:hint="default" w:ascii="Times New Roman" w:hAnsi="Times New Roman" w:cs="Times New Roman"/>
                    </w:rPr>
                    <w:t>加油机</w:t>
                  </w:r>
                </w:p>
              </w:tc>
              <w:tc>
                <w:tcPr>
                  <w:tcW w:w="1792" w:type="pct"/>
                  <w:vAlign w:val="center"/>
                </w:tcPr>
                <w:p>
                  <w:pPr>
                    <w:pStyle w:val="141"/>
                    <w:rPr>
                      <w:rFonts w:hint="default" w:ascii="Times New Roman" w:hAnsi="Times New Roman" w:cs="Times New Roman"/>
                    </w:rPr>
                  </w:pPr>
                  <w:r>
                    <w:rPr>
                      <w:rFonts w:hint="default" w:ascii="Times New Roman" w:hAnsi="Times New Roman" w:cs="Times New Roman"/>
                    </w:rPr>
                    <w:t>BL6113Q</w:t>
                  </w:r>
                </w:p>
              </w:tc>
              <w:tc>
                <w:tcPr>
                  <w:tcW w:w="772" w:type="pct"/>
                  <w:vAlign w:val="center"/>
                </w:tcPr>
                <w:p>
                  <w:pPr>
                    <w:pStyle w:val="141"/>
                    <w:rPr>
                      <w:rFonts w:hint="default" w:ascii="Times New Roman" w:hAnsi="Times New Roman" w:cs="Times New Roman"/>
                    </w:rPr>
                  </w:pPr>
                  <w:r>
                    <w:rPr>
                      <w:rFonts w:hint="default" w:ascii="Times New Roman" w:hAnsi="Times New Roman" w:cs="Times New Roma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72" w:type="pct"/>
                  <w:vAlign w:val="center"/>
                </w:tcPr>
                <w:p>
                  <w:pPr>
                    <w:pStyle w:val="141"/>
                    <w:rPr>
                      <w:rFonts w:hint="default" w:ascii="Times New Roman" w:hAnsi="Times New Roman" w:cs="Times New Roman"/>
                    </w:rPr>
                  </w:pPr>
                  <w:r>
                    <w:rPr>
                      <w:rFonts w:hint="default" w:ascii="Times New Roman" w:hAnsi="Times New Roman" w:cs="Times New Roman"/>
                    </w:rPr>
                    <w:t>6</w:t>
                  </w:r>
                </w:p>
              </w:tc>
              <w:tc>
                <w:tcPr>
                  <w:tcW w:w="1664" w:type="pct"/>
                  <w:vAlign w:val="center"/>
                </w:tcPr>
                <w:p>
                  <w:pPr>
                    <w:pStyle w:val="141"/>
                    <w:rPr>
                      <w:rFonts w:hint="default" w:ascii="Times New Roman" w:hAnsi="Times New Roman" w:cs="Times New Roman"/>
                    </w:rPr>
                  </w:pPr>
                  <w:r>
                    <w:rPr>
                      <w:rFonts w:hint="default" w:ascii="Times New Roman" w:hAnsi="Times New Roman" w:cs="Times New Roman"/>
                    </w:rPr>
                    <w:t>潜油泵</w:t>
                  </w:r>
                </w:p>
              </w:tc>
              <w:tc>
                <w:tcPr>
                  <w:tcW w:w="1792" w:type="pct"/>
                  <w:vAlign w:val="center"/>
                </w:tcPr>
                <w:p>
                  <w:pPr>
                    <w:pStyle w:val="141"/>
                    <w:rPr>
                      <w:rFonts w:hint="eastAsia" w:ascii="Times New Roman" w:hAnsi="Times New Roman" w:eastAsia="宋体" w:cs="Times New Roman"/>
                      <w:lang w:val="en-US" w:eastAsia="zh-CN"/>
                    </w:rPr>
                  </w:pPr>
                  <w:r>
                    <w:rPr>
                      <w:rFonts w:hint="eastAsia" w:cs="Times New Roman"/>
                      <w:lang w:val="en-US" w:eastAsia="zh-CN"/>
                    </w:rPr>
                    <w:t>/</w:t>
                  </w:r>
                </w:p>
              </w:tc>
              <w:tc>
                <w:tcPr>
                  <w:tcW w:w="772" w:type="pct"/>
                  <w:vAlign w:val="center"/>
                </w:tcPr>
                <w:p>
                  <w:pPr>
                    <w:pStyle w:val="141"/>
                    <w:rPr>
                      <w:rFonts w:hint="default" w:ascii="Times New Roman" w:hAnsi="Times New Roman" w:cs="Times New Roman"/>
                    </w:rPr>
                  </w:pPr>
                  <w:r>
                    <w:rPr>
                      <w:rFonts w:hint="default" w:ascii="Times New Roman" w:hAnsi="Times New Roman" w:cs="Times New Roma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72" w:type="pct"/>
                  <w:vAlign w:val="center"/>
                </w:tcPr>
                <w:p>
                  <w:pPr>
                    <w:pStyle w:val="141"/>
                    <w:rPr>
                      <w:rFonts w:hint="default" w:ascii="Times New Roman" w:hAnsi="Times New Roman" w:cs="Times New Roman"/>
                    </w:rPr>
                  </w:pPr>
                  <w:r>
                    <w:rPr>
                      <w:rFonts w:hint="default" w:ascii="Times New Roman" w:hAnsi="Times New Roman" w:cs="Times New Roman"/>
                    </w:rPr>
                    <w:t>7</w:t>
                  </w:r>
                </w:p>
              </w:tc>
              <w:tc>
                <w:tcPr>
                  <w:tcW w:w="1664" w:type="pct"/>
                  <w:vAlign w:val="center"/>
                </w:tcPr>
                <w:p>
                  <w:pPr>
                    <w:pStyle w:val="141"/>
                    <w:rPr>
                      <w:rFonts w:hint="default" w:ascii="Times New Roman" w:hAnsi="Times New Roman" w:cs="Times New Roman"/>
                    </w:rPr>
                  </w:pPr>
                  <w:r>
                    <w:rPr>
                      <w:rFonts w:hint="default" w:ascii="Times New Roman" w:hAnsi="Times New Roman" w:cs="Times New Roman"/>
                    </w:rPr>
                    <w:t>备用发电机</w:t>
                  </w:r>
                </w:p>
              </w:tc>
              <w:tc>
                <w:tcPr>
                  <w:tcW w:w="1792" w:type="pct"/>
                  <w:vAlign w:val="center"/>
                </w:tcPr>
                <w:p>
                  <w:pPr>
                    <w:pStyle w:val="141"/>
                    <w:rPr>
                      <w:rFonts w:hint="default" w:ascii="Times New Roman" w:hAnsi="Times New Roman" w:cs="Times New Roman"/>
                    </w:rPr>
                  </w:pPr>
                  <w:r>
                    <w:rPr>
                      <w:rFonts w:hint="default" w:ascii="Times New Roman" w:hAnsi="Times New Roman" w:cs="Times New Roman"/>
                    </w:rPr>
                    <w:t>30KW</w:t>
                  </w:r>
                </w:p>
              </w:tc>
              <w:tc>
                <w:tcPr>
                  <w:tcW w:w="772" w:type="pct"/>
                  <w:vAlign w:val="center"/>
                </w:tcPr>
                <w:p>
                  <w:pPr>
                    <w:pStyle w:val="141"/>
                    <w:rPr>
                      <w:rFonts w:hint="default" w:ascii="Times New Roman" w:hAnsi="Times New Roman" w:cs="Times New Roman"/>
                    </w:rPr>
                  </w:pPr>
                  <w:r>
                    <w:rPr>
                      <w:rFonts w:hint="default" w:ascii="Times New Roman" w:hAnsi="Times New Roman" w:cs="Times New Roman"/>
                    </w:rPr>
                    <w:t>1</w:t>
                  </w:r>
                </w:p>
              </w:tc>
            </w:tr>
          </w:tbl>
          <w:p>
            <w:pPr>
              <w:pStyle w:val="161"/>
              <w:rPr>
                <w:rFonts w:hint="default" w:ascii="Times New Roman" w:hAnsi="Times New Roman" w:cs="Times New Roman"/>
              </w:rPr>
            </w:pPr>
          </w:p>
          <w:p>
            <w:pPr>
              <w:pStyle w:val="161"/>
              <w:rPr>
                <w:rFonts w:hint="default" w:ascii="Times New Roman" w:hAnsi="Times New Roman" w:cs="Times New Roman"/>
              </w:rPr>
            </w:pPr>
            <w:r>
              <w:rPr>
                <w:rFonts w:hint="default" w:ascii="Times New Roman" w:hAnsi="Times New Roman" w:cs="Times New Roman"/>
              </w:rPr>
              <w:t>4、平面布置合理性</w:t>
            </w:r>
          </w:p>
          <w:p>
            <w:pPr>
              <w:pStyle w:val="137"/>
              <w:ind w:firstLine="480"/>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rPr>
              <w:tab/>
            </w:r>
            <w:r>
              <w:rPr>
                <w:rFonts w:hint="default" w:ascii="Times New Roman" w:hAnsi="Times New Roman" w:cs="Times New Roman"/>
              </w:rPr>
              <w:t>建筑平面布置</w:t>
            </w:r>
          </w:p>
          <w:p>
            <w:pPr>
              <w:pStyle w:val="137"/>
              <w:ind w:firstLine="480"/>
              <w:rPr>
                <w:rFonts w:hint="default" w:ascii="Times New Roman" w:hAnsi="Times New Roman" w:cs="Times New Roman"/>
              </w:rPr>
            </w:pPr>
            <w:r>
              <w:rPr>
                <w:rFonts w:hint="default" w:ascii="Times New Roman" w:hAnsi="Times New Roman" w:cs="Times New Roman"/>
              </w:rPr>
              <w:t>加油站总图布置由罩棚 、站房、辅助用房、地埋式油罐区等主要部分组成。站房及辅助用房为站区北侧，罩棚位于站区南侧偏西，罩棚下设有 4台四枪加油机；地埋式油罐区在罩棚东侧：设有4个卧式埋地油罐，自北向南依次为 98#汽油、92#汽油、95#汽油、0#柴油。</w:t>
            </w:r>
          </w:p>
          <w:p>
            <w:pPr>
              <w:pStyle w:val="137"/>
              <w:ind w:firstLine="480"/>
              <w:rPr>
                <w:rFonts w:hint="default" w:ascii="Times New Roman" w:hAnsi="Times New Roman" w:cs="Times New Roman"/>
              </w:rPr>
            </w:pPr>
            <w:r>
              <w:rPr>
                <w:rFonts w:hint="default" w:ascii="Times New Roman" w:hAnsi="Times New Roman" w:cs="Times New Roman"/>
              </w:rPr>
              <w:t>本项目所在地主导风向为东南风，在平面布置中，将加油区设在站区西南侧，满足于周边敏感目标距离要求，并减轻项目废气和噪声排放对周边环境的影响。站区内加油车辆的通行道路严格按规范设计，车辆出、入口分开设置，站内车道为环形车道，有利于加油作业、火灾的预防和消防工作的开展。具体平面布置详见附图3。</w:t>
            </w:r>
          </w:p>
          <w:p>
            <w:pPr>
              <w:pStyle w:val="137"/>
              <w:ind w:firstLine="480"/>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rPr>
              <w:tab/>
            </w:r>
            <w:r>
              <w:rPr>
                <w:rFonts w:hint="default" w:ascii="Times New Roman" w:hAnsi="Times New Roman" w:cs="Times New Roman"/>
              </w:rPr>
              <w:t>环保工程平面布置</w:t>
            </w:r>
          </w:p>
          <w:p>
            <w:pPr>
              <w:pStyle w:val="137"/>
              <w:ind w:firstLine="480"/>
              <w:rPr>
                <w:rFonts w:hint="default" w:ascii="Times New Roman" w:hAnsi="Times New Roman" w:cs="Times New Roman"/>
              </w:rPr>
            </w:pPr>
            <w:r>
              <w:rPr>
                <w:rFonts w:hint="default" w:ascii="Times New Roman" w:hAnsi="Times New Roman" w:cs="Times New Roman"/>
              </w:rPr>
              <w:t>项目三级化粪池、隔油池设在站区北侧。</w:t>
            </w:r>
          </w:p>
          <w:p>
            <w:pPr>
              <w:pStyle w:val="137"/>
              <w:ind w:firstLine="480"/>
              <w:rPr>
                <w:rFonts w:hint="default" w:ascii="Times New Roman" w:hAnsi="Times New Roman" w:cs="Times New Roman"/>
              </w:rPr>
            </w:pPr>
            <w:r>
              <w:rPr>
                <w:rFonts w:hint="default" w:ascii="Times New Roman" w:hAnsi="Times New Roman" w:cs="Times New Roman"/>
              </w:rPr>
              <w:t>3）平面布置合理性分析</w:t>
            </w:r>
          </w:p>
          <w:p>
            <w:pPr>
              <w:pStyle w:val="13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rPr>
            </w:pPr>
            <w:r>
              <w:rPr>
                <w:rFonts w:hint="default" w:ascii="Times New Roman" w:hAnsi="Times New Roman" w:cs="Times New Roman"/>
              </w:rPr>
              <w:t>项目平面布置设计严格按照《汽车加油加气站设计与施工规范》（GB50156-2012，2014 年局部修订版）的要求进行设计，站内设施之间的间距均满足（GB50156-2012，2014 年局部修订版）中防火间距的相关要求，具体见</w:t>
            </w:r>
            <w:r>
              <w:rPr>
                <w:rFonts w:hint="eastAsia" w:cs="Times New Roman"/>
                <w:lang w:val="en-US" w:eastAsia="zh-CN"/>
              </w:rPr>
              <w:t>表1-5</w:t>
            </w:r>
            <w:r>
              <w:rPr>
                <w:rFonts w:hint="default" w:ascii="Times New Roman" w:hAnsi="Times New Roman" w:cs="Times New Roman"/>
              </w:rPr>
              <w:t>。</w:t>
            </w:r>
          </w:p>
          <w:p>
            <w:pPr>
              <w:pStyle w:val="143"/>
              <w:keepNext w:val="0"/>
              <w:keepLines w:val="0"/>
              <w:pageBreakBefore w:val="0"/>
              <w:widowControl w:val="0"/>
              <w:kinsoku/>
              <w:wordWrap/>
              <w:overflowPunct/>
              <w:topLinePunct w:val="0"/>
              <w:autoSpaceDE/>
              <w:autoSpaceDN/>
              <w:bidi w:val="0"/>
              <w:adjustRightInd/>
              <w:snapToGrid/>
              <w:spacing w:beforeLines="0"/>
              <w:textAlignment w:val="auto"/>
              <w:rPr>
                <w:rFonts w:hint="default" w:ascii="Times New Roman" w:hAnsi="Times New Roman" w:cs="Times New Roman"/>
              </w:rPr>
            </w:pPr>
            <w:bookmarkStart w:id="4" w:name="_Ref45443477"/>
            <w:r>
              <w:rPr>
                <w:rFonts w:hint="default" w:ascii="Times New Roman" w:hAnsi="Times New Roman" w:cs="Times New Roman"/>
              </w:rPr>
              <w:t>表</w:t>
            </w:r>
            <w:bookmarkEnd w:id="4"/>
            <w:r>
              <w:rPr>
                <w:rFonts w:hint="eastAsia" w:cs="Times New Roman"/>
                <w:lang w:val="en-US" w:eastAsia="zh-CN"/>
              </w:rPr>
              <w:t xml:space="preserve">1-5  </w:t>
            </w:r>
            <w:r>
              <w:rPr>
                <w:rFonts w:hint="default" w:ascii="Times New Roman" w:hAnsi="Times New Roman" w:cs="Times New Roman"/>
              </w:rPr>
              <w:t>本项目站内设施之间安全间距检查表单位：m</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642"/>
              <w:gridCol w:w="1181"/>
              <w:gridCol w:w="426"/>
              <w:gridCol w:w="642"/>
              <w:gridCol w:w="1220"/>
              <w:gridCol w:w="426"/>
              <w:gridCol w:w="493"/>
              <w:gridCol w:w="1042"/>
              <w:gridCol w:w="464"/>
              <w:gridCol w:w="426"/>
              <w:gridCol w:w="713"/>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vMerge w:val="restart"/>
                  <w:vAlign w:val="center"/>
                </w:tcPr>
                <w:p>
                  <w:pPr>
                    <w:pStyle w:val="141"/>
                    <w:rPr>
                      <w:rFonts w:hint="default" w:ascii="Times New Roman" w:hAnsi="Times New Roman" w:cs="Times New Roman"/>
                    </w:rPr>
                  </w:pPr>
                  <w:r>
                    <w:rPr>
                      <w:rFonts w:hint="default" w:ascii="Times New Roman" w:hAnsi="Times New Roman" w:cs="Times New Roman"/>
                    </w:rPr>
                    <w:t>项目</w:t>
                  </w:r>
                </w:p>
              </w:tc>
              <w:tc>
                <w:tcPr>
                  <w:tcW w:w="1263" w:type="pct"/>
                  <w:gridSpan w:val="3"/>
                  <w:vAlign w:val="center"/>
                </w:tcPr>
                <w:p>
                  <w:pPr>
                    <w:pStyle w:val="141"/>
                    <w:rPr>
                      <w:rFonts w:hint="default" w:ascii="Times New Roman" w:hAnsi="Times New Roman" w:cs="Times New Roman"/>
                    </w:rPr>
                  </w:pPr>
                  <w:r>
                    <w:rPr>
                      <w:rFonts w:hint="default" w:ascii="Times New Roman" w:hAnsi="Times New Roman" w:cs="Times New Roman"/>
                    </w:rPr>
                    <w:t>埋地汽油罐/柴油罐</w:t>
                  </w:r>
                </w:p>
              </w:tc>
              <w:tc>
                <w:tcPr>
                  <w:tcW w:w="1263" w:type="pct"/>
                  <w:gridSpan w:val="3"/>
                  <w:vAlign w:val="center"/>
                </w:tcPr>
                <w:p>
                  <w:pPr>
                    <w:pStyle w:val="141"/>
                    <w:rPr>
                      <w:rFonts w:hint="default" w:ascii="Times New Roman" w:hAnsi="Times New Roman" w:cs="Times New Roman"/>
                    </w:rPr>
                  </w:pPr>
                  <w:r>
                    <w:rPr>
                      <w:rFonts w:hint="default" w:ascii="Times New Roman" w:hAnsi="Times New Roman" w:cs="Times New Roman"/>
                    </w:rPr>
                    <w:t>通气管管口</w:t>
                  </w:r>
                </w:p>
              </w:tc>
              <w:tc>
                <w:tcPr>
                  <w:tcW w:w="1138" w:type="pct"/>
                  <w:gridSpan w:val="3"/>
                  <w:vAlign w:val="center"/>
                </w:tcPr>
                <w:p>
                  <w:pPr>
                    <w:pStyle w:val="141"/>
                    <w:rPr>
                      <w:rFonts w:hint="default" w:ascii="Times New Roman" w:hAnsi="Times New Roman" w:cs="Times New Roman"/>
                    </w:rPr>
                  </w:pPr>
                  <w:r>
                    <w:rPr>
                      <w:rFonts w:hint="default" w:ascii="Times New Roman" w:hAnsi="Times New Roman" w:cs="Times New Roman"/>
                    </w:rPr>
                    <w:t>加油机</w:t>
                  </w:r>
                </w:p>
              </w:tc>
              <w:tc>
                <w:tcPr>
                  <w:tcW w:w="857" w:type="pct"/>
                  <w:gridSpan w:val="3"/>
                  <w:vAlign w:val="center"/>
                </w:tcPr>
                <w:p>
                  <w:pPr>
                    <w:pStyle w:val="141"/>
                    <w:rPr>
                      <w:rFonts w:hint="default" w:ascii="Times New Roman" w:hAnsi="Times New Roman" w:cs="Times New Roman"/>
                    </w:rPr>
                  </w:pPr>
                  <w:r>
                    <w:rPr>
                      <w:rFonts w:hint="default" w:ascii="Times New Roman" w:hAnsi="Times New Roman" w:cs="Times New Roman"/>
                    </w:rPr>
                    <w:t>油品卸车点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vMerge w:val="continue"/>
                  <w:vAlign w:val="center"/>
                </w:tcPr>
                <w:p>
                  <w:pPr>
                    <w:pStyle w:val="141"/>
                    <w:rPr>
                      <w:rFonts w:hint="default" w:ascii="Times New Roman" w:hAnsi="Times New Roman" w:cs="Times New Roman"/>
                    </w:rPr>
                  </w:pPr>
                </w:p>
              </w:tc>
              <w:tc>
                <w:tcPr>
                  <w:tcW w:w="359" w:type="pct"/>
                  <w:vAlign w:val="center"/>
                </w:tcPr>
                <w:p>
                  <w:pPr>
                    <w:pStyle w:val="141"/>
                    <w:rPr>
                      <w:rFonts w:hint="default" w:ascii="Times New Roman" w:hAnsi="Times New Roman" w:cs="Times New Roman"/>
                    </w:rPr>
                  </w:pPr>
                  <w:r>
                    <w:rPr>
                      <w:rFonts w:hint="default" w:ascii="Times New Roman" w:hAnsi="Times New Roman" w:cs="Times New Roman"/>
                    </w:rPr>
                    <w:t>标准</w:t>
                  </w:r>
                </w:p>
              </w:tc>
              <w:tc>
                <w:tcPr>
                  <w:tcW w:w="665" w:type="pct"/>
                  <w:vAlign w:val="center"/>
                </w:tcPr>
                <w:p>
                  <w:pPr>
                    <w:pStyle w:val="141"/>
                    <w:rPr>
                      <w:rFonts w:hint="default" w:ascii="Times New Roman" w:hAnsi="Times New Roman" w:cs="Times New Roman"/>
                    </w:rPr>
                  </w:pPr>
                  <w:r>
                    <w:rPr>
                      <w:rFonts w:hint="default" w:ascii="Times New Roman" w:hAnsi="Times New Roman" w:cs="Times New Roman"/>
                    </w:rPr>
                    <w:t>设计</w:t>
                  </w:r>
                </w:p>
              </w:tc>
              <w:tc>
                <w:tcPr>
                  <w:tcW w:w="239" w:type="pct"/>
                  <w:vAlign w:val="center"/>
                </w:tcPr>
                <w:p>
                  <w:pPr>
                    <w:pStyle w:val="141"/>
                    <w:rPr>
                      <w:rFonts w:hint="default" w:ascii="Times New Roman" w:hAnsi="Times New Roman" w:cs="Times New Roman"/>
                    </w:rPr>
                  </w:pPr>
                  <w:r>
                    <w:rPr>
                      <w:rFonts w:hint="default" w:ascii="Times New Roman" w:hAnsi="Times New Roman" w:cs="Times New Roman"/>
                    </w:rPr>
                    <w:t>结果</w:t>
                  </w:r>
                </w:p>
              </w:tc>
              <w:tc>
                <w:tcPr>
                  <w:tcW w:w="343" w:type="pct"/>
                  <w:vAlign w:val="center"/>
                </w:tcPr>
                <w:p>
                  <w:pPr>
                    <w:pStyle w:val="141"/>
                    <w:rPr>
                      <w:rFonts w:hint="default" w:ascii="Times New Roman" w:hAnsi="Times New Roman" w:cs="Times New Roman"/>
                    </w:rPr>
                  </w:pPr>
                  <w:r>
                    <w:rPr>
                      <w:rFonts w:hint="default" w:ascii="Times New Roman" w:hAnsi="Times New Roman" w:cs="Times New Roman"/>
                    </w:rPr>
                    <w:t>标准</w:t>
                  </w:r>
                </w:p>
              </w:tc>
              <w:tc>
                <w:tcPr>
                  <w:tcW w:w="682" w:type="pct"/>
                  <w:vAlign w:val="center"/>
                </w:tcPr>
                <w:p>
                  <w:pPr>
                    <w:pStyle w:val="141"/>
                    <w:rPr>
                      <w:rFonts w:hint="default" w:ascii="Times New Roman" w:hAnsi="Times New Roman" w:cs="Times New Roman"/>
                    </w:rPr>
                  </w:pPr>
                  <w:r>
                    <w:rPr>
                      <w:rFonts w:hint="default" w:ascii="Times New Roman" w:hAnsi="Times New Roman" w:cs="Times New Roman"/>
                    </w:rPr>
                    <w:t>设计</w:t>
                  </w:r>
                </w:p>
              </w:tc>
              <w:tc>
                <w:tcPr>
                  <w:tcW w:w="238" w:type="pct"/>
                  <w:vAlign w:val="center"/>
                </w:tcPr>
                <w:p>
                  <w:pPr>
                    <w:pStyle w:val="141"/>
                    <w:rPr>
                      <w:rFonts w:hint="default" w:ascii="Times New Roman" w:hAnsi="Times New Roman" w:cs="Times New Roman"/>
                    </w:rPr>
                  </w:pPr>
                  <w:r>
                    <w:rPr>
                      <w:rFonts w:hint="default" w:ascii="Times New Roman" w:hAnsi="Times New Roman" w:cs="Times New Roman"/>
                    </w:rPr>
                    <w:t>结果</w:t>
                  </w:r>
                </w:p>
              </w:tc>
              <w:tc>
                <w:tcPr>
                  <w:tcW w:w="288" w:type="pct"/>
                  <w:vAlign w:val="center"/>
                </w:tcPr>
                <w:p>
                  <w:pPr>
                    <w:pStyle w:val="141"/>
                    <w:rPr>
                      <w:rFonts w:hint="default" w:ascii="Times New Roman" w:hAnsi="Times New Roman" w:cs="Times New Roman"/>
                    </w:rPr>
                  </w:pPr>
                  <w:r>
                    <w:rPr>
                      <w:rFonts w:hint="default" w:ascii="Times New Roman" w:hAnsi="Times New Roman" w:cs="Times New Roman"/>
                    </w:rPr>
                    <w:t>标准</w:t>
                  </w:r>
                </w:p>
              </w:tc>
              <w:tc>
                <w:tcPr>
                  <w:tcW w:w="587" w:type="pct"/>
                  <w:vAlign w:val="center"/>
                </w:tcPr>
                <w:p>
                  <w:pPr>
                    <w:pStyle w:val="141"/>
                    <w:rPr>
                      <w:rFonts w:hint="default" w:ascii="Times New Roman" w:hAnsi="Times New Roman" w:cs="Times New Roman"/>
                    </w:rPr>
                  </w:pPr>
                  <w:r>
                    <w:rPr>
                      <w:rFonts w:hint="default" w:ascii="Times New Roman" w:hAnsi="Times New Roman" w:cs="Times New Roman"/>
                    </w:rPr>
                    <w:t>设计</w:t>
                  </w:r>
                </w:p>
              </w:tc>
              <w:tc>
                <w:tcPr>
                  <w:tcW w:w="264" w:type="pct"/>
                  <w:vAlign w:val="center"/>
                </w:tcPr>
                <w:p>
                  <w:pPr>
                    <w:pStyle w:val="141"/>
                    <w:rPr>
                      <w:rFonts w:hint="default" w:ascii="Times New Roman" w:hAnsi="Times New Roman" w:cs="Times New Roman"/>
                    </w:rPr>
                  </w:pPr>
                  <w:r>
                    <w:rPr>
                      <w:rFonts w:hint="default" w:ascii="Times New Roman" w:hAnsi="Times New Roman" w:cs="Times New Roman"/>
                    </w:rPr>
                    <w:t>结果</w:t>
                  </w:r>
                </w:p>
              </w:tc>
              <w:tc>
                <w:tcPr>
                  <w:tcW w:w="211" w:type="pct"/>
                  <w:vAlign w:val="center"/>
                </w:tcPr>
                <w:p>
                  <w:pPr>
                    <w:pStyle w:val="141"/>
                    <w:rPr>
                      <w:rFonts w:hint="default" w:ascii="Times New Roman" w:hAnsi="Times New Roman" w:cs="Times New Roman"/>
                    </w:rPr>
                  </w:pPr>
                  <w:r>
                    <w:rPr>
                      <w:rFonts w:hint="default" w:ascii="Times New Roman" w:hAnsi="Times New Roman" w:cs="Times New Roman"/>
                    </w:rPr>
                    <w:t>标准</w:t>
                  </w:r>
                </w:p>
              </w:tc>
              <w:tc>
                <w:tcPr>
                  <w:tcW w:w="403" w:type="pct"/>
                  <w:vAlign w:val="center"/>
                </w:tcPr>
                <w:p>
                  <w:pPr>
                    <w:pStyle w:val="141"/>
                    <w:rPr>
                      <w:rFonts w:hint="default" w:ascii="Times New Roman" w:hAnsi="Times New Roman" w:cs="Times New Roman"/>
                    </w:rPr>
                  </w:pPr>
                  <w:r>
                    <w:rPr>
                      <w:rFonts w:hint="default" w:ascii="Times New Roman" w:hAnsi="Times New Roman" w:cs="Times New Roman"/>
                    </w:rPr>
                    <w:t>设计</w:t>
                  </w:r>
                </w:p>
              </w:tc>
              <w:tc>
                <w:tcPr>
                  <w:tcW w:w="243" w:type="pct"/>
                  <w:vAlign w:val="center"/>
                </w:tcPr>
                <w:p>
                  <w:pPr>
                    <w:pStyle w:val="141"/>
                    <w:rPr>
                      <w:rFonts w:hint="default" w:ascii="Times New Roman" w:hAnsi="Times New Roman" w:cs="Times New Roman"/>
                    </w:rPr>
                  </w:pPr>
                  <w:r>
                    <w:rPr>
                      <w:rFonts w:hint="default" w:ascii="Times New Roman" w:hAnsi="Times New Roman" w:cs="Times New Roman"/>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vAlign w:val="center"/>
                </w:tcPr>
                <w:p>
                  <w:pPr>
                    <w:pStyle w:val="141"/>
                    <w:rPr>
                      <w:rFonts w:hint="default" w:ascii="Times New Roman" w:hAnsi="Times New Roman" w:cs="Times New Roman"/>
                    </w:rPr>
                  </w:pPr>
                  <w:r>
                    <w:rPr>
                      <w:rFonts w:hint="default" w:ascii="Times New Roman" w:hAnsi="Times New Roman" w:cs="Times New Roman"/>
                    </w:rPr>
                    <w:t>站房</w:t>
                  </w:r>
                </w:p>
              </w:tc>
              <w:tc>
                <w:tcPr>
                  <w:tcW w:w="359" w:type="pct"/>
                  <w:vAlign w:val="center"/>
                </w:tcPr>
                <w:p>
                  <w:pPr>
                    <w:pStyle w:val="141"/>
                    <w:rPr>
                      <w:rFonts w:hint="default" w:ascii="Times New Roman" w:hAnsi="Times New Roman" w:cs="Times New Roman"/>
                    </w:rPr>
                  </w:pPr>
                  <w:r>
                    <w:rPr>
                      <w:rFonts w:hint="default" w:ascii="Times New Roman" w:hAnsi="Times New Roman" w:cs="Times New Roman"/>
                    </w:rPr>
                    <w:t>4/3</w:t>
                  </w:r>
                </w:p>
              </w:tc>
              <w:tc>
                <w:tcPr>
                  <w:tcW w:w="665" w:type="pct"/>
                  <w:vAlign w:val="center"/>
                </w:tcPr>
                <w:p>
                  <w:pPr>
                    <w:pStyle w:val="141"/>
                    <w:rPr>
                      <w:rFonts w:hint="default" w:ascii="Times New Roman" w:hAnsi="Times New Roman" w:cs="Times New Roman"/>
                    </w:rPr>
                  </w:pPr>
                  <w:r>
                    <w:rPr>
                      <w:rFonts w:hint="default" w:ascii="Times New Roman" w:hAnsi="Times New Roman" w:cs="Times New Roman"/>
                    </w:rPr>
                    <w:t>10.1/19.4</w:t>
                  </w:r>
                </w:p>
              </w:tc>
              <w:tc>
                <w:tcPr>
                  <w:tcW w:w="239" w:type="pct"/>
                  <w:vAlign w:val="center"/>
                </w:tcPr>
                <w:p>
                  <w:pPr>
                    <w:pStyle w:val="141"/>
                    <w:rPr>
                      <w:rFonts w:hint="default" w:ascii="Times New Roman" w:hAnsi="Times New Roman" w:cs="Times New Roman"/>
                    </w:rPr>
                  </w:pPr>
                  <w:r>
                    <w:rPr>
                      <w:rFonts w:hint="default" w:ascii="Times New Roman" w:hAnsi="Times New Roman" w:cs="Times New Roman"/>
                    </w:rPr>
                    <w:t>符合</w:t>
                  </w:r>
                </w:p>
              </w:tc>
              <w:tc>
                <w:tcPr>
                  <w:tcW w:w="343" w:type="pct"/>
                  <w:vAlign w:val="center"/>
                </w:tcPr>
                <w:p>
                  <w:pPr>
                    <w:pStyle w:val="141"/>
                    <w:rPr>
                      <w:rFonts w:hint="default" w:ascii="Times New Roman" w:hAnsi="Times New Roman" w:cs="Times New Roman"/>
                    </w:rPr>
                  </w:pPr>
                  <w:r>
                    <w:rPr>
                      <w:rFonts w:hint="default" w:ascii="Times New Roman" w:hAnsi="Times New Roman" w:cs="Times New Roman"/>
                    </w:rPr>
                    <w:t>4/3.5</w:t>
                  </w:r>
                </w:p>
              </w:tc>
              <w:tc>
                <w:tcPr>
                  <w:tcW w:w="682" w:type="pct"/>
                  <w:vAlign w:val="center"/>
                </w:tcPr>
                <w:p>
                  <w:pPr>
                    <w:pStyle w:val="141"/>
                    <w:rPr>
                      <w:rFonts w:hint="default" w:ascii="Times New Roman" w:hAnsi="Times New Roman" w:cs="Times New Roman"/>
                    </w:rPr>
                  </w:pPr>
                  <w:r>
                    <w:rPr>
                      <w:rFonts w:hint="default" w:ascii="Times New Roman" w:hAnsi="Times New Roman" w:cs="Times New Roman"/>
                    </w:rPr>
                    <w:t>9.8/9.8</w:t>
                  </w:r>
                </w:p>
              </w:tc>
              <w:tc>
                <w:tcPr>
                  <w:tcW w:w="238" w:type="pct"/>
                  <w:vAlign w:val="center"/>
                </w:tcPr>
                <w:p>
                  <w:pPr>
                    <w:pStyle w:val="141"/>
                    <w:rPr>
                      <w:rFonts w:hint="default" w:ascii="Times New Roman" w:hAnsi="Times New Roman" w:cs="Times New Roman"/>
                    </w:rPr>
                  </w:pPr>
                  <w:r>
                    <w:rPr>
                      <w:rFonts w:hint="default" w:ascii="Times New Roman" w:hAnsi="Times New Roman" w:cs="Times New Roman"/>
                    </w:rPr>
                    <w:t>符合</w:t>
                  </w:r>
                </w:p>
              </w:tc>
              <w:tc>
                <w:tcPr>
                  <w:tcW w:w="288" w:type="pct"/>
                  <w:vAlign w:val="center"/>
                </w:tcPr>
                <w:p>
                  <w:pPr>
                    <w:pStyle w:val="141"/>
                    <w:rPr>
                      <w:rFonts w:hint="default" w:ascii="Times New Roman" w:hAnsi="Times New Roman" w:cs="Times New Roman"/>
                    </w:rPr>
                  </w:pPr>
                  <w:r>
                    <w:rPr>
                      <w:rFonts w:hint="default" w:ascii="Times New Roman" w:hAnsi="Times New Roman" w:cs="Times New Roman"/>
                    </w:rPr>
                    <w:t>5</w:t>
                  </w:r>
                </w:p>
              </w:tc>
              <w:tc>
                <w:tcPr>
                  <w:tcW w:w="587" w:type="pct"/>
                  <w:vAlign w:val="center"/>
                </w:tcPr>
                <w:p>
                  <w:pPr>
                    <w:pStyle w:val="141"/>
                    <w:rPr>
                      <w:rFonts w:hint="default" w:ascii="Times New Roman" w:hAnsi="Times New Roman" w:cs="Times New Roman"/>
                    </w:rPr>
                  </w:pPr>
                  <w:r>
                    <w:rPr>
                      <w:rFonts w:hint="default" w:ascii="Times New Roman" w:hAnsi="Times New Roman" w:cs="Times New Roman"/>
                    </w:rPr>
                    <w:t>11.7</w:t>
                  </w:r>
                </w:p>
              </w:tc>
              <w:tc>
                <w:tcPr>
                  <w:tcW w:w="264" w:type="pct"/>
                  <w:vAlign w:val="center"/>
                </w:tcPr>
                <w:p>
                  <w:pPr>
                    <w:pStyle w:val="141"/>
                    <w:rPr>
                      <w:rFonts w:hint="default" w:ascii="Times New Roman" w:hAnsi="Times New Roman" w:cs="Times New Roman"/>
                    </w:rPr>
                  </w:pPr>
                  <w:r>
                    <w:rPr>
                      <w:rFonts w:hint="default" w:ascii="Times New Roman" w:hAnsi="Times New Roman" w:cs="Times New Roman"/>
                    </w:rPr>
                    <w:t>符合</w:t>
                  </w:r>
                </w:p>
              </w:tc>
              <w:tc>
                <w:tcPr>
                  <w:tcW w:w="211" w:type="pct"/>
                  <w:vAlign w:val="center"/>
                </w:tcPr>
                <w:p>
                  <w:pPr>
                    <w:pStyle w:val="141"/>
                    <w:rPr>
                      <w:rFonts w:hint="default" w:ascii="Times New Roman" w:hAnsi="Times New Roman" w:cs="Times New Roman"/>
                    </w:rPr>
                  </w:pPr>
                  <w:r>
                    <w:rPr>
                      <w:rFonts w:hint="default" w:ascii="Times New Roman" w:hAnsi="Times New Roman" w:cs="Times New Roman"/>
                    </w:rPr>
                    <w:t>5</w:t>
                  </w:r>
                </w:p>
              </w:tc>
              <w:tc>
                <w:tcPr>
                  <w:tcW w:w="403" w:type="pct"/>
                  <w:vAlign w:val="center"/>
                </w:tcPr>
                <w:p>
                  <w:pPr>
                    <w:pStyle w:val="141"/>
                    <w:rPr>
                      <w:rFonts w:hint="default" w:ascii="Times New Roman" w:hAnsi="Times New Roman" w:cs="Times New Roman"/>
                    </w:rPr>
                  </w:pPr>
                  <w:r>
                    <w:rPr>
                      <w:rFonts w:hint="default" w:ascii="Times New Roman" w:hAnsi="Times New Roman" w:cs="Times New Roman"/>
                    </w:rPr>
                    <w:t>36.8</w:t>
                  </w:r>
                </w:p>
              </w:tc>
              <w:tc>
                <w:tcPr>
                  <w:tcW w:w="243" w:type="pct"/>
                  <w:vAlign w:val="center"/>
                </w:tcPr>
                <w:p>
                  <w:pPr>
                    <w:pStyle w:val="141"/>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vAlign w:val="center"/>
                </w:tcPr>
                <w:p>
                  <w:pPr>
                    <w:pStyle w:val="141"/>
                    <w:rPr>
                      <w:rFonts w:hint="default" w:ascii="Times New Roman" w:hAnsi="Times New Roman" w:cs="Times New Roman"/>
                    </w:rPr>
                  </w:pPr>
                  <w:r>
                    <w:rPr>
                      <w:rFonts w:hint="default" w:ascii="Times New Roman" w:hAnsi="Times New Roman" w:cs="Times New Roman"/>
                    </w:rPr>
                    <w:t>配发电房</w:t>
                  </w:r>
                </w:p>
              </w:tc>
              <w:tc>
                <w:tcPr>
                  <w:tcW w:w="359" w:type="pct"/>
                  <w:vAlign w:val="center"/>
                </w:tcPr>
                <w:p>
                  <w:pPr>
                    <w:pStyle w:val="141"/>
                    <w:rPr>
                      <w:rFonts w:hint="default" w:ascii="Times New Roman" w:hAnsi="Times New Roman" w:cs="Times New Roman"/>
                    </w:rPr>
                  </w:pPr>
                  <w:r>
                    <w:rPr>
                      <w:rFonts w:hint="default" w:ascii="Times New Roman" w:hAnsi="Times New Roman" w:cs="Times New Roman"/>
                    </w:rPr>
                    <w:t>4.5/3</w:t>
                  </w:r>
                </w:p>
              </w:tc>
              <w:tc>
                <w:tcPr>
                  <w:tcW w:w="665" w:type="pct"/>
                  <w:vAlign w:val="center"/>
                </w:tcPr>
                <w:p>
                  <w:pPr>
                    <w:pStyle w:val="141"/>
                    <w:rPr>
                      <w:rFonts w:hint="default" w:ascii="Times New Roman" w:hAnsi="Times New Roman" w:cs="Times New Roman"/>
                    </w:rPr>
                  </w:pPr>
                  <w:r>
                    <w:rPr>
                      <w:rFonts w:hint="default" w:ascii="Times New Roman" w:hAnsi="Times New Roman" w:cs="Times New Roman"/>
                    </w:rPr>
                    <w:t>10.32/19.4</w:t>
                  </w:r>
                </w:p>
              </w:tc>
              <w:tc>
                <w:tcPr>
                  <w:tcW w:w="239" w:type="pct"/>
                  <w:vAlign w:val="center"/>
                </w:tcPr>
                <w:p>
                  <w:pPr>
                    <w:pStyle w:val="141"/>
                    <w:rPr>
                      <w:rFonts w:hint="default" w:ascii="Times New Roman" w:hAnsi="Times New Roman" w:cs="Times New Roman"/>
                    </w:rPr>
                  </w:pPr>
                  <w:r>
                    <w:rPr>
                      <w:rFonts w:hint="default" w:ascii="Times New Roman" w:hAnsi="Times New Roman" w:cs="Times New Roman"/>
                    </w:rPr>
                    <w:t>符合</w:t>
                  </w:r>
                </w:p>
              </w:tc>
              <w:tc>
                <w:tcPr>
                  <w:tcW w:w="343" w:type="pct"/>
                  <w:vAlign w:val="center"/>
                </w:tcPr>
                <w:p>
                  <w:pPr>
                    <w:pStyle w:val="141"/>
                    <w:rPr>
                      <w:rFonts w:hint="default" w:ascii="Times New Roman" w:hAnsi="Times New Roman" w:cs="Times New Roman"/>
                    </w:rPr>
                  </w:pPr>
                  <w:r>
                    <w:rPr>
                      <w:rFonts w:hint="default" w:ascii="Times New Roman" w:hAnsi="Times New Roman" w:cs="Times New Roman"/>
                    </w:rPr>
                    <w:t>5</w:t>
                  </w:r>
                </w:p>
              </w:tc>
              <w:tc>
                <w:tcPr>
                  <w:tcW w:w="682" w:type="pct"/>
                  <w:vAlign w:val="center"/>
                </w:tcPr>
                <w:p>
                  <w:pPr>
                    <w:pStyle w:val="141"/>
                    <w:rPr>
                      <w:rFonts w:hint="default" w:ascii="Times New Roman" w:hAnsi="Times New Roman" w:cs="Times New Roman"/>
                    </w:rPr>
                  </w:pPr>
                  <w:r>
                    <w:rPr>
                      <w:rFonts w:hint="default" w:ascii="Times New Roman" w:hAnsi="Times New Roman" w:cs="Times New Roman"/>
                    </w:rPr>
                    <w:t>12.6</w:t>
                  </w:r>
                </w:p>
              </w:tc>
              <w:tc>
                <w:tcPr>
                  <w:tcW w:w="238" w:type="pct"/>
                  <w:vAlign w:val="center"/>
                </w:tcPr>
                <w:p>
                  <w:pPr>
                    <w:pStyle w:val="141"/>
                    <w:rPr>
                      <w:rFonts w:hint="default" w:ascii="Times New Roman" w:hAnsi="Times New Roman" w:cs="Times New Roman"/>
                    </w:rPr>
                  </w:pPr>
                  <w:r>
                    <w:rPr>
                      <w:rFonts w:hint="default" w:ascii="Times New Roman" w:hAnsi="Times New Roman" w:cs="Times New Roman"/>
                    </w:rPr>
                    <w:t>符合</w:t>
                  </w:r>
                </w:p>
              </w:tc>
              <w:tc>
                <w:tcPr>
                  <w:tcW w:w="288" w:type="pct"/>
                  <w:vAlign w:val="center"/>
                </w:tcPr>
                <w:p>
                  <w:pPr>
                    <w:pStyle w:val="141"/>
                    <w:rPr>
                      <w:rFonts w:hint="default" w:ascii="Times New Roman" w:hAnsi="Times New Roman" w:cs="Times New Roman"/>
                    </w:rPr>
                  </w:pPr>
                  <w:r>
                    <w:rPr>
                      <w:rFonts w:hint="default" w:ascii="Times New Roman" w:hAnsi="Times New Roman" w:cs="Times New Roman"/>
                    </w:rPr>
                    <w:t>6</w:t>
                  </w:r>
                </w:p>
              </w:tc>
              <w:tc>
                <w:tcPr>
                  <w:tcW w:w="587" w:type="pct"/>
                  <w:vAlign w:val="center"/>
                </w:tcPr>
                <w:p>
                  <w:pPr>
                    <w:pStyle w:val="141"/>
                    <w:rPr>
                      <w:rFonts w:hint="default" w:ascii="Times New Roman" w:hAnsi="Times New Roman" w:cs="Times New Roman"/>
                    </w:rPr>
                  </w:pPr>
                  <w:r>
                    <w:rPr>
                      <w:rFonts w:hint="default" w:ascii="Times New Roman" w:hAnsi="Times New Roman" w:cs="Times New Roman"/>
                    </w:rPr>
                    <w:t>13</w:t>
                  </w:r>
                </w:p>
              </w:tc>
              <w:tc>
                <w:tcPr>
                  <w:tcW w:w="264" w:type="pct"/>
                  <w:vAlign w:val="center"/>
                </w:tcPr>
                <w:p>
                  <w:pPr>
                    <w:pStyle w:val="141"/>
                    <w:rPr>
                      <w:rFonts w:hint="default" w:ascii="Times New Roman" w:hAnsi="Times New Roman" w:cs="Times New Roman"/>
                    </w:rPr>
                  </w:pPr>
                  <w:r>
                    <w:rPr>
                      <w:rFonts w:hint="default" w:ascii="Times New Roman" w:hAnsi="Times New Roman" w:cs="Times New Roman"/>
                    </w:rPr>
                    <w:t>符合</w:t>
                  </w:r>
                </w:p>
              </w:tc>
              <w:tc>
                <w:tcPr>
                  <w:tcW w:w="211"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403"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43" w:type="pct"/>
                  <w:vAlign w:val="center"/>
                </w:tcPr>
                <w:p>
                  <w:pPr>
                    <w:pStyle w:val="141"/>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vAlign w:val="center"/>
                </w:tcPr>
                <w:p>
                  <w:pPr>
                    <w:pStyle w:val="141"/>
                    <w:rPr>
                      <w:rFonts w:hint="default" w:ascii="Times New Roman" w:hAnsi="Times New Roman" w:cs="Times New Roman"/>
                    </w:rPr>
                  </w:pPr>
                  <w:r>
                    <w:rPr>
                      <w:rFonts w:hint="default" w:ascii="Times New Roman" w:hAnsi="Times New Roman" w:cs="Times New Roman"/>
                    </w:rPr>
                    <w:t>站区围墙</w:t>
                  </w:r>
                </w:p>
              </w:tc>
              <w:tc>
                <w:tcPr>
                  <w:tcW w:w="359" w:type="pct"/>
                  <w:vAlign w:val="center"/>
                </w:tcPr>
                <w:p>
                  <w:pPr>
                    <w:pStyle w:val="141"/>
                    <w:rPr>
                      <w:rFonts w:hint="default" w:ascii="Times New Roman" w:hAnsi="Times New Roman" w:cs="Times New Roman"/>
                    </w:rPr>
                  </w:pPr>
                  <w:r>
                    <w:rPr>
                      <w:rFonts w:hint="default" w:ascii="Times New Roman" w:hAnsi="Times New Roman" w:cs="Times New Roman"/>
                    </w:rPr>
                    <w:t>3/2</w:t>
                  </w:r>
                </w:p>
              </w:tc>
              <w:tc>
                <w:tcPr>
                  <w:tcW w:w="665" w:type="pct"/>
                  <w:vAlign w:val="center"/>
                </w:tcPr>
                <w:p>
                  <w:pPr>
                    <w:pStyle w:val="141"/>
                    <w:rPr>
                      <w:rFonts w:hint="default" w:ascii="Times New Roman" w:hAnsi="Times New Roman" w:cs="Times New Roman"/>
                    </w:rPr>
                  </w:pPr>
                  <w:r>
                    <w:rPr>
                      <w:rFonts w:hint="default" w:ascii="Times New Roman" w:hAnsi="Times New Roman" w:cs="Times New Roman"/>
                    </w:rPr>
                    <w:t>5.46/3.96</w:t>
                  </w:r>
                </w:p>
              </w:tc>
              <w:tc>
                <w:tcPr>
                  <w:tcW w:w="239" w:type="pct"/>
                  <w:vAlign w:val="center"/>
                </w:tcPr>
                <w:p>
                  <w:pPr>
                    <w:pStyle w:val="141"/>
                    <w:rPr>
                      <w:rFonts w:hint="default" w:ascii="Times New Roman" w:hAnsi="Times New Roman" w:cs="Times New Roman"/>
                    </w:rPr>
                  </w:pPr>
                  <w:r>
                    <w:rPr>
                      <w:rFonts w:hint="default" w:ascii="Times New Roman" w:hAnsi="Times New Roman" w:cs="Times New Roman"/>
                    </w:rPr>
                    <w:t>符合</w:t>
                  </w:r>
                </w:p>
              </w:tc>
              <w:tc>
                <w:tcPr>
                  <w:tcW w:w="343" w:type="pct"/>
                  <w:vAlign w:val="center"/>
                </w:tcPr>
                <w:p>
                  <w:pPr>
                    <w:pStyle w:val="141"/>
                    <w:rPr>
                      <w:rFonts w:hint="default" w:ascii="Times New Roman" w:hAnsi="Times New Roman" w:cs="Times New Roman"/>
                    </w:rPr>
                  </w:pPr>
                  <w:r>
                    <w:rPr>
                      <w:rFonts w:hint="default" w:ascii="Times New Roman" w:hAnsi="Times New Roman" w:cs="Times New Roman"/>
                    </w:rPr>
                    <w:t>2/2</w:t>
                  </w:r>
                </w:p>
              </w:tc>
              <w:tc>
                <w:tcPr>
                  <w:tcW w:w="682" w:type="pct"/>
                  <w:vAlign w:val="center"/>
                </w:tcPr>
                <w:p>
                  <w:pPr>
                    <w:pStyle w:val="141"/>
                    <w:rPr>
                      <w:rFonts w:hint="default" w:ascii="Times New Roman" w:hAnsi="Times New Roman" w:cs="Times New Roman"/>
                    </w:rPr>
                  </w:pPr>
                  <w:r>
                    <w:rPr>
                      <w:rFonts w:hint="default" w:ascii="Times New Roman" w:hAnsi="Times New Roman" w:cs="Times New Roman"/>
                    </w:rPr>
                    <w:t>11.27/11.27</w:t>
                  </w:r>
                </w:p>
              </w:tc>
              <w:tc>
                <w:tcPr>
                  <w:tcW w:w="238" w:type="pct"/>
                  <w:vAlign w:val="center"/>
                </w:tcPr>
                <w:p>
                  <w:pPr>
                    <w:pStyle w:val="141"/>
                    <w:rPr>
                      <w:rFonts w:hint="default" w:ascii="Times New Roman" w:hAnsi="Times New Roman" w:cs="Times New Roman"/>
                    </w:rPr>
                  </w:pPr>
                  <w:r>
                    <w:rPr>
                      <w:rFonts w:hint="default" w:ascii="Times New Roman" w:hAnsi="Times New Roman" w:cs="Times New Roman"/>
                    </w:rPr>
                    <w:t>符合</w:t>
                  </w:r>
                </w:p>
              </w:tc>
              <w:tc>
                <w:tcPr>
                  <w:tcW w:w="288"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587"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64"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11"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403"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43" w:type="pct"/>
                  <w:vAlign w:val="center"/>
                </w:tcPr>
                <w:p>
                  <w:pPr>
                    <w:pStyle w:val="141"/>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vAlign w:val="center"/>
                </w:tcPr>
                <w:p>
                  <w:pPr>
                    <w:pStyle w:val="141"/>
                    <w:rPr>
                      <w:rFonts w:hint="default" w:ascii="Times New Roman" w:hAnsi="Times New Roman" w:cs="Times New Roman"/>
                    </w:rPr>
                  </w:pPr>
                  <w:r>
                    <w:rPr>
                      <w:rFonts w:hint="default" w:ascii="Times New Roman" w:hAnsi="Times New Roman" w:cs="Times New Roman"/>
                    </w:rPr>
                    <w:t>油品卸车点</w:t>
                  </w:r>
                </w:p>
              </w:tc>
              <w:tc>
                <w:tcPr>
                  <w:tcW w:w="359"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665"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39"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343" w:type="pct"/>
                  <w:vAlign w:val="center"/>
                </w:tcPr>
                <w:p>
                  <w:pPr>
                    <w:pStyle w:val="141"/>
                    <w:rPr>
                      <w:rFonts w:hint="default" w:ascii="Times New Roman" w:hAnsi="Times New Roman" w:cs="Times New Roman"/>
                    </w:rPr>
                  </w:pPr>
                  <w:r>
                    <w:rPr>
                      <w:rFonts w:hint="default" w:ascii="Times New Roman" w:hAnsi="Times New Roman" w:cs="Times New Roman"/>
                    </w:rPr>
                    <w:t>3/2</w:t>
                  </w:r>
                </w:p>
              </w:tc>
              <w:tc>
                <w:tcPr>
                  <w:tcW w:w="682" w:type="pct"/>
                  <w:vAlign w:val="center"/>
                </w:tcPr>
                <w:p>
                  <w:pPr>
                    <w:pStyle w:val="141"/>
                    <w:rPr>
                      <w:rFonts w:hint="default" w:ascii="Times New Roman" w:hAnsi="Times New Roman" w:cs="Times New Roman"/>
                    </w:rPr>
                  </w:pPr>
                  <w:r>
                    <w:rPr>
                      <w:rFonts w:hint="default" w:ascii="Times New Roman" w:hAnsi="Times New Roman" w:cs="Times New Roman"/>
                    </w:rPr>
                    <w:t>19.16/19.16</w:t>
                  </w:r>
                </w:p>
              </w:tc>
              <w:tc>
                <w:tcPr>
                  <w:tcW w:w="238" w:type="pct"/>
                  <w:vAlign w:val="center"/>
                </w:tcPr>
                <w:p>
                  <w:pPr>
                    <w:pStyle w:val="141"/>
                    <w:rPr>
                      <w:rFonts w:hint="default" w:ascii="Times New Roman" w:hAnsi="Times New Roman" w:cs="Times New Roman"/>
                    </w:rPr>
                  </w:pPr>
                  <w:r>
                    <w:rPr>
                      <w:rFonts w:hint="default" w:ascii="Times New Roman" w:hAnsi="Times New Roman" w:cs="Times New Roman"/>
                    </w:rPr>
                    <w:t>符合</w:t>
                  </w:r>
                </w:p>
              </w:tc>
              <w:tc>
                <w:tcPr>
                  <w:tcW w:w="288"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587"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64"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11"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403"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43" w:type="pct"/>
                  <w:vAlign w:val="center"/>
                </w:tcPr>
                <w:p>
                  <w:pPr>
                    <w:pStyle w:val="141"/>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vAlign w:val="center"/>
                </w:tcPr>
                <w:p>
                  <w:pPr>
                    <w:pStyle w:val="141"/>
                    <w:rPr>
                      <w:rFonts w:hint="default" w:ascii="Times New Roman" w:hAnsi="Times New Roman" w:cs="Times New Roman"/>
                    </w:rPr>
                  </w:pPr>
                  <w:r>
                    <w:rPr>
                      <w:rFonts w:hint="default" w:ascii="Times New Roman" w:hAnsi="Times New Roman" w:cs="Times New Roman"/>
                    </w:rPr>
                    <w:t>燃气厨房</w:t>
                  </w:r>
                </w:p>
              </w:tc>
              <w:tc>
                <w:tcPr>
                  <w:tcW w:w="359" w:type="pct"/>
                  <w:vAlign w:val="center"/>
                </w:tcPr>
                <w:p>
                  <w:pPr>
                    <w:pStyle w:val="141"/>
                    <w:rPr>
                      <w:rFonts w:hint="default" w:ascii="Times New Roman" w:hAnsi="Times New Roman" w:cs="Times New Roman"/>
                    </w:rPr>
                  </w:pPr>
                  <w:r>
                    <w:rPr>
                      <w:rFonts w:hint="default" w:ascii="Times New Roman" w:hAnsi="Times New Roman" w:cs="Times New Roman"/>
                    </w:rPr>
                    <w:t>8/6</w:t>
                  </w:r>
                </w:p>
              </w:tc>
              <w:tc>
                <w:tcPr>
                  <w:tcW w:w="665"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39"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343" w:type="pct"/>
                  <w:vAlign w:val="center"/>
                </w:tcPr>
                <w:p>
                  <w:pPr>
                    <w:pStyle w:val="141"/>
                    <w:rPr>
                      <w:rFonts w:hint="default" w:ascii="Times New Roman" w:hAnsi="Times New Roman" w:cs="Times New Roman"/>
                    </w:rPr>
                  </w:pPr>
                  <w:r>
                    <w:rPr>
                      <w:rFonts w:hint="default" w:ascii="Times New Roman" w:hAnsi="Times New Roman" w:cs="Times New Roman"/>
                    </w:rPr>
                    <w:t>8/6</w:t>
                  </w:r>
                </w:p>
              </w:tc>
              <w:tc>
                <w:tcPr>
                  <w:tcW w:w="682"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38"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88" w:type="pct"/>
                  <w:vAlign w:val="center"/>
                </w:tcPr>
                <w:p>
                  <w:pPr>
                    <w:pStyle w:val="141"/>
                    <w:rPr>
                      <w:rFonts w:hint="default" w:ascii="Times New Roman" w:hAnsi="Times New Roman" w:cs="Times New Roman"/>
                    </w:rPr>
                  </w:pPr>
                  <w:r>
                    <w:rPr>
                      <w:rFonts w:hint="default" w:ascii="Times New Roman" w:hAnsi="Times New Roman" w:cs="Times New Roman"/>
                    </w:rPr>
                    <w:t>8/6</w:t>
                  </w:r>
                </w:p>
              </w:tc>
              <w:tc>
                <w:tcPr>
                  <w:tcW w:w="587"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64"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11" w:type="pct"/>
                  <w:vAlign w:val="center"/>
                </w:tcPr>
                <w:p>
                  <w:pPr>
                    <w:pStyle w:val="141"/>
                    <w:rPr>
                      <w:rFonts w:hint="default" w:ascii="Times New Roman" w:hAnsi="Times New Roman" w:cs="Times New Roman"/>
                    </w:rPr>
                  </w:pPr>
                  <w:r>
                    <w:rPr>
                      <w:rFonts w:hint="default" w:ascii="Times New Roman" w:hAnsi="Times New Roman" w:cs="Times New Roman"/>
                    </w:rPr>
                    <w:t>8</w:t>
                  </w:r>
                </w:p>
              </w:tc>
              <w:tc>
                <w:tcPr>
                  <w:tcW w:w="403"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43" w:type="pct"/>
                  <w:vAlign w:val="center"/>
                </w:tcPr>
                <w:p>
                  <w:pPr>
                    <w:pStyle w:val="141"/>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vAlign w:val="center"/>
                </w:tcPr>
                <w:p>
                  <w:pPr>
                    <w:pStyle w:val="141"/>
                    <w:rPr>
                      <w:rFonts w:hint="default" w:ascii="Times New Roman" w:hAnsi="Times New Roman" w:cs="Times New Roman"/>
                    </w:rPr>
                  </w:pPr>
                  <w:r>
                    <w:rPr>
                      <w:rFonts w:hint="default" w:ascii="Times New Roman" w:hAnsi="Times New Roman" w:cs="Times New Roman"/>
                    </w:rPr>
                    <w:t>辅房</w:t>
                  </w:r>
                </w:p>
              </w:tc>
              <w:tc>
                <w:tcPr>
                  <w:tcW w:w="359" w:type="pct"/>
                  <w:vAlign w:val="center"/>
                </w:tcPr>
                <w:p>
                  <w:pPr>
                    <w:pStyle w:val="141"/>
                    <w:rPr>
                      <w:rFonts w:hint="default" w:ascii="Times New Roman" w:hAnsi="Times New Roman" w:cs="Times New Roman"/>
                    </w:rPr>
                  </w:pPr>
                  <w:r>
                    <w:rPr>
                      <w:rFonts w:hint="default" w:ascii="Times New Roman" w:hAnsi="Times New Roman" w:cs="Times New Roman"/>
                    </w:rPr>
                    <w:t>7/6</w:t>
                  </w:r>
                </w:p>
              </w:tc>
              <w:tc>
                <w:tcPr>
                  <w:tcW w:w="665" w:type="pct"/>
                  <w:vAlign w:val="center"/>
                </w:tcPr>
                <w:p>
                  <w:pPr>
                    <w:pStyle w:val="141"/>
                    <w:rPr>
                      <w:rFonts w:hint="default" w:ascii="Times New Roman" w:hAnsi="Times New Roman" w:cs="Times New Roman"/>
                    </w:rPr>
                  </w:pPr>
                  <w:r>
                    <w:rPr>
                      <w:rFonts w:hint="default" w:ascii="Times New Roman" w:hAnsi="Times New Roman" w:cs="Times New Roman"/>
                    </w:rPr>
                    <w:t>7.08/13.7</w:t>
                  </w:r>
                </w:p>
              </w:tc>
              <w:tc>
                <w:tcPr>
                  <w:tcW w:w="239" w:type="pct"/>
                  <w:vAlign w:val="center"/>
                </w:tcPr>
                <w:p>
                  <w:pPr>
                    <w:pStyle w:val="141"/>
                    <w:rPr>
                      <w:rFonts w:hint="default" w:ascii="Times New Roman" w:hAnsi="Times New Roman" w:cs="Times New Roman"/>
                    </w:rPr>
                  </w:pPr>
                  <w:r>
                    <w:rPr>
                      <w:rFonts w:hint="default" w:ascii="Times New Roman" w:hAnsi="Times New Roman" w:cs="Times New Roman"/>
                    </w:rPr>
                    <w:t>符合</w:t>
                  </w:r>
                </w:p>
              </w:tc>
              <w:tc>
                <w:tcPr>
                  <w:tcW w:w="343" w:type="pct"/>
                  <w:vAlign w:val="center"/>
                </w:tcPr>
                <w:p>
                  <w:pPr>
                    <w:pStyle w:val="141"/>
                    <w:rPr>
                      <w:rFonts w:hint="default" w:ascii="Times New Roman" w:hAnsi="Times New Roman" w:cs="Times New Roman"/>
                    </w:rPr>
                  </w:pPr>
                  <w:r>
                    <w:rPr>
                      <w:rFonts w:hint="default" w:ascii="Times New Roman" w:hAnsi="Times New Roman" w:cs="Times New Roman"/>
                    </w:rPr>
                    <w:t>7/6</w:t>
                  </w:r>
                </w:p>
              </w:tc>
              <w:tc>
                <w:tcPr>
                  <w:tcW w:w="682" w:type="pct"/>
                  <w:vAlign w:val="center"/>
                </w:tcPr>
                <w:p>
                  <w:pPr>
                    <w:pStyle w:val="141"/>
                    <w:rPr>
                      <w:rFonts w:hint="default" w:ascii="Times New Roman" w:hAnsi="Times New Roman" w:cs="Times New Roman"/>
                    </w:rPr>
                  </w:pPr>
                  <w:r>
                    <w:rPr>
                      <w:rFonts w:hint="default" w:ascii="Times New Roman" w:hAnsi="Times New Roman" w:cs="Times New Roman"/>
                    </w:rPr>
                    <w:t>12.56/12.56</w:t>
                  </w:r>
                </w:p>
              </w:tc>
              <w:tc>
                <w:tcPr>
                  <w:tcW w:w="238" w:type="pct"/>
                  <w:vAlign w:val="center"/>
                </w:tcPr>
                <w:p>
                  <w:pPr>
                    <w:pStyle w:val="141"/>
                    <w:rPr>
                      <w:rFonts w:hint="default" w:ascii="Times New Roman" w:hAnsi="Times New Roman" w:cs="Times New Roman"/>
                    </w:rPr>
                  </w:pPr>
                  <w:r>
                    <w:rPr>
                      <w:rFonts w:hint="default" w:ascii="Times New Roman" w:hAnsi="Times New Roman" w:cs="Times New Roman"/>
                    </w:rPr>
                    <w:t>符合</w:t>
                  </w:r>
                </w:p>
              </w:tc>
              <w:tc>
                <w:tcPr>
                  <w:tcW w:w="288" w:type="pct"/>
                  <w:vAlign w:val="center"/>
                </w:tcPr>
                <w:p>
                  <w:pPr>
                    <w:pStyle w:val="141"/>
                    <w:rPr>
                      <w:rFonts w:hint="default" w:ascii="Times New Roman" w:hAnsi="Times New Roman" w:cs="Times New Roman"/>
                    </w:rPr>
                  </w:pPr>
                  <w:r>
                    <w:rPr>
                      <w:rFonts w:hint="default" w:ascii="Times New Roman" w:hAnsi="Times New Roman" w:cs="Times New Roman"/>
                    </w:rPr>
                    <w:t>7/6</w:t>
                  </w:r>
                </w:p>
              </w:tc>
              <w:tc>
                <w:tcPr>
                  <w:tcW w:w="587" w:type="pct"/>
                  <w:vAlign w:val="center"/>
                </w:tcPr>
                <w:p>
                  <w:pPr>
                    <w:pStyle w:val="141"/>
                    <w:rPr>
                      <w:rFonts w:hint="default" w:ascii="Times New Roman" w:hAnsi="Times New Roman" w:cs="Times New Roman"/>
                    </w:rPr>
                  </w:pPr>
                  <w:r>
                    <w:rPr>
                      <w:rFonts w:hint="default" w:ascii="Times New Roman" w:hAnsi="Times New Roman" w:cs="Times New Roman"/>
                    </w:rPr>
                    <w:t>7.07/7.07</w:t>
                  </w:r>
                </w:p>
              </w:tc>
              <w:tc>
                <w:tcPr>
                  <w:tcW w:w="264" w:type="pct"/>
                  <w:vAlign w:val="center"/>
                </w:tcPr>
                <w:p>
                  <w:pPr>
                    <w:pStyle w:val="141"/>
                    <w:rPr>
                      <w:rFonts w:hint="default" w:ascii="Times New Roman" w:hAnsi="Times New Roman" w:cs="Times New Roman"/>
                    </w:rPr>
                  </w:pPr>
                  <w:r>
                    <w:rPr>
                      <w:rFonts w:hint="default" w:ascii="Times New Roman" w:hAnsi="Times New Roman" w:cs="Times New Roman"/>
                    </w:rPr>
                    <w:t>符合</w:t>
                  </w:r>
                </w:p>
              </w:tc>
              <w:tc>
                <w:tcPr>
                  <w:tcW w:w="211"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403"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43" w:type="pct"/>
                  <w:vAlign w:val="center"/>
                </w:tcPr>
                <w:p>
                  <w:pPr>
                    <w:pStyle w:val="141"/>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vAlign w:val="center"/>
                </w:tcPr>
                <w:p>
                  <w:pPr>
                    <w:pStyle w:val="141"/>
                    <w:rPr>
                      <w:rFonts w:hint="default" w:ascii="Times New Roman" w:hAnsi="Times New Roman" w:cs="Times New Roman"/>
                    </w:rPr>
                  </w:pPr>
                  <w:r>
                    <w:rPr>
                      <w:rFonts w:hint="default" w:ascii="Times New Roman" w:hAnsi="Times New Roman" w:cs="Times New Roman"/>
                    </w:rPr>
                    <w:t>洗车棚</w:t>
                  </w:r>
                </w:p>
              </w:tc>
              <w:tc>
                <w:tcPr>
                  <w:tcW w:w="359" w:type="pct"/>
                  <w:vAlign w:val="center"/>
                </w:tcPr>
                <w:p>
                  <w:pPr>
                    <w:pStyle w:val="141"/>
                    <w:rPr>
                      <w:rFonts w:hint="default" w:ascii="Times New Roman" w:hAnsi="Times New Roman" w:cs="Times New Roman"/>
                    </w:rPr>
                  </w:pPr>
                  <w:r>
                    <w:rPr>
                      <w:rFonts w:hint="default" w:ascii="Times New Roman" w:hAnsi="Times New Roman" w:cs="Times New Roman"/>
                    </w:rPr>
                    <w:t>7/6</w:t>
                  </w:r>
                </w:p>
              </w:tc>
              <w:tc>
                <w:tcPr>
                  <w:tcW w:w="665" w:type="pct"/>
                  <w:vAlign w:val="center"/>
                </w:tcPr>
                <w:p>
                  <w:pPr>
                    <w:pStyle w:val="141"/>
                    <w:rPr>
                      <w:rFonts w:hint="default" w:ascii="Times New Roman" w:hAnsi="Times New Roman" w:cs="Times New Roman"/>
                    </w:rPr>
                  </w:pPr>
                  <w:r>
                    <w:rPr>
                      <w:rFonts w:hint="default" w:ascii="Times New Roman" w:hAnsi="Times New Roman" w:cs="Times New Roman"/>
                    </w:rPr>
                    <w:t>32.9/29.76</w:t>
                  </w:r>
                </w:p>
              </w:tc>
              <w:tc>
                <w:tcPr>
                  <w:tcW w:w="239" w:type="pct"/>
                  <w:vAlign w:val="center"/>
                </w:tcPr>
                <w:p>
                  <w:pPr>
                    <w:pStyle w:val="141"/>
                    <w:rPr>
                      <w:rFonts w:hint="default" w:ascii="Times New Roman" w:hAnsi="Times New Roman" w:cs="Times New Roman"/>
                    </w:rPr>
                  </w:pPr>
                  <w:r>
                    <w:rPr>
                      <w:rFonts w:hint="default" w:ascii="Times New Roman" w:hAnsi="Times New Roman" w:cs="Times New Roman"/>
                    </w:rPr>
                    <w:t>符合</w:t>
                  </w:r>
                </w:p>
              </w:tc>
              <w:tc>
                <w:tcPr>
                  <w:tcW w:w="343" w:type="pct"/>
                  <w:vAlign w:val="center"/>
                </w:tcPr>
                <w:p>
                  <w:pPr>
                    <w:pStyle w:val="141"/>
                    <w:rPr>
                      <w:rFonts w:hint="default" w:ascii="Times New Roman" w:hAnsi="Times New Roman" w:cs="Times New Roman"/>
                    </w:rPr>
                  </w:pPr>
                  <w:r>
                    <w:rPr>
                      <w:rFonts w:hint="default" w:ascii="Times New Roman" w:hAnsi="Times New Roman" w:cs="Times New Roman"/>
                    </w:rPr>
                    <w:t>7/6</w:t>
                  </w:r>
                </w:p>
              </w:tc>
              <w:tc>
                <w:tcPr>
                  <w:tcW w:w="682" w:type="pct"/>
                  <w:vAlign w:val="center"/>
                </w:tcPr>
                <w:p>
                  <w:pPr>
                    <w:pStyle w:val="141"/>
                    <w:rPr>
                      <w:rFonts w:hint="default" w:ascii="Times New Roman" w:hAnsi="Times New Roman" w:cs="Times New Roman"/>
                    </w:rPr>
                  </w:pPr>
                  <w:r>
                    <w:rPr>
                      <w:rFonts w:hint="default" w:ascii="Times New Roman" w:hAnsi="Times New Roman" w:cs="Times New Roman"/>
                    </w:rPr>
                    <w:t>35/35</w:t>
                  </w:r>
                </w:p>
              </w:tc>
              <w:tc>
                <w:tcPr>
                  <w:tcW w:w="238" w:type="pct"/>
                  <w:vAlign w:val="center"/>
                </w:tcPr>
                <w:p>
                  <w:pPr>
                    <w:pStyle w:val="141"/>
                    <w:rPr>
                      <w:rFonts w:hint="default" w:ascii="Times New Roman" w:hAnsi="Times New Roman" w:cs="Times New Roman"/>
                    </w:rPr>
                  </w:pPr>
                  <w:r>
                    <w:rPr>
                      <w:rFonts w:hint="default" w:ascii="Times New Roman" w:hAnsi="Times New Roman" w:cs="Times New Roman"/>
                    </w:rPr>
                    <w:t>符合</w:t>
                  </w:r>
                </w:p>
              </w:tc>
              <w:tc>
                <w:tcPr>
                  <w:tcW w:w="288" w:type="pct"/>
                  <w:vAlign w:val="center"/>
                </w:tcPr>
                <w:p>
                  <w:pPr>
                    <w:pStyle w:val="141"/>
                    <w:rPr>
                      <w:rFonts w:hint="default" w:ascii="Times New Roman" w:hAnsi="Times New Roman" w:cs="Times New Roman"/>
                    </w:rPr>
                  </w:pPr>
                  <w:r>
                    <w:rPr>
                      <w:rFonts w:hint="default" w:ascii="Times New Roman" w:hAnsi="Times New Roman" w:cs="Times New Roman"/>
                    </w:rPr>
                    <w:t>7/6</w:t>
                  </w:r>
                </w:p>
              </w:tc>
              <w:tc>
                <w:tcPr>
                  <w:tcW w:w="587" w:type="pct"/>
                  <w:vAlign w:val="center"/>
                </w:tcPr>
                <w:p>
                  <w:pPr>
                    <w:pStyle w:val="141"/>
                    <w:rPr>
                      <w:rFonts w:hint="default" w:ascii="Times New Roman" w:hAnsi="Times New Roman" w:cs="Times New Roman"/>
                    </w:rPr>
                  </w:pPr>
                  <w:r>
                    <w:rPr>
                      <w:rFonts w:hint="default" w:ascii="Times New Roman" w:hAnsi="Times New Roman" w:cs="Times New Roman"/>
                    </w:rPr>
                    <w:t>35.3/35.3</w:t>
                  </w:r>
                </w:p>
              </w:tc>
              <w:tc>
                <w:tcPr>
                  <w:tcW w:w="264" w:type="pct"/>
                  <w:vAlign w:val="center"/>
                </w:tcPr>
                <w:p>
                  <w:pPr>
                    <w:pStyle w:val="141"/>
                    <w:rPr>
                      <w:rFonts w:hint="default" w:ascii="Times New Roman" w:hAnsi="Times New Roman" w:cs="Times New Roman"/>
                    </w:rPr>
                  </w:pPr>
                  <w:r>
                    <w:rPr>
                      <w:rFonts w:hint="default" w:ascii="Times New Roman" w:hAnsi="Times New Roman" w:cs="Times New Roman"/>
                    </w:rPr>
                    <w:t>符合</w:t>
                  </w:r>
                </w:p>
              </w:tc>
              <w:tc>
                <w:tcPr>
                  <w:tcW w:w="211"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403"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43" w:type="pct"/>
                  <w:vAlign w:val="center"/>
                </w:tcPr>
                <w:p>
                  <w:pPr>
                    <w:pStyle w:val="141"/>
                    <w:rPr>
                      <w:rFonts w:hint="default" w:ascii="Times New Roman" w:hAnsi="Times New Roman" w:cs="Times New Roman"/>
                    </w:rPr>
                  </w:pPr>
                  <w:r>
                    <w:rPr>
                      <w:rFonts w:hint="default" w:ascii="Times New Roman" w:hAnsi="Times New Roman" w:cs="Times New Roman"/>
                    </w:rPr>
                    <w:t>--</w:t>
                  </w:r>
                </w:p>
              </w:tc>
            </w:tr>
          </w:tbl>
          <w:p>
            <w:pPr>
              <w:pStyle w:val="148"/>
              <w:rPr>
                <w:rFonts w:hint="default" w:ascii="Times New Roman" w:hAnsi="Times New Roman" w:cs="Times New Roman"/>
              </w:rPr>
            </w:pPr>
            <w:r>
              <w:rPr>
                <w:rFonts w:hint="default" w:ascii="Times New Roman" w:hAnsi="Times New Roman" w:cs="Times New Roman"/>
              </w:rPr>
              <w:t>注：（1）设计间距的起讫点按《汽车加油加气站设计与施工规范》（GB50196-201，2014年版）的规定。</w:t>
            </w:r>
          </w:p>
          <w:p>
            <w:pPr>
              <w:pStyle w:val="148"/>
              <w:rPr>
                <w:rFonts w:hint="default" w:ascii="Times New Roman" w:hAnsi="Times New Roman" w:cs="Times New Roman"/>
              </w:rPr>
            </w:pPr>
            <w:r>
              <w:rPr>
                <w:rFonts w:hint="default" w:ascii="Times New Roman" w:hAnsi="Times New Roman" w:cs="Times New Roman"/>
              </w:rPr>
              <w:t>（2）本表的标准值为《汽车加油加气站设计与施工规范》（GB50196-201，2014年版）表5.013-1的规定值，表中辅房和汽油、柴油设备的安全间距标准值参照《汽车加油加气站设计与施工规范》（GB50196-201，2014年版）表4.0.4和4.0.5的规定值。</w:t>
            </w:r>
          </w:p>
          <w:p>
            <w:pPr>
              <w:pStyle w:val="148"/>
              <w:rPr>
                <w:rFonts w:hint="default" w:ascii="Times New Roman" w:hAnsi="Times New Roman" w:cs="Times New Roman"/>
              </w:rPr>
            </w:pPr>
            <w:r>
              <w:rPr>
                <w:rFonts w:hint="default" w:ascii="Times New Roman" w:hAnsi="Times New Roman" w:cs="Times New Roman"/>
              </w:rPr>
              <w:t>（3）符号“--”表示无此类建、构筑物之间的距离，分母为埋地柴油罐与站内建、构筑物之间的距离。</w:t>
            </w:r>
          </w:p>
          <w:p>
            <w:pPr>
              <w:pStyle w:val="137"/>
              <w:ind w:firstLine="480"/>
              <w:rPr>
                <w:rFonts w:hint="default" w:ascii="Times New Roman" w:hAnsi="Times New Roman" w:cs="Times New Roman"/>
              </w:rPr>
            </w:pPr>
            <w:r>
              <w:rPr>
                <w:rFonts w:hint="default" w:ascii="Times New Roman" w:hAnsi="Times New Roman" w:cs="Times New Roman"/>
              </w:rPr>
              <w:t>综上分析，项目各功能区明确，平面布置符合《汽车加油加气站设计与施工规（GB50156-2012，2014 年局部修订版）的防火要求。</w:t>
            </w:r>
          </w:p>
          <w:p>
            <w:pPr>
              <w:pStyle w:val="161"/>
              <w:rPr>
                <w:rFonts w:hint="default" w:ascii="Times New Roman" w:hAnsi="Times New Roman" w:cs="Times New Roman"/>
              </w:rPr>
            </w:pPr>
            <w:r>
              <w:rPr>
                <w:rFonts w:hint="default" w:ascii="Times New Roman" w:hAnsi="Times New Roman" w:cs="Times New Roman"/>
              </w:rPr>
              <w:t>5、项目选址合理性分析</w:t>
            </w:r>
          </w:p>
          <w:p>
            <w:pPr>
              <w:pStyle w:val="137"/>
              <w:ind w:firstLine="480"/>
              <w:rPr>
                <w:rFonts w:hint="default" w:ascii="Times New Roman" w:hAnsi="Times New Roman" w:cs="Times New Roman"/>
              </w:rPr>
            </w:pPr>
            <w:r>
              <w:rPr>
                <w:rFonts w:hint="default" w:ascii="Times New Roman" w:hAnsi="Times New Roman" w:cs="Times New Roman"/>
              </w:rPr>
              <w:t>（1） 与《汽车加油加气站设计与施工规范》相符性分析</w:t>
            </w:r>
          </w:p>
          <w:p>
            <w:pPr>
              <w:pStyle w:val="13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rPr>
            </w:pPr>
            <w:r>
              <w:rPr>
                <w:rFonts w:hint="default" w:ascii="Times New Roman" w:hAnsi="Times New Roman" w:cs="Times New Roman"/>
              </w:rPr>
              <w:t>根据《汽车加油加气站设计与施工规范》（GB50156-2012，2014 年局部修订版），本项目油罐总容积90m</w:t>
            </w:r>
            <w:r>
              <w:rPr>
                <w:rFonts w:hint="default" w:ascii="Times New Roman" w:hAnsi="Times New Roman" w:cs="Times New Roman"/>
                <w:vertAlign w:val="superscript"/>
              </w:rPr>
              <w:t>3</w:t>
            </w:r>
            <w:r>
              <w:rPr>
                <w:rFonts w:hint="default" w:ascii="Times New Roman" w:hAnsi="Times New Roman" w:cs="Times New Roman"/>
              </w:rPr>
              <w:t>（ 柴油储罐容积折半计算），属三级加油站，对照《汽车加油加气站设计与施工规范》（GB50156-2012，2014 年局部修订版）中加油站站址选择条件，分析本项目的选址合理性，具体见</w:t>
            </w:r>
            <w:r>
              <w:rPr>
                <w:rFonts w:hint="eastAsia" w:cs="Times New Roman"/>
                <w:lang w:val="en-US" w:eastAsia="zh-CN"/>
              </w:rPr>
              <w:t>表1-7</w:t>
            </w:r>
            <w:r>
              <w:rPr>
                <w:rFonts w:hint="default" w:ascii="Times New Roman" w:hAnsi="Times New Roman" w:cs="Times New Roman"/>
              </w:rPr>
              <w:t>~</w:t>
            </w:r>
            <w:r>
              <w:rPr>
                <w:rFonts w:hint="eastAsia" w:cs="Times New Roman"/>
                <w:lang w:val="en-US" w:eastAsia="zh-CN"/>
              </w:rPr>
              <w:t>表1-9</w:t>
            </w:r>
            <w:r>
              <w:rPr>
                <w:rFonts w:hint="default" w:ascii="Times New Roman" w:hAnsi="Times New Roman" w:cs="Times New Roman"/>
              </w:rPr>
              <w:t>。</w:t>
            </w:r>
          </w:p>
          <w:p>
            <w:pPr>
              <w:pStyle w:val="143"/>
              <w:keepNext w:val="0"/>
              <w:keepLines w:val="0"/>
              <w:pageBreakBefore w:val="0"/>
              <w:widowControl w:val="0"/>
              <w:kinsoku/>
              <w:wordWrap/>
              <w:overflowPunct/>
              <w:topLinePunct w:val="0"/>
              <w:autoSpaceDE/>
              <w:autoSpaceDN/>
              <w:bidi w:val="0"/>
              <w:adjustRightInd/>
              <w:snapToGrid/>
              <w:spacing w:beforeLines="0"/>
              <w:textAlignment w:val="auto"/>
              <w:rPr>
                <w:rFonts w:hint="default" w:ascii="Times New Roman" w:hAnsi="Times New Roman" w:cs="Times New Roman"/>
              </w:rPr>
            </w:pPr>
            <w:r>
              <w:rPr>
                <w:rFonts w:hint="default" w:ascii="Times New Roman" w:hAnsi="Times New Roman" w:cs="Times New Roman"/>
              </w:rPr>
              <w:t>表</w:t>
            </w:r>
            <w:r>
              <w:rPr>
                <w:rFonts w:hint="eastAsia" w:cs="Times New Roman"/>
                <w:lang w:val="en-US" w:eastAsia="zh-CN"/>
              </w:rPr>
              <w:t xml:space="preserve">1-6  </w:t>
            </w:r>
            <w:r>
              <w:rPr>
                <w:rFonts w:hint="default" w:ascii="Times New Roman" w:hAnsi="Times New Roman" w:cs="Times New Roman"/>
              </w:rPr>
              <w:t>加油站的等级划分</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9"/>
              <w:gridCol w:w="3100"/>
              <w:gridCol w:w="4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00" w:type="pct"/>
                  <w:vMerge w:val="restart"/>
                  <w:vAlign w:val="center"/>
                </w:tcPr>
                <w:p>
                  <w:pPr>
                    <w:pStyle w:val="141"/>
                    <w:rPr>
                      <w:rFonts w:hint="default" w:ascii="Times New Roman" w:hAnsi="Times New Roman" w:cs="Times New Roman"/>
                    </w:rPr>
                  </w:pPr>
                  <w:r>
                    <w:rPr>
                      <w:rFonts w:hint="default" w:ascii="Times New Roman" w:hAnsi="Times New Roman" w:cs="Times New Roman"/>
                    </w:rPr>
                    <w:t>级别</w:t>
                  </w:r>
                </w:p>
              </w:tc>
              <w:tc>
                <w:tcPr>
                  <w:tcW w:w="4000" w:type="pct"/>
                  <w:gridSpan w:val="2"/>
                  <w:vAlign w:val="center"/>
                </w:tcPr>
                <w:p>
                  <w:pPr>
                    <w:pStyle w:val="141"/>
                    <w:rPr>
                      <w:rFonts w:hint="default" w:ascii="Times New Roman" w:hAnsi="Times New Roman" w:cs="Times New Roman"/>
                    </w:rPr>
                  </w:pPr>
                  <w:r>
                    <w:rPr>
                      <w:rFonts w:hint="default" w:ascii="Times New Roman" w:hAnsi="Times New Roman" w:cs="Times New Roman"/>
                    </w:rPr>
                    <w:t>油罐容积（m</w:t>
                  </w:r>
                  <w:r>
                    <w:rPr>
                      <w:rFonts w:hint="default" w:ascii="Times New Roman" w:hAnsi="Times New Roman" w:cs="Times New Roman"/>
                      <w:vertAlign w:val="superscript"/>
                    </w:rPr>
                    <w:t>3</w:t>
                  </w: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00" w:type="pct"/>
                  <w:vMerge w:val="continue"/>
                  <w:vAlign w:val="center"/>
                </w:tcPr>
                <w:p>
                  <w:pPr>
                    <w:pStyle w:val="141"/>
                    <w:rPr>
                      <w:rFonts w:hint="default" w:ascii="Times New Roman" w:hAnsi="Times New Roman" w:cs="Times New Roman"/>
                    </w:rPr>
                  </w:pPr>
                </w:p>
              </w:tc>
              <w:tc>
                <w:tcPr>
                  <w:tcW w:w="1732" w:type="pct"/>
                  <w:vAlign w:val="center"/>
                </w:tcPr>
                <w:p>
                  <w:pPr>
                    <w:pStyle w:val="141"/>
                    <w:rPr>
                      <w:rFonts w:hint="default" w:ascii="Times New Roman" w:hAnsi="Times New Roman" w:cs="Times New Roman"/>
                    </w:rPr>
                  </w:pPr>
                  <w:r>
                    <w:rPr>
                      <w:rFonts w:hint="default" w:ascii="Times New Roman" w:hAnsi="Times New Roman" w:cs="Times New Roman"/>
                    </w:rPr>
                    <w:t>总容积</w:t>
                  </w:r>
                </w:p>
              </w:tc>
              <w:tc>
                <w:tcPr>
                  <w:tcW w:w="2268" w:type="pct"/>
                  <w:vAlign w:val="center"/>
                </w:tcPr>
                <w:p>
                  <w:pPr>
                    <w:pStyle w:val="141"/>
                    <w:rPr>
                      <w:rFonts w:hint="default" w:ascii="Times New Roman" w:hAnsi="Times New Roman" w:cs="Times New Roman"/>
                    </w:rPr>
                  </w:pPr>
                  <w:r>
                    <w:rPr>
                      <w:rFonts w:hint="default" w:ascii="Times New Roman" w:hAnsi="Times New Roman" w:cs="Times New Roman"/>
                    </w:rPr>
                    <w:t>单罐容积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00" w:type="pct"/>
                  <w:vAlign w:val="center"/>
                </w:tcPr>
                <w:p>
                  <w:pPr>
                    <w:pStyle w:val="141"/>
                    <w:rPr>
                      <w:rFonts w:hint="default" w:ascii="Times New Roman" w:hAnsi="Times New Roman" w:cs="Times New Roman"/>
                    </w:rPr>
                  </w:pPr>
                  <w:r>
                    <w:rPr>
                      <w:rFonts w:hint="default" w:ascii="Times New Roman" w:hAnsi="Times New Roman" w:cs="Times New Roman"/>
                    </w:rPr>
                    <w:t>一级</w:t>
                  </w:r>
                </w:p>
              </w:tc>
              <w:tc>
                <w:tcPr>
                  <w:tcW w:w="1732" w:type="pct"/>
                  <w:vAlign w:val="center"/>
                </w:tcPr>
                <w:p>
                  <w:pPr>
                    <w:pStyle w:val="141"/>
                    <w:rPr>
                      <w:rFonts w:hint="default" w:ascii="Times New Roman" w:hAnsi="Times New Roman" w:cs="Times New Roman"/>
                    </w:rPr>
                  </w:pPr>
                  <w:r>
                    <w:rPr>
                      <w:rFonts w:hint="default" w:ascii="Times New Roman" w:hAnsi="Times New Roman" w:cs="Times New Roman"/>
                    </w:rPr>
                    <w:t>150＜V≤210</w:t>
                  </w:r>
                </w:p>
              </w:tc>
              <w:tc>
                <w:tcPr>
                  <w:tcW w:w="2268" w:type="pct"/>
                  <w:vAlign w:val="center"/>
                </w:tcPr>
                <w:p>
                  <w:pPr>
                    <w:pStyle w:val="141"/>
                    <w:rPr>
                      <w:rFonts w:hint="default" w:ascii="Times New Roman" w:hAnsi="Times New Roman" w:cs="Times New Roman"/>
                    </w:rPr>
                  </w:pPr>
                  <w:r>
                    <w:rPr>
                      <w:rFonts w:hint="default" w:ascii="Times New Roman" w:hAnsi="Times New Roman" w:cs="Times New Roman"/>
                    </w:rPr>
                    <w:t>V≤50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00" w:type="pct"/>
                  <w:vAlign w:val="center"/>
                </w:tcPr>
                <w:p>
                  <w:pPr>
                    <w:pStyle w:val="141"/>
                    <w:rPr>
                      <w:rFonts w:hint="default" w:ascii="Times New Roman" w:hAnsi="Times New Roman" w:cs="Times New Roman"/>
                    </w:rPr>
                  </w:pPr>
                  <w:r>
                    <w:rPr>
                      <w:rFonts w:hint="default" w:ascii="Times New Roman" w:hAnsi="Times New Roman" w:cs="Times New Roman"/>
                    </w:rPr>
                    <w:t>二级</w:t>
                  </w:r>
                </w:p>
              </w:tc>
              <w:tc>
                <w:tcPr>
                  <w:tcW w:w="1732" w:type="pct"/>
                  <w:vAlign w:val="center"/>
                </w:tcPr>
                <w:p>
                  <w:pPr>
                    <w:pStyle w:val="141"/>
                    <w:rPr>
                      <w:rFonts w:hint="default" w:ascii="Times New Roman" w:hAnsi="Times New Roman" w:cs="Times New Roman"/>
                    </w:rPr>
                  </w:pPr>
                  <w:r>
                    <w:rPr>
                      <w:rFonts w:hint="default" w:ascii="Times New Roman" w:hAnsi="Times New Roman" w:cs="Times New Roman"/>
                    </w:rPr>
                    <w:t>90＜V≤150</w:t>
                  </w:r>
                </w:p>
              </w:tc>
              <w:tc>
                <w:tcPr>
                  <w:tcW w:w="2268" w:type="pct"/>
                  <w:vAlign w:val="center"/>
                </w:tcPr>
                <w:p>
                  <w:pPr>
                    <w:pStyle w:val="141"/>
                    <w:rPr>
                      <w:rFonts w:hint="default" w:ascii="Times New Roman" w:hAnsi="Times New Roman" w:cs="Times New Roman"/>
                    </w:rPr>
                  </w:pPr>
                  <w:r>
                    <w:rPr>
                      <w:rFonts w:hint="default" w:ascii="Times New Roman" w:hAnsi="Times New Roman" w:cs="Times New Roman"/>
                    </w:rPr>
                    <w:t>V≤50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00" w:type="pct"/>
                  <w:vAlign w:val="center"/>
                </w:tcPr>
                <w:p>
                  <w:pPr>
                    <w:pStyle w:val="141"/>
                    <w:rPr>
                      <w:rFonts w:hint="default" w:ascii="Times New Roman" w:hAnsi="Times New Roman" w:cs="Times New Roman"/>
                    </w:rPr>
                  </w:pPr>
                  <w:r>
                    <w:rPr>
                      <w:rFonts w:hint="default" w:ascii="Times New Roman" w:hAnsi="Times New Roman" w:cs="Times New Roman"/>
                    </w:rPr>
                    <w:t>三级</w:t>
                  </w:r>
                </w:p>
              </w:tc>
              <w:tc>
                <w:tcPr>
                  <w:tcW w:w="1732" w:type="pct"/>
                  <w:vAlign w:val="center"/>
                </w:tcPr>
                <w:p>
                  <w:pPr>
                    <w:pStyle w:val="141"/>
                    <w:rPr>
                      <w:rFonts w:hint="default" w:ascii="Times New Roman" w:hAnsi="Times New Roman" w:cs="Times New Roman"/>
                    </w:rPr>
                  </w:pPr>
                  <w:r>
                    <w:rPr>
                      <w:rFonts w:hint="default" w:ascii="Times New Roman" w:hAnsi="Times New Roman" w:cs="Times New Roman"/>
                    </w:rPr>
                    <w:t>V≤90</w:t>
                  </w:r>
                </w:p>
              </w:tc>
              <w:tc>
                <w:tcPr>
                  <w:tcW w:w="2268" w:type="pct"/>
                  <w:vAlign w:val="center"/>
                </w:tcPr>
                <w:p>
                  <w:pPr>
                    <w:pStyle w:val="141"/>
                    <w:rPr>
                      <w:rFonts w:hint="default" w:ascii="Times New Roman" w:hAnsi="Times New Roman" w:cs="Times New Roman"/>
                    </w:rPr>
                  </w:pPr>
                  <w:r>
                    <w:rPr>
                      <w:rFonts w:hint="default" w:ascii="Times New Roman" w:hAnsi="Times New Roman" w:cs="Times New Roman"/>
                    </w:rPr>
                    <w:t>汽油罐V≤30，柴油罐≤50</w:t>
                  </w:r>
                </w:p>
              </w:tc>
            </w:tr>
          </w:tbl>
          <w:p>
            <w:pPr>
              <w:pStyle w:val="143"/>
              <w:spacing w:before="156"/>
              <w:rPr>
                <w:rFonts w:hint="default" w:ascii="Times New Roman" w:hAnsi="Times New Roman" w:cs="Times New Roman"/>
              </w:rPr>
            </w:pPr>
            <w:bookmarkStart w:id="5" w:name="_Ref45522521"/>
            <w:r>
              <w:rPr>
                <w:rFonts w:hint="default" w:ascii="Times New Roman" w:hAnsi="Times New Roman" w:cs="Times New Roman"/>
              </w:rPr>
              <w:t>表</w:t>
            </w:r>
            <w:bookmarkEnd w:id="5"/>
            <w:r>
              <w:rPr>
                <w:rFonts w:hint="eastAsia" w:cs="Times New Roman"/>
                <w:lang w:val="en-US" w:eastAsia="zh-CN"/>
              </w:rPr>
              <w:t xml:space="preserve">1-7  </w:t>
            </w:r>
            <w:r>
              <w:rPr>
                <w:rFonts w:hint="default" w:ascii="Times New Roman" w:hAnsi="Times New Roman" w:cs="Times New Roman"/>
              </w:rPr>
              <w:t xml:space="preserve"> 与《汽车加油加气站设计与施工规范》相符性分析</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6"/>
              <w:gridCol w:w="3449"/>
              <w:gridCol w:w="4565"/>
              <w:gridCol w:w="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序号</w:t>
                  </w:r>
                </w:p>
              </w:tc>
              <w:tc>
                <w:tcPr>
                  <w:tcW w:w="0" w:type="auto"/>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 xml:space="preserve">（ GB50156-2012，2014 年局部修订版） </w:t>
                  </w:r>
                </w:p>
              </w:tc>
              <w:tc>
                <w:tcPr>
                  <w:tcW w:w="0" w:type="auto"/>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本项目情况</w:t>
                  </w:r>
                </w:p>
              </w:tc>
              <w:tc>
                <w:tcPr>
                  <w:tcW w:w="0" w:type="auto"/>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9" w:hRule="atLeast"/>
                <w:jc w:val="center"/>
              </w:trPr>
              <w:tc>
                <w:tcPr>
                  <w:tcW w:w="0" w:type="auto"/>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1</w:t>
                  </w:r>
                </w:p>
              </w:tc>
              <w:tc>
                <w:tcPr>
                  <w:tcW w:w="0" w:type="auto"/>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加油加气站的站址选择，应符合城乡规划、环境保护和防火安全的要求，并应选在交通便利的地方。</w:t>
                  </w:r>
                </w:p>
              </w:tc>
              <w:tc>
                <w:tcPr>
                  <w:tcW w:w="0" w:type="auto"/>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关于雷州市雷高镇海东加油站用地地块规划用途的说明》（附件5），本项目用地符合《雷州市土地利用总体规划）》；项目按照环保要求安装油气回收系统、设置隔油池等环保设施，符合环境保护要求；项目选址与周边保护物满足防火安全要求（具体见</w:t>
                  </w:r>
                  <w:r>
                    <w:rPr>
                      <w:rFonts w:hint="default" w:ascii="Times New Roman" w:hAnsi="Times New Roman" w:cs="Times New Roman"/>
                    </w:rPr>
                    <w:fldChar w:fldCharType="begin"/>
                  </w:r>
                  <w:r>
                    <w:rPr>
                      <w:rFonts w:hint="default" w:ascii="Times New Roman" w:hAnsi="Times New Roman" w:cs="Times New Roman"/>
                    </w:rPr>
                    <w:instrText xml:space="preserve"> REF _Ref45443468 \h  \* MERGEFORMAT </w:instrText>
                  </w:r>
                  <w:r>
                    <w:rPr>
                      <w:rFonts w:hint="default" w:ascii="Times New Roman" w:hAnsi="Times New Roman" w:cs="Times New Roman"/>
                    </w:rPr>
                    <w:fldChar w:fldCharType="separate"/>
                  </w:r>
                  <w:r>
                    <w:rPr>
                      <w:rFonts w:hint="default" w:ascii="Times New Roman" w:hAnsi="Times New Roman" w:cs="Times New Roman"/>
                    </w:rPr>
                    <w:t>表 8</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REF _Ref45444241 \h  \* MERGEFORMAT </w:instrText>
                  </w:r>
                  <w:r>
                    <w:rPr>
                      <w:rFonts w:hint="default" w:ascii="Times New Roman" w:hAnsi="Times New Roman" w:cs="Times New Roman"/>
                    </w:rPr>
                    <w:fldChar w:fldCharType="separate"/>
                  </w:r>
                  <w:r>
                    <w:rPr>
                      <w:rFonts w:hint="default" w:ascii="Times New Roman" w:hAnsi="Times New Roman" w:cs="Times New Roman"/>
                    </w:rPr>
                    <w:t>表 9</w:t>
                  </w:r>
                  <w:r>
                    <w:rPr>
                      <w:rFonts w:hint="default" w:ascii="Times New Roman" w:hAnsi="Times New Roman" w:cs="Times New Roman"/>
                    </w:rPr>
                    <w:fldChar w:fldCharType="end"/>
                  </w:r>
                  <w:r>
                    <w:rPr>
                      <w:rFonts w:hint="default" w:ascii="Times New Roman" w:hAnsi="Times New Roman" w:cs="Times New Roman"/>
                    </w:rPr>
                    <w:t>）；项目所在区域交通便利，符合要求。</w:t>
                  </w:r>
                </w:p>
              </w:tc>
              <w:tc>
                <w:tcPr>
                  <w:tcW w:w="0" w:type="auto"/>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jc w:val="center"/>
              </w:trPr>
              <w:tc>
                <w:tcPr>
                  <w:tcW w:w="0" w:type="auto"/>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2</w:t>
                  </w:r>
                </w:p>
              </w:tc>
              <w:tc>
                <w:tcPr>
                  <w:tcW w:w="0" w:type="auto"/>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在城市建成区不宜建一级加油站、一级加气站、一级加油加气合建站、CNG 加气母站。在城市中心区不应建一级加油站、一级加气站、一级加油加气合建站、CNG加气母站。</w:t>
                  </w:r>
                </w:p>
              </w:tc>
              <w:tc>
                <w:tcPr>
                  <w:tcW w:w="0" w:type="auto"/>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本项目不属于一级加油站、一级加气站、一级加油加气合建站、CNG加气母站。</w:t>
                  </w:r>
                </w:p>
              </w:tc>
              <w:tc>
                <w:tcPr>
                  <w:tcW w:w="0" w:type="auto"/>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3</w:t>
                  </w:r>
                </w:p>
              </w:tc>
              <w:tc>
                <w:tcPr>
                  <w:tcW w:w="0" w:type="auto"/>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城市建成区内的加油加气站，宜靠近城市道路，但不宜选在城市干道的交叉路口附近。</w:t>
                  </w:r>
                </w:p>
              </w:tc>
              <w:tc>
                <w:tcPr>
                  <w:tcW w:w="0" w:type="auto"/>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项目位于雷州市雷高镇雷调公路东侧（N 20°48'43.89"，E 110°11'25.75"），不属于城市建成区。</w:t>
                  </w:r>
                </w:p>
              </w:tc>
              <w:tc>
                <w:tcPr>
                  <w:tcW w:w="0" w:type="auto"/>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jc w:val="center"/>
              </w:trPr>
              <w:tc>
                <w:tcPr>
                  <w:tcW w:w="0" w:type="auto"/>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4</w:t>
                  </w:r>
                </w:p>
              </w:tc>
              <w:tc>
                <w:tcPr>
                  <w:tcW w:w="0" w:type="auto"/>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加油站、加油加气合建站的汽油设备与站外建{构}筑物的安全间距，不应小于表4.0.4（GB50156-2012，2014年局部修订版中表格序号）中规定。</w:t>
                  </w:r>
                </w:p>
              </w:tc>
              <w:tc>
                <w:tcPr>
                  <w:tcW w:w="0" w:type="auto"/>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本项目汽油设备与站外建{构}筑物的安全间距均大于表</w:t>
                  </w:r>
                  <w:r>
                    <w:rPr>
                      <w:rFonts w:hint="default" w:ascii="Times New Roman" w:hAnsi="Times New Roman" w:eastAsia="等线" w:cs="Times New Roman"/>
                    </w:rPr>
                    <w:t>4.0.4</w:t>
                  </w:r>
                  <w:r>
                    <w:rPr>
                      <w:rFonts w:hint="default" w:ascii="Times New Roman" w:hAnsi="Times New Roman" w:cs="Times New Roman"/>
                    </w:rPr>
                    <w:t>（</w:t>
                  </w:r>
                  <w:r>
                    <w:rPr>
                      <w:rFonts w:hint="default" w:ascii="Times New Roman" w:hAnsi="Times New Roman" w:eastAsia="等线" w:cs="Times New Roman"/>
                    </w:rPr>
                    <w:t>GB50156-2012</w:t>
                  </w:r>
                  <w:r>
                    <w:rPr>
                      <w:rFonts w:hint="default" w:ascii="Times New Roman" w:hAnsi="Times New Roman" w:cs="Times New Roman"/>
                    </w:rPr>
                    <w:t>，</w:t>
                  </w:r>
                  <w:r>
                    <w:rPr>
                      <w:rFonts w:hint="default" w:ascii="Times New Roman" w:hAnsi="Times New Roman" w:eastAsia="等线" w:cs="Times New Roman"/>
                    </w:rPr>
                    <w:t>2014</w:t>
                  </w:r>
                  <w:r>
                    <w:rPr>
                      <w:rFonts w:hint="default" w:ascii="Times New Roman" w:hAnsi="Times New Roman" w:cs="Times New Roman"/>
                    </w:rPr>
                    <w:t>年局部修订版中表格序号）中的规定，具体见</w:t>
                  </w:r>
                  <w:r>
                    <w:rPr>
                      <w:rFonts w:hint="default" w:ascii="Times New Roman" w:hAnsi="Times New Roman" w:cs="Times New Roman"/>
                    </w:rPr>
                    <w:fldChar w:fldCharType="begin"/>
                  </w:r>
                  <w:r>
                    <w:rPr>
                      <w:rFonts w:hint="default" w:ascii="Times New Roman" w:hAnsi="Times New Roman" w:cs="Times New Roman"/>
                    </w:rPr>
                    <w:instrText xml:space="preserve"> REF _Ref45443468 \h  \* MERGEFORMAT </w:instrText>
                  </w:r>
                  <w:r>
                    <w:rPr>
                      <w:rFonts w:hint="default" w:ascii="Times New Roman" w:hAnsi="Times New Roman" w:cs="Times New Roman"/>
                    </w:rPr>
                    <w:fldChar w:fldCharType="separate"/>
                  </w:r>
                  <w:r>
                    <w:rPr>
                      <w:rFonts w:hint="default" w:ascii="Times New Roman" w:hAnsi="Times New Roman" w:cs="Times New Roman"/>
                    </w:rPr>
                    <w:t>表 8</w:t>
                  </w:r>
                  <w:r>
                    <w:rPr>
                      <w:rFonts w:hint="default" w:ascii="Times New Roman" w:hAnsi="Times New Roman" w:cs="Times New Roman"/>
                    </w:rPr>
                    <w:fldChar w:fldCharType="end"/>
                  </w:r>
                  <w:r>
                    <w:rPr>
                      <w:rFonts w:hint="default" w:ascii="Times New Roman" w:hAnsi="Times New Roman" w:cs="Times New Roman"/>
                    </w:rPr>
                    <w:t>。</w:t>
                  </w:r>
                </w:p>
              </w:tc>
              <w:tc>
                <w:tcPr>
                  <w:tcW w:w="0" w:type="auto"/>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0" w:type="auto"/>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5</w:t>
                  </w:r>
                </w:p>
              </w:tc>
              <w:tc>
                <w:tcPr>
                  <w:tcW w:w="0" w:type="auto"/>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加油站、加油加气合建站的柴油设备与站外建{构}筑物的安全间距，不应小于表4.0.5（GB50156-2012，2014年局部修订版中表格序号）中规定。</w:t>
                  </w:r>
                </w:p>
              </w:tc>
              <w:tc>
                <w:tcPr>
                  <w:tcW w:w="0" w:type="auto"/>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本项目柴油设备与站外建{构}筑物的安全间距均大于表 4.0.5（GB50156-2012，2014年局部修订版中表格序号）中的规定，具体见</w:t>
                  </w:r>
                  <w:r>
                    <w:rPr>
                      <w:rFonts w:hint="default" w:ascii="Times New Roman" w:hAnsi="Times New Roman" w:cs="Times New Roman"/>
                    </w:rPr>
                    <w:fldChar w:fldCharType="begin"/>
                  </w:r>
                  <w:r>
                    <w:rPr>
                      <w:rFonts w:hint="default" w:ascii="Times New Roman" w:hAnsi="Times New Roman" w:cs="Times New Roman"/>
                    </w:rPr>
                    <w:instrText xml:space="preserve"> REF _Ref45444241 \h  \* MERGEFORMAT </w:instrText>
                  </w:r>
                  <w:r>
                    <w:rPr>
                      <w:rFonts w:hint="default" w:ascii="Times New Roman" w:hAnsi="Times New Roman" w:cs="Times New Roman"/>
                    </w:rPr>
                    <w:fldChar w:fldCharType="separate"/>
                  </w:r>
                  <w:r>
                    <w:rPr>
                      <w:rFonts w:hint="default" w:ascii="Times New Roman" w:hAnsi="Times New Roman" w:cs="Times New Roman"/>
                    </w:rPr>
                    <w:t>表 9</w:t>
                  </w:r>
                  <w:r>
                    <w:rPr>
                      <w:rFonts w:hint="default" w:ascii="Times New Roman" w:hAnsi="Times New Roman" w:cs="Times New Roman"/>
                    </w:rPr>
                    <w:fldChar w:fldCharType="end"/>
                  </w:r>
                  <w:r>
                    <w:rPr>
                      <w:rFonts w:hint="default" w:ascii="Times New Roman" w:hAnsi="Times New Roman" w:cs="Times New Roman"/>
                    </w:rPr>
                    <w:t>。</w:t>
                  </w:r>
                </w:p>
              </w:tc>
              <w:tc>
                <w:tcPr>
                  <w:tcW w:w="0" w:type="auto"/>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6</w:t>
                  </w:r>
                </w:p>
              </w:tc>
              <w:tc>
                <w:tcPr>
                  <w:tcW w:w="0" w:type="auto"/>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架空电力线路不应跨越加油加气站的加油加气作业区。架空通信线路不应跨越加气站的加气作业区。</w:t>
                  </w:r>
                </w:p>
              </w:tc>
              <w:tc>
                <w:tcPr>
                  <w:tcW w:w="0" w:type="auto"/>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项目加油作业区无架空电力线路和架空通信线路穿越。</w:t>
                  </w:r>
                </w:p>
              </w:tc>
              <w:tc>
                <w:tcPr>
                  <w:tcW w:w="0" w:type="auto"/>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符合</w:t>
                  </w:r>
                </w:p>
              </w:tc>
            </w:tr>
          </w:tbl>
          <w:p>
            <w:pPr>
              <w:pStyle w:val="143"/>
              <w:spacing w:before="156"/>
              <w:rPr>
                <w:rFonts w:hint="default" w:ascii="Times New Roman" w:hAnsi="Times New Roman" w:cs="Times New Roman"/>
              </w:rPr>
            </w:pPr>
            <w:bookmarkStart w:id="6" w:name="_Ref45443468"/>
            <w:r>
              <w:rPr>
                <w:rFonts w:hint="default" w:ascii="Times New Roman" w:hAnsi="Times New Roman" w:cs="Times New Roman"/>
              </w:rPr>
              <w:t>表</w:t>
            </w:r>
            <w:bookmarkEnd w:id="6"/>
            <w:r>
              <w:rPr>
                <w:rFonts w:hint="eastAsia" w:cs="Times New Roman"/>
                <w:lang w:val="en-US" w:eastAsia="zh-CN"/>
              </w:rPr>
              <w:t xml:space="preserve">1-8  </w:t>
            </w:r>
            <w:r>
              <w:rPr>
                <w:rFonts w:hint="default" w:ascii="Times New Roman" w:hAnsi="Times New Roman" w:cs="Times New Roman"/>
              </w:rPr>
              <w:t>本项目汽油设备与站外建（构）筑物安全间距检查表单位：m</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2261"/>
              <w:gridCol w:w="651"/>
              <w:gridCol w:w="652"/>
              <w:gridCol w:w="485"/>
              <w:gridCol w:w="652"/>
              <w:gridCol w:w="652"/>
              <w:gridCol w:w="485"/>
              <w:gridCol w:w="652"/>
              <w:gridCol w:w="652"/>
              <w:gridCol w:w="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2" w:type="dxa"/>
                  <w:gridSpan w:val="2"/>
                  <w:vMerge w:val="restart"/>
                  <w:vAlign w:val="center"/>
                </w:tcPr>
                <w:p>
                  <w:pPr>
                    <w:pStyle w:val="141"/>
                    <w:rPr>
                      <w:rFonts w:hint="default" w:ascii="Times New Roman" w:hAnsi="Times New Roman" w:cs="Times New Roman"/>
                    </w:rPr>
                  </w:pPr>
                  <w:r>
                    <w:rPr>
                      <w:rFonts w:hint="default" w:ascii="Times New Roman" w:hAnsi="Times New Roman" w:cs="Times New Roman"/>
                    </w:rPr>
                    <w:t>站外建（构）筑物</w:t>
                  </w:r>
                </w:p>
              </w:tc>
              <w:tc>
                <w:tcPr>
                  <w:tcW w:w="5366" w:type="dxa"/>
                  <w:gridSpan w:val="9"/>
                  <w:vAlign w:val="center"/>
                </w:tcPr>
                <w:p>
                  <w:pPr>
                    <w:pStyle w:val="141"/>
                    <w:rPr>
                      <w:rFonts w:hint="default" w:ascii="Times New Roman" w:hAnsi="Times New Roman" w:cs="Times New Roman"/>
                    </w:rPr>
                  </w:pPr>
                  <w:r>
                    <w:rPr>
                      <w:rFonts w:hint="default" w:ascii="Times New Roman" w:hAnsi="Times New Roman" w:cs="Times New Roman"/>
                    </w:rPr>
                    <w:t>站内汽油设备（有卸油和加油油气回收系统）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2" w:type="dxa"/>
                  <w:gridSpan w:val="2"/>
                  <w:vMerge w:val="continue"/>
                  <w:vAlign w:val="center"/>
                </w:tcPr>
                <w:p>
                  <w:pPr>
                    <w:pStyle w:val="141"/>
                    <w:rPr>
                      <w:rFonts w:hint="default" w:ascii="Times New Roman" w:hAnsi="Times New Roman" w:cs="Times New Roman"/>
                    </w:rPr>
                  </w:pPr>
                </w:p>
              </w:tc>
              <w:tc>
                <w:tcPr>
                  <w:tcW w:w="1788" w:type="dxa"/>
                  <w:gridSpan w:val="3"/>
                  <w:vAlign w:val="center"/>
                </w:tcPr>
                <w:p>
                  <w:pPr>
                    <w:pStyle w:val="141"/>
                    <w:rPr>
                      <w:rFonts w:hint="default" w:ascii="Times New Roman" w:hAnsi="Times New Roman" w:cs="Times New Roman"/>
                    </w:rPr>
                  </w:pPr>
                  <w:r>
                    <w:rPr>
                      <w:rFonts w:hint="default" w:ascii="Times New Roman" w:hAnsi="Times New Roman" w:cs="Times New Roman"/>
                    </w:rPr>
                    <w:t>埋地油罐（三级站））</w:t>
                  </w:r>
                </w:p>
              </w:tc>
              <w:tc>
                <w:tcPr>
                  <w:tcW w:w="1789" w:type="dxa"/>
                  <w:gridSpan w:val="3"/>
                  <w:vAlign w:val="center"/>
                </w:tcPr>
                <w:p>
                  <w:pPr>
                    <w:pStyle w:val="141"/>
                    <w:rPr>
                      <w:rFonts w:hint="default" w:ascii="Times New Roman" w:hAnsi="Times New Roman" w:cs="Times New Roman"/>
                    </w:rPr>
                  </w:pPr>
                  <w:r>
                    <w:rPr>
                      <w:rFonts w:hint="default" w:ascii="Times New Roman" w:hAnsi="Times New Roman" w:cs="Times New Roman"/>
                    </w:rPr>
                    <w:t>通气管管口</w:t>
                  </w:r>
                </w:p>
              </w:tc>
              <w:tc>
                <w:tcPr>
                  <w:tcW w:w="1789" w:type="dxa"/>
                  <w:gridSpan w:val="3"/>
                  <w:vAlign w:val="center"/>
                </w:tcPr>
                <w:p>
                  <w:pPr>
                    <w:pStyle w:val="141"/>
                    <w:rPr>
                      <w:rFonts w:hint="default" w:ascii="Times New Roman" w:hAnsi="Times New Roman" w:cs="Times New Roman"/>
                    </w:rPr>
                  </w:pPr>
                  <w:r>
                    <w:rPr>
                      <w:rFonts w:hint="default" w:ascii="Times New Roman" w:hAnsi="Times New Roman" w:cs="Times New Roman"/>
                    </w:rPr>
                    <w:t>加油机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2" w:type="dxa"/>
                  <w:gridSpan w:val="2"/>
                  <w:vMerge w:val="continue"/>
                  <w:vAlign w:val="center"/>
                </w:tcPr>
                <w:p>
                  <w:pPr>
                    <w:pStyle w:val="141"/>
                    <w:rPr>
                      <w:rFonts w:hint="default" w:ascii="Times New Roman" w:hAnsi="Times New Roman" w:cs="Times New Roman"/>
                    </w:rPr>
                  </w:pPr>
                </w:p>
              </w:tc>
              <w:tc>
                <w:tcPr>
                  <w:tcW w:w="651" w:type="dxa"/>
                  <w:vAlign w:val="center"/>
                </w:tcPr>
                <w:p>
                  <w:pPr>
                    <w:pStyle w:val="141"/>
                    <w:rPr>
                      <w:rFonts w:hint="default" w:ascii="Times New Roman" w:hAnsi="Times New Roman" w:cs="Times New Roman"/>
                    </w:rPr>
                  </w:pPr>
                  <w:r>
                    <w:rPr>
                      <w:rFonts w:hint="default" w:ascii="Times New Roman" w:hAnsi="Times New Roman" w:cs="Times New Roman"/>
                    </w:rPr>
                    <w:t>标准值</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实际值</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结果</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标准值</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实际值</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结果</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标准值</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实际值</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2" w:type="dxa"/>
                  <w:gridSpan w:val="2"/>
                  <w:vAlign w:val="center"/>
                </w:tcPr>
                <w:p>
                  <w:pPr>
                    <w:pStyle w:val="141"/>
                    <w:rPr>
                      <w:rFonts w:hint="default" w:ascii="Times New Roman" w:hAnsi="Times New Roman" w:cs="Times New Roman"/>
                    </w:rPr>
                  </w:pPr>
                  <w:r>
                    <w:rPr>
                      <w:rFonts w:hint="default" w:ascii="Times New Roman" w:hAnsi="Times New Roman" w:cs="Times New Roman"/>
                    </w:rPr>
                    <w:t>重要公共建筑物</w:t>
                  </w:r>
                </w:p>
              </w:tc>
              <w:tc>
                <w:tcPr>
                  <w:tcW w:w="651" w:type="dxa"/>
                  <w:vAlign w:val="center"/>
                </w:tcPr>
                <w:p>
                  <w:pPr>
                    <w:pStyle w:val="141"/>
                    <w:rPr>
                      <w:rFonts w:hint="default" w:ascii="Times New Roman" w:hAnsi="Times New Roman" w:cs="Times New Roman"/>
                    </w:rPr>
                  </w:pPr>
                  <w:r>
                    <w:rPr>
                      <w:rFonts w:hint="default" w:ascii="Times New Roman" w:hAnsi="Times New Roman" w:cs="Times New Roman"/>
                    </w:rPr>
                    <w:t>35</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35</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35</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2" w:type="dxa"/>
                  <w:gridSpan w:val="2"/>
                  <w:vAlign w:val="center"/>
                </w:tcPr>
                <w:p>
                  <w:pPr>
                    <w:pStyle w:val="141"/>
                    <w:rPr>
                      <w:rFonts w:hint="default" w:ascii="Times New Roman" w:hAnsi="Times New Roman" w:cs="Times New Roman"/>
                    </w:rPr>
                  </w:pPr>
                  <w:r>
                    <w:rPr>
                      <w:rFonts w:hint="default" w:ascii="Times New Roman" w:hAnsi="Times New Roman" w:cs="Times New Roman"/>
                    </w:rPr>
                    <w:t>明火地点或散发火花地点</w:t>
                  </w:r>
                </w:p>
              </w:tc>
              <w:tc>
                <w:tcPr>
                  <w:tcW w:w="651" w:type="dxa"/>
                  <w:vAlign w:val="center"/>
                </w:tcPr>
                <w:p>
                  <w:pPr>
                    <w:pStyle w:val="141"/>
                    <w:rPr>
                      <w:rFonts w:hint="default" w:ascii="Times New Roman" w:hAnsi="Times New Roman" w:cs="Times New Roman"/>
                    </w:rPr>
                  </w:pPr>
                  <w:r>
                    <w:rPr>
                      <w:rFonts w:hint="default" w:ascii="Times New Roman" w:hAnsi="Times New Roman" w:cs="Times New Roman"/>
                    </w:rPr>
                    <w:t>12.5</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12.5</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12.5</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1" w:type="dxa"/>
                  <w:vMerge w:val="restart"/>
                  <w:vAlign w:val="center"/>
                </w:tcPr>
                <w:p>
                  <w:pPr>
                    <w:pStyle w:val="141"/>
                    <w:rPr>
                      <w:rFonts w:hint="default" w:ascii="Times New Roman" w:hAnsi="Times New Roman" w:cs="Times New Roman"/>
                    </w:rPr>
                  </w:pPr>
                  <w:r>
                    <w:rPr>
                      <w:rFonts w:hint="default" w:ascii="Times New Roman" w:hAnsi="Times New Roman" w:cs="Times New Roman"/>
                    </w:rPr>
                    <w:t>民用建筑保护类别</w:t>
                  </w:r>
                </w:p>
              </w:tc>
              <w:tc>
                <w:tcPr>
                  <w:tcW w:w="2261" w:type="dxa"/>
                  <w:vAlign w:val="center"/>
                </w:tcPr>
                <w:p>
                  <w:pPr>
                    <w:pStyle w:val="141"/>
                    <w:rPr>
                      <w:rFonts w:hint="default" w:ascii="Times New Roman" w:hAnsi="Times New Roman" w:cs="Times New Roman"/>
                    </w:rPr>
                  </w:pPr>
                  <w:r>
                    <w:rPr>
                      <w:rFonts w:hint="default" w:ascii="Times New Roman" w:hAnsi="Times New Roman" w:cs="Times New Roman"/>
                    </w:rPr>
                    <w:t>一类保护物</w:t>
                  </w:r>
                </w:p>
              </w:tc>
              <w:tc>
                <w:tcPr>
                  <w:tcW w:w="651" w:type="dxa"/>
                  <w:vAlign w:val="center"/>
                </w:tcPr>
                <w:p>
                  <w:pPr>
                    <w:pStyle w:val="141"/>
                    <w:rPr>
                      <w:rFonts w:hint="default" w:ascii="Times New Roman" w:hAnsi="Times New Roman" w:cs="Times New Roman"/>
                    </w:rPr>
                  </w:pPr>
                  <w:r>
                    <w:rPr>
                      <w:rFonts w:hint="default" w:ascii="Times New Roman" w:hAnsi="Times New Roman" w:cs="Times New Roman"/>
                    </w:rPr>
                    <w:t>11</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11</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11</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1" w:type="dxa"/>
                  <w:vMerge w:val="continue"/>
                  <w:vAlign w:val="center"/>
                </w:tcPr>
                <w:p>
                  <w:pPr>
                    <w:pStyle w:val="141"/>
                    <w:rPr>
                      <w:rFonts w:hint="default" w:ascii="Times New Roman" w:hAnsi="Times New Roman" w:cs="Times New Roman"/>
                    </w:rPr>
                  </w:pPr>
                </w:p>
              </w:tc>
              <w:tc>
                <w:tcPr>
                  <w:tcW w:w="2261" w:type="dxa"/>
                  <w:vAlign w:val="center"/>
                </w:tcPr>
                <w:p>
                  <w:pPr>
                    <w:pStyle w:val="141"/>
                    <w:rPr>
                      <w:rFonts w:hint="default" w:ascii="Times New Roman" w:hAnsi="Times New Roman" w:cs="Times New Roman"/>
                    </w:rPr>
                  </w:pPr>
                  <w:r>
                    <w:rPr>
                      <w:rFonts w:hint="default" w:ascii="Times New Roman" w:hAnsi="Times New Roman" w:cs="Times New Roman"/>
                    </w:rPr>
                    <w:t>二类保护物</w:t>
                  </w:r>
                </w:p>
              </w:tc>
              <w:tc>
                <w:tcPr>
                  <w:tcW w:w="651" w:type="dxa"/>
                  <w:vAlign w:val="center"/>
                </w:tcPr>
                <w:p>
                  <w:pPr>
                    <w:pStyle w:val="141"/>
                    <w:rPr>
                      <w:rFonts w:hint="default" w:ascii="Times New Roman" w:hAnsi="Times New Roman" w:cs="Times New Roman"/>
                    </w:rPr>
                  </w:pPr>
                  <w:r>
                    <w:rPr>
                      <w:rFonts w:hint="default" w:ascii="Times New Roman" w:hAnsi="Times New Roman" w:cs="Times New Roman"/>
                    </w:rPr>
                    <w:t>8.5</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8.5</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8.5</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1" w:type="dxa"/>
                  <w:vMerge w:val="continue"/>
                  <w:vAlign w:val="center"/>
                </w:tcPr>
                <w:p>
                  <w:pPr>
                    <w:pStyle w:val="141"/>
                    <w:rPr>
                      <w:rFonts w:hint="default" w:ascii="Times New Roman" w:hAnsi="Times New Roman" w:cs="Times New Roman"/>
                    </w:rPr>
                  </w:pPr>
                </w:p>
              </w:tc>
              <w:tc>
                <w:tcPr>
                  <w:tcW w:w="2261" w:type="dxa"/>
                  <w:vAlign w:val="center"/>
                </w:tcPr>
                <w:p>
                  <w:pPr>
                    <w:pStyle w:val="141"/>
                    <w:rPr>
                      <w:rFonts w:hint="default" w:ascii="Times New Roman" w:hAnsi="Times New Roman" w:cs="Times New Roman"/>
                    </w:rPr>
                  </w:pPr>
                  <w:r>
                    <w:rPr>
                      <w:rFonts w:hint="default" w:ascii="Times New Roman" w:hAnsi="Times New Roman" w:cs="Times New Roman"/>
                    </w:rPr>
                    <w:t>三类保护物（北面民居）</w:t>
                  </w:r>
                </w:p>
              </w:tc>
              <w:tc>
                <w:tcPr>
                  <w:tcW w:w="651" w:type="dxa"/>
                  <w:vAlign w:val="center"/>
                </w:tcPr>
                <w:p>
                  <w:pPr>
                    <w:pStyle w:val="141"/>
                    <w:rPr>
                      <w:rFonts w:hint="default" w:ascii="Times New Roman" w:hAnsi="Times New Roman" w:cs="Times New Roman"/>
                    </w:rPr>
                  </w:pPr>
                  <w:r>
                    <w:rPr>
                      <w:rFonts w:hint="default" w:ascii="Times New Roman" w:hAnsi="Times New Roman" w:cs="Times New Roman"/>
                    </w:rPr>
                    <w:t>7</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40.4</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符合</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7</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39.9</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符合</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7</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41.9</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2" w:type="dxa"/>
                  <w:gridSpan w:val="2"/>
                  <w:vAlign w:val="center"/>
                </w:tcPr>
                <w:p>
                  <w:pPr>
                    <w:pStyle w:val="141"/>
                    <w:rPr>
                      <w:rFonts w:hint="default" w:ascii="Times New Roman" w:hAnsi="Times New Roman" w:cs="Times New Roman"/>
                    </w:rPr>
                  </w:pPr>
                  <w:r>
                    <w:rPr>
                      <w:rFonts w:hint="default" w:ascii="Times New Roman" w:hAnsi="Times New Roman" w:cs="Times New Roman"/>
                    </w:rPr>
                    <w:t>甲、乙类物品生产厂房、库房和甲、乙类液体储罐</w:t>
                  </w:r>
                </w:p>
              </w:tc>
              <w:tc>
                <w:tcPr>
                  <w:tcW w:w="651" w:type="dxa"/>
                  <w:vAlign w:val="center"/>
                </w:tcPr>
                <w:p>
                  <w:pPr>
                    <w:pStyle w:val="141"/>
                    <w:rPr>
                      <w:rFonts w:hint="default" w:ascii="Times New Roman" w:hAnsi="Times New Roman" w:cs="Times New Roman"/>
                    </w:rPr>
                  </w:pPr>
                  <w:r>
                    <w:rPr>
                      <w:rFonts w:hint="default" w:ascii="Times New Roman" w:hAnsi="Times New Roman" w:cs="Times New Roman"/>
                    </w:rPr>
                    <w:t>12.5</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12.5</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12.5</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2" w:type="dxa"/>
                  <w:gridSpan w:val="2"/>
                  <w:vAlign w:val="center"/>
                </w:tcPr>
                <w:p>
                  <w:pPr>
                    <w:pStyle w:val="141"/>
                    <w:rPr>
                      <w:rFonts w:hint="default" w:ascii="Times New Roman" w:hAnsi="Times New Roman" w:cs="Times New Roman"/>
                    </w:rPr>
                  </w:pPr>
                  <w:r>
                    <w:rPr>
                      <w:rFonts w:hint="default" w:ascii="Times New Roman" w:hAnsi="Times New Roman" w:cs="Times New Roman"/>
                    </w:rPr>
                    <w:t>丙、丁、戊类物品生产厂房、库房和丙类液体储罐以及容积不大于50m</w:t>
                  </w:r>
                  <w:r>
                    <w:rPr>
                      <w:rFonts w:hint="default" w:ascii="Times New Roman" w:hAnsi="Times New Roman" w:cs="Times New Roman"/>
                      <w:vertAlign w:val="superscript"/>
                    </w:rPr>
                    <w:t>3</w:t>
                  </w:r>
                  <w:r>
                    <w:rPr>
                      <w:rFonts w:hint="default" w:ascii="Times New Roman" w:hAnsi="Times New Roman" w:cs="Times New Roman"/>
                    </w:rPr>
                    <w:t>的埋地甲乙类液体储罐</w:t>
                  </w:r>
                </w:p>
              </w:tc>
              <w:tc>
                <w:tcPr>
                  <w:tcW w:w="651" w:type="dxa"/>
                  <w:vAlign w:val="center"/>
                </w:tcPr>
                <w:p>
                  <w:pPr>
                    <w:pStyle w:val="141"/>
                    <w:rPr>
                      <w:rFonts w:hint="default" w:ascii="Times New Roman" w:hAnsi="Times New Roman" w:cs="Times New Roman"/>
                    </w:rPr>
                  </w:pPr>
                  <w:r>
                    <w:rPr>
                      <w:rFonts w:hint="default" w:ascii="Times New Roman" w:hAnsi="Times New Roman" w:cs="Times New Roman"/>
                    </w:rPr>
                    <w:t>10.5</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10.5</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10.5</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2" w:type="dxa"/>
                  <w:gridSpan w:val="2"/>
                  <w:vAlign w:val="center"/>
                </w:tcPr>
                <w:p>
                  <w:pPr>
                    <w:pStyle w:val="141"/>
                    <w:rPr>
                      <w:rFonts w:hint="default" w:ascii="Times New Roman" w:hAnsi="Times New Roman" w:cs="Times New Roman"/>
                    </w:rPr>
                  </w:pPr>
                  <w:r>
                    <w:rPr>
                      <w:rFonts w:hint="default" w:ascii="Times New Roman" w:hAnsi="Times New Roman" w:cs="Times New Roman"/>
                    </w:rPr>
                    <w:t>室外配电站</w:t>
                  </w:r>
                </w:p>
              </w:tc>
              <w:tc>
                <w:tcPr>
                  <w:tcW w:w="651" w:type="dxa"/>
                  <w:vAlign w:val="center"/>
                </w:tcPr>
                <w:p>
                  <w:pPr>
                    <w:pStyle w:val="141"/>
                    <w:rPr>
                      <w:rFonts w:hint="default" w:ascii="Times New Roman" w:hAnsi="Times New Roman" w:cs="Times New Roman"/>
                    </w:rPr>
                  </w:pPr>
                  <w:r>
                    <w:rPr>
                      <w:rFonts w:hint="default" w:ascii="Times New Roman" w:hAnsi="Times New Roman" w:cs="Times New Roman"/>
                    </w:rPr>
                    <w:t>12.5</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12.5</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12.5</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2" w:type="dxa"/>
                  <w:gridSpan w:val="2"/>
                  <w:vAlign w:val="center"/>
                </w:tcPr>
                <w:p>
                  <w:pPr>
                    <w:pStyle w:val="141"/>
                    <w:rPr>
                      <w:rFonts w:hint="default" w:ascii="Times New Roman" w:hAnsi="Times New Roman" w:cs="Times New Roman"/>
                    </w:rPr>
                  </w:pPr>
                  <w:r>
                    <w:rPr>
                      <w:rFonts w:hint="default" w:ascii="Times New Roman" w:hAnsi="Times New Roman" w:cs="Times New Roman"/>
                    </w:rPr>
                    <w:t>铁路</w:t>
                  </w:r>
                </w:p>
              </w:tc>
              <w:tc>
                <w:tcPr>
                  <w:tcW w:w="651" w:type="dxa"/>
                  <w:vAlign w:val="center"/>
                </w:tcPr>
                <w:p>
                  <w:pPr>
                    <w:pStyle w:val="141"/>
                    <w:rPr>
                      <w:rFonts w:hint="default" w:ascii="Times New Roman" w:hAnsi="Times New Roman" w:cs="Times New Roman"/>
                    </w:rPr>
                  </w:pPr>
                  <w:r>
                    <w:rPr>
                      <w:rFonts w:hint="default" w:ascii="Times New Roman" w:hAnsi="Times New Roman" w:cs="Times New Roman"/>
                    </w:rPr>
                    <w:t>15.5</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15.5</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15.5</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2" w:type="dxa"/>
                  <w:gridSpan w:val="2"/>
                  <w:vAlign w:val="center"/>
                </w:tcPr>
                <w:p>
                  <w:pPr>
                    <w:pStyle w:val="141"/>
                    <w:rPr>
                      <w:rFonts w:hint="default" w:ascii="Times New Roman" w:hAnsi="Times New Roman" w:cs="Times New Roman"/>
                    </w:rPr>
                  </w:pPr>
                  <w:r>
                    <w:rPr>
                      <w:rFonts w:hint="default" w:ascii="Times New Roman" w:hAnsi="Times New Roman" w:cs="Times New Roman"/>
                    </w:rPr>
                    <w:t>快速路、主干路</w:t>
                  </w:r>
                </w:p>
              </w:tc>
              <w:tc>
                <w:tcPr>
                  <w:tcW w:w="651" w:type="dxa"/>
                  <w:vAlign w:val="center"/>
                </w:tcPr>
                <w:p>
                  <w:pPr>
                    <w:pStyle w:val="141"/>
                    <w:rPr>
                      <w:rFonts w:hint="default" w:ascii="Times New Roman" w:hAnsi="Times New Roman" w:cs="Times New Roman"/>
                    </w:rPr>
                  </w:pPr>
                  <w:r>
                    <w:rPr>
                      <w:rFonts w:hint="default" w:ascii="Times New Roman" w:hAnsi="Times New Roman" w:cs="Times New Roman"/>
                    </w:rPr>
                    <w:t>5.5</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5.5</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5.5</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2" w:type="dxa"/>
                  <w:gridSpan w:val="2"/>
                  <w:vAlign w:val="center"/>
                </w:tcPr>
                <w:p>
                  <w:pPr>
                    <w:pStyle w:val="141"/>
                    <w:rPr>
                      <w:rFonts w:hint="default" w:ascii="Times New Roman" w:hAnsi="Times New Roman" w:cs="Times New Roman"/>
                    </w:rPr>
                  </w:pPr>
                  <w:r>
                    <w:rPr>
                      <w:rFonts w:hint="default" w:ascii="Times New Roman" w:hAnsi="Times New Roman" w:cs="Times New Roman"/>
                    </w:rPr>
                    <w:t>次干路、支干路（X691县道）</w:t>
                  </w:r>
                </w:p>
              </w:tc>
              <w:tc>
                <w:tcPr>
                  <w:tcW w:w="651" w:type="dxa"/>
                  <w:vAlign w:val="center"/>
                </w:tcPr>
                <w:p>
                  <w:pPr>
                    <w:pStyle w:val="141"/>
                    <w:rPr>
                      <w:rFonts w:hint="default" w:ascii="Times New Roman" w:hAnsi="Times New Roman" w:cs="Times New Roman"/>
                    </w:rPr>
                  </w:pPr>
                  <w:r>
                    <w:rPr>
                      <w:rFonts w:hint="default" w:ascii="Times New Roman" w:hAnsi="Times New Roman" w:cs="Times New Roman"/>
                    </w:rPr>
                    <w:t>5</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20.1</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符合</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5</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19.3</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符合</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5</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19.1</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2" w:type="dxa"/>
                  <w:gridSpan w:val="2"/>
                  <w:vAlign w:val="center"/>
                </w:tcPr>
                <w:p>
                  <w:pPr>
                    <w:pStyle w:val="141"/>
                    <w:rPr>
                      <w:rFonts w:hint="default" w:ascii="Times New Roman" w:hAnsi="Times New Roman" w:cs="Times New Roman"/>
                    </w:rPr>
                  </w:pPr>
                  <w:r>
                    <w:rPr>
                      <w:rFonts w:hint="default" w:ascii="Times New Roman" w:hAnsi="Times New Roman" w:cs="Times New Roman"/>
                    </w:rPr>
                    <w:t>次干路、支干路（南面村道）</w:t>
                  </w:r>
                </w:p>
              </w:tc>
              <w:tc>
                <w:tcPr>
                  <w:tcW w:w="651" w:type="dxa"/>
                  <w:vAlign w:val="center"/>
                </w:tcPr>
                <w:p>
                  <w:pPr>
                    <w:pStyle w:val="141"/>
                    <w:rPr>
                      <w:rFonts w:hint="default" w:ascii="Times New Roman" w:hAnsi="Times New Roman" w:cs="Times New Roman"/>
                    </w:rPr>
                  </w:pPr>
                  <w:r>
                    <w:rPr>
                      <w:rFonts w:hint="default" w:ascii="Times New Roman" w:hAnsi="Times New Roman" w:cs="Times New Roman"/>
                    </w:rPr>
                    <w:t>5</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35.2</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符合</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5</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36</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符合</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5</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37.7</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2" w:type="dxa"/>
                  <w:gridSpan w:val="2"/>
                  <w:vAlign w:val="center"/>
                </w:tcPr>
                <w:p>
                  <w:pPr>
                    <w:pStyle w:val="141"/>
                    <w:rPr>
                      <w:rFonts w:hint="default" w:ascii="Times New Roman" w:hAnsi="Times New Roman" w:cs="Times New Roman"/>
                    </w:rPr>
                  </w:pPr>
                  <w:r>
                    <w:rPr>
                      <w:rFonts w:hint="default" w:ascii="Times New Roman" w:hAnsi="Times New Roman" w:cs="Times New Roman"/>
                    </w:rPr>
                    <w:t>架空通讯线</w:t>
                  </w:r>
                </w:p>
              </w:tc>
              <w:tc>
                <w:tcPr>
                  <w:tcW w:w="651" w:type="dxa"/>
                  <w:vAlign w:val="center"/>
                </w:tcPr>
                <w:p>
                  <w:pPr>
                    <w:pStyle w:val="141"/>
                    <w:rPr>
                      <w:rFonts w:hint="default" w:ascii="Times New Roman" w:hAnsi="Times New Roman" w:cs="Times New Roman"/>
                    </w:rPr>
                  </w:pPr>
                  <w:r>
                    <w:rPr>
                      <w:rFonts w:hint="default" w:ascii="Times New Roman" w:hAnsi="Times New Roman" w:cs="Times New Roman"/>
                    </w:rPr>
                    <w:t>5</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5</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5</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1" w:type="dxa"/>
                  <w:vMerge w:val="restart"/>
                  <w:vAlign w:val="center"/>
                </w:tcPr>
                <w:p>
                  <w:pPr>
                    <w:pStyle w:val="141"/>
                    <w:rPr>
                      <w:rFonts w:hint="default" w:ascii="Times New Roman" w:hAnsi="Times New Roman" w:cs="Times New Roman"/>
                    </w:rPr>
                  </w:pPr>
                  <w:r>
                    <w:rPr>
                      <w:rFonts w:hint="default" w:ascii="Times New Roman" w:hAnsi="Times New Roman" w:cs="Times New Roman"/>
                    </w:rPr>
                    <w:t>架空电力线路</w:t>
                  </w:r>
                </w:p>
              </w:tc>
              <w:tc>
                <w:tcPr>
                  <w:tcW w:w="2261" w:type="dxa"/>
                  <w:vAlign w:val="center"/>
                </w:tcPr>
                <w:p>
                  <w:pPr>
                    <w:pStyle w:val="141"/>
                    <w:rPr>
                      <w:rFonts w:hint="default" w:ascii="Times New Roman" w:hAnsi="Times New Roman" w:cs="Times New Roman"/>
                    </w:rPr>
                  </w:pPr>
                  <w:r>
                    <w:rPr>
                      <w:rFonts w:hint="default" w:ascii="Times New Roman" w:hAnsi="Times New Roman" w:cs="Times New Roman"/>
                    </w:rPr>
                    <w:t>无绝缘层（北面35kv架空电力线）</w:t>
                  </w:r>
                </w:p>
              </w:tc>
              <w:tc>
                <w:tcPr>
                  <w:tcW w:w="651" w:type="dxa"/>
                  <w:vAlign w:val="center"/>
                </w:tcPr>
                <w:p>
                  <w:pPr>
                    <w:pStyle w:val="141"/>
                    <w:rPr>
                      <w:rFonts w:hint="default" w:ascii="Times New Roman" w:hAnsi="Times New Roman" w:cs="Times New Roman"/>
                    </w:rPr>
                  </w:pPr>
                  <w:r>
                    <w:rPr>
                      <w:rFonts w:hint="default" w:ascii="Times New Roman" w:hAnsi="Times New Roman" w:cs="Times New Roman"/>
                    </w:rPr>
                    <w:t>6.5</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27</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符合</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6.5</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26.5</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符合</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6.5</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28.5</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1" w:type="dxa"/>
                  <w:vMerge w:val="continue"/>
                  <w:vAlign w:val="center"/>
                </w:tcPr>
                <w:p>
                  <w:pPr>
                    <w:pStyle w:val="141"/>
                    <w:rPr>
                      <w:rFonts w:hint="default" w:ascii="Times New Roman" w:hAnsi="Times New Roman" w:cs="Times New Roman"/>
                    </w:rPr>
                  </w:pPr>
                </w:p>
              </w:tc>
              <w:tc>
                <w:tcPr>
                  <w:tcW w:w="2261" w:type="dxa"/>
                  <w:vAlign w:val="center"/>
                </w:tcPr>
                <w:p>
                  <w:pPr>
                    <w:pStyle w:val="141"/>
                    <w:rPr>
                      <w:rFonts w:hint="default" w:ascii="Times New Roman" w:hAnsi="Times New Roman" w:cs="Times New Roman"/>
                    </w:rPr>
                  </w:pPr>
                  <w:r>
                    <w:rPr>
                      <w:rFonts w:hint="default" w:ascii="Times New Roman" w:hAnsi="Times New Roman" w:cs="Times New Roman"/>
                    </w:rPr>
                    <w:t>有绝缘层</w:t>
                  </w:r>
                </w:p>
              </w:tc>
              <w:tc>
                <w:tcPr>
                  <w:tcW w:w="651" w:type="dxa"/>
                  <w:vAlign w:val="center"/>
                </w:tcPr>
                <w:p>
                  <w:pPr>
                    <w:pStyle w:val="141"/>
                    <w:rPr>
                      <w:rFonts w:hint="default" w:ascii="Times New Roman" w:hAnsi="Times New Roman" w:cs="Times New Roman"/>
                    </w:rPr>
                  </w:pPr>
                  <w:r>
                    <w:rPr>
                      <w:rFonts w:hint="default" w:ascii="Times New Roman" w:hAnsi="Times New Roman" w:cs="Times New Roman"/>
                    </w:rPr>
                    <w:t>5</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5</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5</w:t>
                  </w:r>
                </w:p>
              </w:tc>
              <w:tc>
                <w:tcPr>
                  <w:tcW w:w="652" w:type="dxa"/>
                  <w:vAlign w:val="center"/>
                </w:tcPr>
                <w:p>
                  <w:pPr>
                    <w:pStyle w:val="141"/>
                    <w:rPr>
                      <w:rFonts w:hint="default" w:ascii="Times New Roman" w:hAnsi="Times New Roman" w:cs="Times New Roman"/>
                    </w:rPr>
                  </w:pPr>
                  <w:r>
                    <w:rPr>
                      <w:rFonts w:hint="default" w:ascii="Times New Roman" w:hAnsi="Times New Roman" w:cs="Times New Roman"/>
                    </w:rPr>
                    <w:t>--</w:t>
                  </w:r>
                </w:p>
              </w:tc>
              <w:tc>
                <w:tcPr>
                  <w:tcW w:w="485" w:type="dxa"/>
                  <w:vAlign w:val="center"/>
                </w:tcPr>
                <w:p>
                  <w:pPr>
                    <w:pStyle w:val="141"/>
                    <w:rPr>
                      <w:rFonts w:hint="default" w:ascii="Times New Roman" w:hAnsi="Times New Roman" w:cs="Times New Roman"/>
                    </w:rPr>
                  </w:pPr>
                  <w:r>
                    <w:rPr>
                      <w:rFonts w:hint="default" w:ascii="Times New Roman" w:hAnsi="Times New Roman" w:cs="Times New Roman"/>
                    </w:rPr>
                    <w:t>--</w:t>
                  </w:r>
                </w:p>
              </w:tc>
            </w:tr>
          </w:tbl>
          <w:p>
            <w:pPr>
              <w:pStyle w:val="143"/>
              <w:spacing w:before="156"/>
              <w:rPr>
                <w:rFonts w:hint="default" w:ascii="Times New Roman" w:hAnsi="Times New Roman" w:cs="Times New Roman"/>
              </w:rPr>
            </w:pPr>
            <w:bookmarkStart w:id="7" w:name="_Ref45444241"/>
            <w:r>
              <w:rPr>
                <w:rFonts w:hint="default" w:ascii="Times New Roman" w:hAnsi="Times New Roman" w:cs="Times New Roman"/>
              </w:rPr>
              <w:t>表</w:t>
            </w:r>
            <w:bookmarkEnd w:id="7"/>
            <w:r>
              <w:rPr>
                <w:rFonts w:hint="eastAsia" w:cs="Times New Roman"/>
                <w:lang w:val="en-US" w:eastAsia="zh-CN"/>
              </w:rPr>
              <w:t xml:space="preserve">1-9   </w:t>
            </w:r>
            <w:r>
              <w:rPr>
                <w:rFonts w:hint="default" w:ascii="Times New Roman" w:hAnsi="Times New Roman" w:cs="Times New Roman"/>
              </w:rPr>
              <w:t>本项目柴油设备与站外建（构）筑物安全间距检查表单位：m</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2090"/>
              <w:gridCol w:w="685"/>
              <w:gridCol w:w="685"/>
              <w:gridCol w:w="510"/>
              <w:gridCol w:w="685"/>
              <w:gridCol w:w="685"/>
              <w:gridCol w:w="508"/>
              <w:gridCol w:w="686"/>
              <w:gridCol w:w="686"/>
              <w:gridCol w:w="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5" w:type="pct"/>
                  <w:gridSpan w:val="2"/>
                  <w:vMerge w:val="restart"/>
                  <w:vAlign w:val="center"/>
                </w:tcPr>
                <w:p>
                  <w:pPr>
                    <w:pStyle w:val="141"/>
                    <w:rPr>
                      <w:rFonts w:hint="default" w:ascii="Times New Roman" w:hAnsi="Times New Roman" w:cs="Times New Roman"/>
                    </w:rPr>
                  </w:pPr>
                  <w:r>
                    <w:rPr>
                      <w:rFonts w:hint="default" w:ascii="Times New Roman" w:hAnsi="Times New Roman" w:cs="Times New Roman"/>
                    </w:rPr>
                    <w:t>站外建（构）筑物</w:t>
                  </w:r>
                </w:p>
              </w:tc>
              <w:tc>
                <w:tcPr>
                  <w:tcW w:w="3145" w:type="pct"/>
                  <w:gridSpan w:val="9"/>
                  <w:vAlign w:val="center"/>
                </w:tcPr>
                <w:p>
                  <w:pPr>
                    <w:pStyle w:val="141"/>
                    <w:rPr>
                      <w:rFonts w:hint="default" w:ascii="Times New Roman" w:hAnsi="Times New Roman" w:cs="Times New Roman"/>
                    </w:rPr>
                  </w:pPr>
                  <w:r>
                    <w:rPr>
                      <w:rFonts w:hint="default" w:ascii="Times New Roman" w:hAnsi="Times New Roman" w:cs="Times New Roman"/>
                    </w:rPr>
                    <w:t>站内柴油设备（无卸油和加油油气回收系统）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5" w:type="pct"/>
                  <w:gridSpan w:val="2"/>
                  <w:vMerge w:val="continue"/>
                  <w:vAlign w:val="center"/>
                </w:tcPr>
                <w:p>
                  <w:pPr>
                    <w:pStyle w:val="141"/>
                    <w:rPr>
                      <w:rFonts w:hint="default" w:ascii="Times New Roman" w:hAnsi="Times New Roman" w:cs="Times New Roman"/>
                    </w:rPr>
                  </w:pPr>
                </w:p>
              </w:tc>
              <w:tc>
                <w:tcPr>
                  <w:tcW w:w="1051" w:type="pct"/>
                  <w:gridSpan w:val="3"/>
                  <w:vAlign w:val="center"/>
                </w:tcPr>
                <w:p>
                  <w:pPr>
                    <w:pStyle w:val="141"/>
                    <w:rPr>
                      <w:rFonts w:hint="default" w:ascii="Times New Roman" w:hAnsi="Times New Roman" w:cs="Times New Roman"/>
                    </w:rPr>
                  </w:pPr>
                  <w:r>
                    <w:rPr>
                      <w:rFonts w:hint="default" w:ascii="Times New Roman" w:hAnsi="Times New Roman" w:cs="Times New Roman"/>
                    </w:rPr>
                    <w:t>埋地油罐（三级站））</w:t>
                  </w:r>
                </w:p>
              </w:tc>
              <w:tc>
                <w:tcPr>
                  <w:tcW w:w="1049" w:type="pct"/>
                  <w:gridSpan w:val="3"/>
                  <w:vAlign w:val="center"/>
                </w:tcPr>
                <w:p>
                  <w:pPr>
                    <w:pStyle w:val="141"/>
                    <w:rPr>
                      <w:rFonts w:hint="default" w:ascii="Times New Roman" w:hAnsi="Times New Roman" w:cs="Times New Roman"/>
                    </w:rPr>
                  </w:pPr>
                  <w:r>
                    <w:rPr>
                      <w:rFonts w:hint="default" w:ascii="Times New Roman" w:hAnsi="Times New Roman" w:cs="Times New Roman"/>
                    </w:rPr>
                    <w:t>通气管管口</w:t>
                  </w:r>
                </w:p>
              </w:tc>
              <w:tc>
                <w:tcPr>
                  <w:tcW w:w="1045" w:type="pct"/>
                  <w:gridSpan w:val="3"/>
                  <w:vAlign w:val="center"/>
                </w:tcPr>
                <w:p>
                  <w:pPr>
                    <w:pStyle w:val="141"/>
                    <w:rPr>
                      <w:rFonts w:hint="default" w:ascii="Times New Roman" w:hAnsi="Times New Roman" w:cs="Times New Roman"/>
                    </w:rPr>
                  </w:pPr>
                  <w:r>
                    <w:rPr>
                      <w:rFonts w:hint="default" w:ascii="Times New Roman" w:hAnsi="Times New Roman" w:cs="Times New Roman"/>
                    </w:rPr>
                    <w:t>加油机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5" w:type="pct"/>
                  <w:gridSpan w:val="2"/>
                  <w:vMerge w:val="continue"/>
                  <w:vAlign w:val="center"/>
                </w:tcPr>
                <w:p>
                  <w:pPr>
                    <w:pStyle w:val="141"/>
                    <w:rPr>
                      <w:rFonts w:hint="default" w:ascii="Times New Roman" w:hAnsi="Times New Roman" w:cs="Times New Roman"/>
                    </w:rPr>
                  </w:pP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标准值</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实际值</w:t>
                  </w:r>
                </w:p>
              </w:tc>
              <w:tc>
                <w:tcPr>
                  <w:tcW w:w="284" w:type="pct"/>
                  <w:vAlign w:val="center"/>
                </w:tcPr>
                <w:p>
                  <w:pPr>
                    <w:pStyle w:val="141"/>
                    <w:rPr>
                      <w:rFonts w:hint="default" w:ascii="Times New Roman" w:hAnsi="Times New Roman" w:cs="Times New Roman"/>
                    </w:rPr>
                  </w:pPr>
                  <w:r>
                    <w:rPr>
                      <w:rFonts w:hint="default" w:ascii="Times New Roman" w:hAnsi="Times New Roman" w:cs="Times New Roman"/>
                    </w:rPr>
                    <w:t>结果</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标准值</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实际值</w:t>
                  </w:r>
                </w:p>
              </w:tc>
              <w:tc>
                <w:tcPr>
                  <w:tcW w:w="284" w:type="pct"/>
                  <w:vAlign w:val="center"/>
                </w:tcPr>
                <w:p>
                  <w:pPr>
                    <w:pStyle w:val="141"/>
                    <w:rPr>
                      <w:rFonts w:hint="default" w:ascii="Times New Roman" w:hAnsi="Times New Roman" w:cs="Times New Roman"/>
                    </w:rPr>
                  </w:pPr>
                  <w:r>
                    <w:rPr>
                      <w:rFonts w:hint="default" w:ascii="Times New Roman" w:hAnsi="Times New Roman" w:cs="Times New Roman"/>
                    </w:rPr>
                    <w:t>结果</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标准值</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实际值</w:t>
                  </w:r>
                </w:p>
              </w:tc>
              <w:tc>
                <w:tcPr>
                  <w:tcW w:w="280" w:type="pct"/>
                  <w:vAlign w:val="center"/>
                </w:tcPr>
                <w:p>
                  <w:pPr>
                    <w:pStyle w:val="141"/>
                    <w:rPr>
                      <w:rFonts w:hint="default" w:ascii="Times New Roman" w:hAnsi="Times New Roman" w:cs="Times New Roman"/>
                    </w:rPr>
                  </w:pPr>
                  <w:r>
                    <w:rPr>
                      <w:rFonts w:hint="default" w:ascii="Times New Roman" w:hAnsi="Times New Roman" w:cs="Times New Roman"/>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5" w:type="pct"/>
                  <w:gridSpan w:val="2"/>
                  <w:vAlign w:val="center"/>
                </w:tcPr>
                <w:p>
                  <w:pPr>
                    <w:pStyle w:val="141"/>
                    <w:rPr>
                      <w:rFonts w:hint="default" w:ascii="Times New Roman" w:hAnsi="Times New Roman" w:cs="Times New Roman"/>
                    </w:rPr>
                  </w:pPr>
                  <w:r>
                    <w:rPr>
                      <w:rFonts w:hint="default" w:ascii="Times New Roman" w:hAnsi="Times New Roman" w:cs="Times New Roman"/>
                    </w:rPr>
                    <w:t>重要公共建筑物</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25</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84"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25</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84"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25</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80" w:type="pct"/>
                  <w:vAlign w:val="center"/>
                </w:tcPr>
                <w:p>
                  <w:pPr>
                    <w:pStyle w:val="141"/>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5" w:type="pct"/>
                  <w:gridSpan w:val="2"/>
                  <w:vAlign w:val="center"/>
                </w:tcPr>
                <w:p>
                  <w:pPr>
                    <w:pStyle w:val="141"/>
                    <w:rPr>
                      <w:rFonts w:hint="default" w:ascii="Times New Roman" w:hAnsi="Times New Roman" w:cs="Times New Roman"/>
                    </w:rPr>
                  </w:pPr>
                  <w:r>
                    <w:rPr>
                      <w:rFonts w:hint="default" w:ascii="Times New Roman" w:hAnsi="Times New Roman" w:cs="Times New Roman"/>
                    </w:rPr>
                    <w:t>明火地点或散发火花地点</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10</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84"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10</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84"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10</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80" w:type="pct"/>
                  <w:vAlign w:val="center"/>
                </w:tcPr>
                <w:p>
                  <w:pPr>
                    <w:pStyle w:val="141"/>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pct"/>
                  <w:vMerge w:val="restart"/>
                  <w:vAlign w:val="center"/>
                </w:tcPr>
                <w:p>
                  <w:pPr>
                    <w:pStyle w:val="141"/>
                    <w:rPr>
                      <w:rFonts w:hint="default" w:ascii="Times New Roman" w:hAnsi="Times New Roman" w:cs="Times New Roman"/>
                    </w:rPr>
                  </w:pPr>
                  <w:r>
                    <w:rPr>
                      <w:rFonts w:hint="default" w:ascii="Times New Roman" w:hAnsi="Times New Roman" w:cs="Times New Roman"/>
                    </w:rPr>
                    <w:t>民用建筑保护类别</w:t>
                  </w:r>
                </w:p>
              </w:tc>
              <w:tc>
                <w:tcPr>
                  <w:tcW w:w="1167" w:type="pct"/>
                  <w:vAlign w:val="center"/>
                </w:tcPr>
                <w:p>
                  <w:pPr>
                    <w:pStyle w:val="141"/>
                    <w:rPr>
                      <w:rFonts w:hint="default" w:ascii="Times New Roman" w:hAnsi="Times New Roman" w:cs="Times New Roman"/>
                    </w:rPr>
                  </w:pPr>
                  <w:r>
                    <w:rPr>
                      <w:rFonts w:hint="default" w:ascii="Times New Roman" w:hAnsi="Times New Roman" w:cs="Times New Roman"/>
                    </w:rPr>
                    <w:t>一类保护物</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11</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84"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11</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84"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11</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80" w:type="pct"/>
                  <w:vAlign w:val="center"/>
                </w:tcPr>
                <w:p>
                  <w:pPr>
                    <w:pStyle w:val="141"/>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pct"/>
                  <w:vMerge w:val="continue"/>
                  <w:vAlign w:val="center"/>
                </w:tcPr>
                <w:p>
                  <w:pPr>
                    <w:pStyle w:val="141"/>
                    <w:rPr>
                      <w:rFonts w:hint="default" w:ascii="Times New Roman" w:hAnsi="Times New Roman" w:cs="Times New Roman"/>
                    </w:rPr>
                  </w:pPr>
                </w:p>
              </w:tc>
              <w:tc>
                <w:tcPr>
                  <w:tcW w:w="1167" w:type="pct"/>
                  <w:vAlign w:val="center"/>
                </w:tcPr>
                <w:p>
                  <w:pPr>
                    <w:pStyle w:val="141"/>
                    <w:rPr>
                      <w:rFonts w:hint="default" w:ascii="Times New Roman" w:hAnsi="Times New Roman" w:cs="Times New Roman"/>
                    </w:rPr>
                  </w:pPr>
                  <w:r>
                    <w:rPr>
                      <w:rFonts w:hint="default" w:ascii="Times New Roman" w:hAnsi="Times New Roman" w:cs="Times New Roman"/>
                    </w:rPr>
                    <w:t>二类保护物</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6</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84"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6</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84"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6</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80" w:type="pct"/>
                  <w:vAlign w:val="center"/>
                </w:tcPr>
                <w:p>
                  <w:pPr>
                    <w:pStyle w:val="141"/>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pct"/>
                  <w:vMerge w:val="continue"/>
                  <w:vAlign w:val="center"/>
                </w:tcPr>
                <w:p>
                  <w:pPr>
                    <w:pStyle w:val="141"/>
                    <w:rPr>
                      <w:rFonts w:hint="default" w:ascii="Times New Roman" w:hAnsi="Times New Roman" w:cs="Times New Roman"/>
                    </w:rPr>
                  </w:pPr>
                </w:p>
              </w:tc>
              <w:tc>
                <w:tcPr>
                  <w:tcW w:w="1167" w:type="pct"/>
                  <w:vAlign w:val="center"/>
                </w:tcPr>
                <w:p>
                  <w:pPr>
                    <w:pStyle w:val="141"/>
                    <w:rPr>
                      <w:rFonts w:hint="default" w:ascii="Times New Roman" w:hAnsi="Times New Roman" w:cs="Times New Roman"/>
                    </w:rPr>
                  </w:pPr>
                  <w:r>
                    <w:rPr>
                      <w:rFonts w:hint="default" w:ascii="Times New Roman" w:hAnsi="Times New Roman" w:cs="Times New Roman"/>
                    </w:rPr>
                    <w:t>三类保护物（北面民居）</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6</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49.5</w:t>
                  </w:r>
                </w:p>
              </w:tc>
              <w:tc>
                <w:tcPr>
                  <w:tcW w:w="284" w:type="pct"/>
                  <w:vAlign w:val="center"/>
                </w:tcPr>
                <w:p>
                  <w:pPr>
                    <w:pStyle w:val="141"/>
                    <w:rPr>
                      <w:rFonts w:hint="default" w:ascii="Times New Roman" w:hAnsi="Times New Roman" w:cs="Times New Roman"/>
                    </w:rPr>
                  </w:pPr>
                  <w:r>
                    <w:rPr>
                      <w:rFonts w:hint="default" w:ascii="Times New Roman" w:hAnsi="Times New Roman" w:cs="Times New Roman"/>
                    </w:rPr>
                    <w:t>符合</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6</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39.9</w:t>
                  </w:r>
                </w:p>
              </w:tc>
              <w:tc>
                <w:tcPr>
                  <w:tcW w:w="284" w:type="pct"/>
                  <w:vAlign w:val="center"/>
                </w:tcPr>
                <w:p>
                  <w:pPr>
                    <w:pStyle w:val="141"/>
                    <w:rPr>
                      <w:rFonts w:hint="default" w:ascii="Times New Roman" w:hAnsi="Times New Roman" w:cs="Times New Roman"/>
                    </w:rPr>
                  </w:pPr>
                  <w:r>
                    <w:rPr>
                      <w:rFonts w:hint="default" w:ascii="Times New Roman" w:hAnsi="Times New Roman" w:cs="Times New Roman"/>
                    </w:rPr>
                    <w:t>符合</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6</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41.9</w:t>
                  </w:r>
                </w:p>
              </w:tc>
              <w:tc>
                <w:tcPr>
                  <w:tcW w:w="280" w:type="pct"/>
                  <w:vAlign w:val="center"/>
                </w:tcPr>
                <w:p>
                  <w:pPr>
                    <w:pStyle w:val="141"/>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5" w:type="pct"/>
                  <w:gridSpan w:val="2"/>
                  <w:vAlign w:val="center"/>
                </w:tcPr>
                <w:p>
                  <w:pPr>
                    <w:pStyle w:val="141"/>
                    <w:rPr>
                      <w:rFonts w:hint="default" w:ascii="Times New Roman" w:hAnsi="Times New Roman" w:cs="Times New Roman"/>
                    </w:rPr>
                  </w:pPr>
                  <w:r>
                    <w:rPr>
                      <w:rFonts w:hint="default" w:ascii="Times New Roman" w:hAnsi="Times New Roman" w:cs="Times New Roman"/>
                    </w:rPr>
                    <w:t>甲、乙类物品生产厂房、库房和甲、乙类液体储罐</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9</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84"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9</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84"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9</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80" w:type="pct"/>
                  <w:vAlign w:val="center"/>
                </w:tcPr>
                <w:p>
                  <w:pPr>
                    <w:pStyle w:val="141"/>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5" w:type="pct"/>
                  <w:gridSpan w:val="2"/>
                  <w:vAlign w:val="center"/>
                </w:tcPr>
                <w:p>
                  <w:pPr>
                    <w:pStyle w:val="141"/>
                    <w:rPr>
                      <w:rFonts w:hint="default" w:ascii="Times New Roman" w:hAnsi="Times New Roman" w:cs="Times New Roman"/>
                    </w:rPr>
                  </w:pPr>
                  <w:r>
                    <w:rPr>
                      <w:rFonts w:hint="default" w:ascii="Times New Roman" w:hAnsi="Times New Roman" w:cs="Times New Roman"/>
                    </w:rPr>
                    <w:t>丙、丁、戊类物品生产厂房、库房和丙类液体储罐以及容积不大于50m3的埋地甲乙类液体储罐</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9</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84"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9</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84"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9</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80" w:type="pct"/>
                  <w:vAlign w:val="center"/>
                </w:tcPr>
                <w:p>
                  <w:pPr>
                    <w:pStyle w:val="141"/>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5" w:type="pct"/>
                  <w:gridSpan w:val="2"/>
                  <w:vAlign w:val="center"/>
                </w:tcPr>
                <w:p>
                  <w:pPr>
                    <w:pStyle w:val="141"/>
                    <w:rPr>
                      <w:rFonts w:hint="default" w:ascii="Times New Roman" w:hAnsi="Times New Roman" w:cs="Times New Roman"/>
                    </w:rPr>
                  </w:pPr>
                  <w:r>
                    <w:rPr>
                      <w:rFonts w:hint="default" w:ascii="Times New Roman" w:hAnsi="Times New Roman" w:cs="Times New Roman"/>
                    </w:rPr>
                    <w:t>室外配电站</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12.5</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84"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12.5</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84"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12.5</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80" w:type="pct"/>
                  <w:vAlign w:val="center"/>
                </w:tcPr>
                <w:p>
                  <w:pPr>
                    <w:pStyle w:val="141"/>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5" w:type="pct"/>
                  <w:gridSpan w:val="2"/>
                  <w:vAlign w:val="center"/>
                </w:tcPr>
                <w:p>
                  <w:pPr>
                    <w:pStyle w:val="141"/>
                    <w:rPr>
                      <w:rFonts w:hint="default" w:ascii="Times New Roman" w:hAnsi="Times New Roman" w:cs="Times New Roman"/>
                    </w:rPr>
                  </w:pPr>
                  <w:r>
                    <w:rPr>
                      <w:rFonts w:hint="default" w:ascii="Times New Roman" w:hAnsi="Times New Roman" w:cs="Times New Roman"/>
                    </w:rPr>
                    <w:t>铁路</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15</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84"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15</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84"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15</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80" w:type="pct"/>
                  <w:vAlign w:val="center"/>
                </w:tcPr>
                <w:p>
                  <w:pPr>
                    <w:pStyle w:val="141"/>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5" w:type="pct"/>
                  <w:gridSpan w:val="2"/>
                  <w:vAlign w:val="center"/>
                </w:tcPr>
                <w:p>
                  <w:pPr>
                    <w:pStyle w:val="141"/>
                    <w:rPr>
                      <w:rFonts w:hint="default" w:ascii="Times New Roman" w:hAnsi="Times New Roman" w:cs="Times New Roman"/>
                    </w:rPr>
                  </w:pPr>
                  <w:r>
                    <w:rPr>
                      <w:rFonts w:hint="default" w:ascii="Times New Roman" w:hAnsi="Times New Roman" w:cs="Times New Roman"/>
                    </w:rPr>
                    <w:t>快速路、主干路</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3</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84"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3</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84"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3</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80" w:type="pct"/>
                  <w:vAlign w:val="center"/>
                </w:tcPr>
                <w:p>
                  <w:pPr>
                    <w:pStyle w:val="141"/>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5" w:type="pct"/>
                  <w:gridSpan w:val="2"/>
                  <w:vAlign w:val="center"/>
                </w:tcPr>
                <w:p>
                  <w:pPr>
                    <w:pStyle w:val="141"/>
                    <w:rPr>
                      <w:rFonts w:hint="default" w:ascii="Times New Roman" w:hAnsi="Times New Roman" w:cs="Times New Roman"/>
                    </w:rPr>
                  </w:pPr>
                  <w:r>
                    <w:rPr>
                      <w:rFonts w:hint="default" w:ascii="Times New Roman" w:hAnsi="Times New Roman" w:cs="Times New Roman"/>
                    </w:rPr>
                    <w:t>次干路、支干路（X691县道）</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3</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20.1</w:t>
                  </w:r>
                </w:p>
              </w:tc>
              <w:tc>
                <w:tcPr>
                  <w:tcW w:w="284" w:type="pct"/>
                  <w:vAlign w:val="center"/>
                </w:tcPr>
                <w:p>
                  <w:pPr>
                    <w:pStyle w:val="141"/>
                    <w:rPr>
                      <w:rFonts w:hint="default" w:ascii="Times New Roman" w:hAnsi="Times New Roman" w:cs="Times New Roman"/>
                    </w:rPr>
                  </w:pPr>
                  <w:r>
                    <w:rPr>
                      <w:rFonts w:hint="default" w:ascii="Times New Roman" w:hAnsi="Times New Roman" w:cs="Times New Roman"/>
                    </w:rPr>
                    <w:t>符合</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3</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19.3</w:t>
                  </w:r>
                </w:p>
              </w:tc>
              <w:tc>
                <w:tcPr>
                  <w:tcW w:w="284" w:type="pct"/>
                  <w:vAlign w:val="center"/>
                </w:tcPr>
                <w:p>
                  <w:pPr>
                    <w:pStyle w:val="141"/>
                    <w:rPr>
                      <w:rFonts w:hint="default" w:ascii="Times New Roman" w:hAnsi="Times New Roman" w:cs="Times New Roman"/>
                    </w:rPr>
                  </w:pPr>
                  <w:r>
                    <w:rPr>
                      <w:rFonts w:hint="default" w:ascii="Times New Roman" w:hAnsi="Times New Roman" w:cs="Times New Roman"/>
                    </w:rPr>
                    <w:t>符合</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3</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19.1</w:t>
                  </w:r>
                </w:p>
              </w:tc>
              <w:tc>
                <w:tcPr>
                  <w:tcW w:w="280" w:type="pct"/>
                  <w:vAlign w:val="center"/>
                </w:tcPr>
                <w:p>
                  <w:pPr>
                    <w:pStyle w:val="141"/>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5" w:type="pct"/>
                  <w:gridSpan w:val="2"/>
                  <w:vAlign w:val="center"/>
                </w:tcPr>
                <w:p>
                  <w:pPr>
                    <w:pStyle w:val="141"/>
                    <w:rPr>
                      <w:rFonts w:hint="default" w:ascii="Times New Roman" w:hAnsi="Times New Roman" w:cs="Times New Roman"/>
                    </w:rPr>
                  </w:pPr>
                  <w:r>
                    <w:rPr>
                      <w:rFonts w:hint="default" w:ascii="Times New Roman" w:hAnsi="Times New Roman" w:cs="Times New Roman"/>
                    </w:rPr>
                    <w:t>次干路、支干路（南面村道）</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3</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32.1</w:t>
                  </w:r>
                </w:p>
              </w:tc>
              <w:tc>
                <w:tcPr>
                  <w:tcW w:w="284" w:type="pct"/>
                  <w:vAlign w:val="center"/>
                </w:tcPr>
                <w:p>
                  <w:pPr>
                    <w:pStyle w:val="141"/>
                    <w:rPr>
                      <w:rFonts w:hint="default" w:ascii="Times New Roman" w:hAnsi="Times New Roman" w:cs="Times New Roman"/>
                    </w:rPr>
                  </w:pPr>
                  <w:r>
                    <w:rPr>
                      <w:rFonts w:hint="default" w:ascii="Times New Roman" w:hAnsi="Times New Roman" w:cs="Times New Roman"/>
                    </w:rPr>
                    <w:t>符合</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3</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36</w:t>
                  </w:r>
                </w:p>
              </w:tc>
              <w:tc>
                <w:tcPr>
                  <w:tcW w:w="284" w:type="pct"/>
                  <w:vAlign w:val="center"/>
                </w:tcPr>
                <w:p>
                  <w:pPr>
                    <w:pStyle w:val="141"/>
                    <w:rPr>
                      <w:rFonts w:hint="default" w:ascii="Times New Roman" w:hAnsi="Times New Roman" w:cs="Times New Roman"/>
                    </w:rPr>
                  </w:pPr>
                  <w:r>
                    <w:rPr>
                      <w:rFonts w:hint="default" w:ascii="Times New Roman" w:hAnsi="Times New Roman" w:cs="Times New Roman"/>
                    </w:rPr>
                    <w:t>符合</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3</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37.7</w:t>
                  </w:r>
                </w:p>
              </w:tc>
              <w:tc>
                <w:tcPr>
                  <w:tcW w:w="280" w:type="pct"/>
                  <w:vAlign w:val="center"/>
                </w:tcPr>
                <w:p>
                  <w:pPr>
                    <w:pStyle w:val="141"/>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5" w:type="pct"/>
                  <w:gridSpan w:val="2"/>
                  <w:vAlign w:val="center"/>
                </w:tcPr>
                <w:p>
                  <w:pPr>
                    <w:pStyle w:val="141"/>
                    <w:rPr>
                      <w:rFonts w:hint="default" w:ascii="Times New Roman" w:hAnsi="Times New Roman" w:cs="Times New Roman"/>
                    </w:rPr>
                  </w:pPr>
                  <w:r>
                    <w:rPr>
                      <w:rFonts w:hint="default" w:ascii="Times New Roman" w:hAnsi="Times New Roman" w:cs="Times New Roman"/>
                    </w:rPr>
                    <w:t>架空通讯线</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5</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84"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5</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84"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5</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80" w:type="pct"/>
                  <w:vAlign w:val="center"/>
                </w:tcPr>
                <w:p>
                  <w:pPr>
                    <w:pStyle w:val="141"/>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pct"/>
                  <w:vMerge w:val="restart"/>
                  <w:vAlign w:val="center"/>
                </w:tcPr>
                <w:p>
                  <w:pPr>
                    <w:pStyle w:val="141"/>
                    <w:rPr>
                      <w:rFonts w:hint="default" w:ascii="Times New Roman" w:hAnsi="Times New Roman" w:cs="Times New Roman"/>
                    </w:rPr>
                  </w:pPr>
                  <w:r>
                    <w:rPr>
                      <w:rFonts w:hint="default" w:ascii="Times New Roman" w:hAnsi="Times New Roman" w:cs="Times New Roman"/>
                    </w:rPr>
                    <w:t>架空电力线路</w:t>
                  </w:r>
                </w:p>
              </w:tc>
              <w:tc>
                <w:tcPr>
                  <w:tcW w:w="1167" w:type="pct"/>
                  <w:vAlign w:val="center"/>
                </w:tcPr>
                <w:p>
                  <w:pPr>
                    <w:pStyle w:val="141"/>
                    <w:rPr>
                      <w:rFonts w:hint="default" w:ascii="Times New Roman" w:hAnsi="Times New Roman" w:cs="Times New Roman"/>
                    </w:rPr>
                  </w:pPr>
                  <w:r>
                    <w:rPr>
                      <w:rFonts w:hint="default" w:ascii="Times New Roman" w:hAnsi="Times New Roman" w:cs="Times New Roman"/>
                    </w:rPr>
                    <w:t>无绝缘层（北面35kv架空电力线）</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6.5</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36.1</w:t>
                  </w:r>
                </w:p>
              </w:tc>
              <w:tc>
                <w:tcPr>
                  <w:tcW w:w="284" w:type="pct"/>
                  <w:vAlign w:val="center"/>
                </w:tcPr>
                <w:p>
                  <w:pPr>
                    <w:pStyle w:val="141"/>
                    <w:rPr>
                      <w:rFonts w:hint="default" w:ascii="Times New Roman" w:hAnsi="Times New Roman" w:cs="Times New Roman"/>
                    </w:rPr>
                  </w:pPr>
                  <w:r>
                    <w:rPr>
                      <w:rFonts w:hint="default" w:ascii="Times New Roman" w:hAnsi="Times New Roman" w:cs="Times New Roman"/>
                    </w:rPr>
                    <w:t>符合</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6.5</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26.5</w:t>
                  </w:r>
                </w:p>
              </w:tc>
              <w:tc>
                <w:tcPr>
                  <w:tcW w:w="284" w:type="pct"/>
                  <w:vAlign w:val="center"/>
                </w:tcPr>
                <w:p>
                  <w:pPr>
                    <w:pStyle w:val="141"/>
                    <w:rPr>
                      <w:rFonts w:hint="default" w:ascii="Times New Roman" w:hAnsi="Times New Roman" w:cs="Times New Roman"/>
                    </w:rPr>
                  </w:pPr>
                  <w:r>
                    <w:rPr>
                      <w:rFonts w:hint="default" w:ascii="Times New Roman" w:hAnsi="Times New Roman" w:cs="Times New Roman"/>
                    </w:rPr>
                    <w:t>符合</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6.5</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28.5</w:t>
                  </w:r>
                </w:p>
              </w:tc>
              <w:tc>
                <w:tcPr>
                  <w:tcW w:w="280" w:type="pct"/>
                  <w:vAlign w:val="center"/>
                </w:tcPr>
                <w:p>
                  <w:pPr>
                    <w:pStyle w:val="141"/>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pct"/>
                  <w:vMerge w:val="continue"/>
                  <w:vAlign w:val="center"/>
                </w:tcPr>
                <w:p>
                  <w:pPr>
                    <w:pStyle w:val="141"/>
                    <w:rPr>
                      <w:rFonts w:hint="default" w:ascii="Times New Roman" w:hAnsi="Times New Roman" w:cs="Times New Roman"/>
                    </w:rPr>
                  </w:pPr>
                </w:p>
              </w:tc>
              <w:tc>
                <w:tcPr>
                  <w:tcW w:w="1167" w:type="pct"/>
                  <w:vAlign w:val="center"/>
                </w:tcPr>
                <w:p>
                  <w:pPr>
                    <w:pStyle w:val="141"/>
                    <w:rPr>
                      <w:rFonts w:hint="default" w:ascii="Times New Roman" w:hAnsi="Times New Roman" w:cs="Times New Roman"/>
                    </w:rPr>
                  </w:pPr>
                  <w:r>
                    <w:rPr>
                      <w:rFonts w:hint="default" w:ascii="Times New Roman" w:hAnsi="Times New Roman" w:cs="Times New Roman"/>
                    </w:rPr>
                    <w:t>有绝缘层</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5</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84"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5</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84"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5</w:t>
                  </w:r>
                </w:p>
              </w:tc>
              <w:tc>
                <w:tcPr>
                  <w:tcW w:w="383" w:type="pct"/>
                  <w:vAlign w:val="center"/>
                </w:tcPr>
                <w:p>
                  <w:pPr>
                    <w:pStyle w:val="141"/>
                    <w:rPr>
                      <w:rFonts w:hint="default" w:ascii="Times New Roman" w:hAnsi="Times New Roman" w:cs="Times New Roman"/>
                    </w:rPr>
                  </w:pPr>
                  <w:r>
                    <w:rPr>
                      <w:rFonts w:hint="default" w:ascii="Times New Roman" w:hAnsi="Times New Roman" w:cs="Times New Roman"/>
                    </w:rPr>
                    <w:t>--</w:t>
                  </w:r>
                </w:p>
              </w:tc>
              <w:tc>
                <w:tcPr>
                  <w:tcW w:w="280" w:type="pct"/>
                  <w:vAlign w:val="center"/>
                </w:tcPr>
                <w:p>
                  <w:pPr>
                    <w:pStyle w:val="141"/>
                    <w:rPr>
                      <w:rFonts w:hint="default" w:ascii="Times New Roman" w:hAnsi="Times New Roman" w:cs="Times New Roman"/>
                    </w:rPr>
                  </w:pPr>
                  <w:r>
                    <w:rPr>
                      <w:rFonts w:hint="default" w:ascii="Times New Roman" w:hAnsi="Times New Roman" w:cs="Times New Roman"/>
                    </w:rPr>
                    <w:t>--</w:t>
                  </w:r>
                </w:p>
              </w:tc>
            </w:tr>
          </w:tbl>
          <w:p>
            <w:pPr>
              <w:pStyle w:val="137"/>
              <w:ind w:firstLine="480"/>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rPr>
              <w:tab/>
            </w:r>
            <w:r>
              <w:rPr>
                <w:rFonts w:hint="default" w:ascii="Times New Roman" w:hAnsi="Times New Roman" w:cs="Times New Roman"/>
              </w:rPr>
              <w:t>与土地利用规划的相符性</w:t>
            </w:r>
          </w:p>
          <w:p>
            <w:pPr>
              <w:pStyle w:val="137"/>
              <w:ind w:firstLine="480"/>
              <w:rPr>
                <w:rFonts w:hint="default" w:ascii="Times New Roman" w:hAnsi="Times New Roman" w:cs="Times New Roman"/>
              </w:rPr>
            </w:pPr>
            <w:r>
              <w:rPr>
                <w:rFonts w:hint="default" w:ascii="Times New Roman" w:hAnsi="Times New Roman" w:cs="Times New Roman"/>
              </w:rPr>
              <w:t>根据《关于雷州市雷高镇海东加油站用地地块规划用途的说明》（附件5）：项目用地为村镇建设用地，村庄规划用途为经营性建设用地。根据现场探勘，项目用地目前为空地，符合用地规划的要求。</w:t>
            </w:r>
          </w:p>
          <w:p>
            <w:pPr>
              <w:pStyle w:val="137"/>
              <w:ind w:firstLine="480"/>
              <w:rPr>
                <w:rFonts w:hint="default" w:ascii="Times New Roman" w:hAnsi="Times New Roman" w:cs="Times New Roman"/>
              </w:rPr>
            </w:pPr>
            <w:r>
              <w:rPr>
                <w:rFonts w:hint="default" w:ascii="Times New Roman" w:hAnsi="Times New Roman" w:cs="Times New Roman"/>
              </w:rPr>
              <w:t>（3）</w:t>
            </w:r>
            <w:r>
              <w:rPr>
                <w:rFonts w:hint="default" w:ascii="Times New Roman" w:hAnsi="Times New Roman" w:cs="Times New Roman"/>
              </w:rPr>
              <w:tab/>
            </w:r>
            <w:r>
              <w:rPr>
                <w:rFonts w:hint="default" w:ascii="Times New Roman" w:hAnsi="Times New Roman" w:cs="Times New Roman"/>
              </w:rPr>
              <w:t>与环境功能区划的相符性分析</w:t>
            </w:r>
          </w:p>
          <w:p>
            <w:pPr>
              <w:pStyle w:val="137"/>
              <w:ind w:firstLine="480"/>
              <w:rPr>
                <w:rFonts w:hint="default" w:ascii="Times New Roman" w:hAnsi="Times New Roman" w:cs="Times New Roman"/>
              </w:rPr>
            </w:pPr>
            <w:r>
              <w:rPr>
                <w:rFonts w:hint="default" w:ascii="Times New Roman" w:hAnsi="Times New Roman" w:cs="Times New Roman"/>
              </w:rPr>
              <w:t>项目所在区域空气环境功能为二类区；声环境为2类功能区；项目区域地表水体为项目北面的南渡河，不属于饮用水源保护区，为Ⅲ类标准。项目运营期产生的废水、废气、噪声等通过采取报告中提出的措施进行处理后不会改变区域环境功能。</w:t>
            </w:r>
          </w:p>
          <w:p>
            <w:pPr>
              <w:pStyle w:val="137"/>
              <w:ind w:firstLine="480"/>
              <w:rPr>
                <w:rFonts w:hint="default" w:ascii="Times New Roman" w:hAnsi="Times New Roman" w:cs="Times New Roman"/>
              </w:rPr>
            </w:pPr>
            <w:r>
              <w:rPr>
                <w:rFonts w:hint="default" w:ascii="Times New Roman" w:hAnsi="Times New Roman" w:cs="Times New Roman"/>
              </w:rPr>
              <w:t>（4）与地下水饮用水源保护区的相符性分析</w:t>
            </w:r>
          </w:p>
          <w:p>
            <w:pPr>
              <w:pStyle w:val="137"/>
              <w:ind w:firstLine="480"/>
              <w:rPr>
                <w:rFonts w:hint="default" w:ascii="Times New Roman" w:hAnsi="Times New Roman" w:cs="Times New Roman"/>
              </w:rPr>
            </w:pPr>
            <w:r>
              <w:rPr>
                <w:rFonts w:hint="default" w:ascii="Times New Roman" w:hAnsi="Times New Roman" w:cs="Times New Roman"/>
              </w:rPr>
              <w:t>根据《关于同意划定湛江市市区地下水饮用水源保护区的批复》（粤府函（</w:t>
            </w:r>
            <w:r>
              <w:rPr>
                <w:rFonts w:hint="default" w:ascii="Times New Roman" w:hAnsi="Times New Roman" w:eastAsia="Times New Roman" w:cs="Times New Roman"/>
              </w:rPr>
              <w:t>2012</w:t>
            </w:r>
            <w:r>
              <w:rPr>
                <w:rFonts w:hint="default" w:ascii="Times New Roman" w:hAnsi="Times New Roman" w:cs="Times New Roman"/>
              </w:rPr>
              <w:t>）</w:t>
            </w:r>
            <w:r>
              <w:rPr>
                <w:rFonts w:hint="default" w:ascii="Times New Roman" w:hAnsi="Times New Roman" w:eastAsia="Times New Roman" w:cs="Times New Roman"/>
              </w:rPr>
              <w:t>65</w:t>
            </w:r>
            <w:r>
              <w:rPr>
                <w:rFonts w:hint="default" w:ascii="Times New Roman" w:hAnsi="Times New Roman" w:cs="Times New Roman"/>
              </w:rPr>
              <w:t>号），同意划定湛江市市区东菊、屋山、客路、祝美、司马、沙沟等</w:t>
            </w:r>
            <w:r>
              <w:rPr>
                <w:rFonts w:hint="default" w:ascii="Times New Roman" w:hAnsi="Times New Roman" w:eastAsia="Times New Roman" w:cs="Times New Roman"/>
              </w:rPr>
              <w:t>6</w:t>
            </w:r>
            <w:r>
              <w:rPr>
                <w:rFonts w:hint="default" w:ascii="Times New Roman" w:hAnsi="Times New Roman" w:cs="Times New Roman"/>
              </w:rPr>
              <w:t>个地下水饮用水源保护区，其中客路、祝美、司马、沙沟</w:t>
            </w:r>
            <w:r>
              <w:rPr>
                <w:rFonts w:hint="default" w:ascii="Times New Roman" w:hAnsi="Times New Roman" w:eastAsia="Times New Roman" w:cs="Times New Roman"/>
              </w:rPr>
              <w:t>4</w:t>
            </w:r>
            <w:r>
              <w:rPr>
                <w:rFonts w:hint="default" w:ascii="Times New Roman" w:hAnsi="Times New Roman" w:cs="Times New Roman"/>
              </w:rPr>
              <w:t>个地下水饮用水源保护区位于麻章区，东菊、屋山地下水饮用水源保护区位于赤坎区和霞山区，本项目建设地点雷州市雷高镇，不属于地下饮用水源保护区。</w:t>
            </w:r>
          </w:p>
          <w:p>
            <w:pPr>
              <w:pStyle w:val="137"/>
              <w:ind w:firstLine="480"/>
              <w:rPr>
                <w:rFonts w:hint="default" w:ascii="Times New Roman" w:hAnsi="Times New Roman" w:cs="Times New Roman"/>
              </w:rPr>
            </w:pPr>
            <w:r>
              <w:rPr>
                <w:rFonts w:hint="default" w:ascii="Times New Roman" w:hAnsi="Times New Roman" w:cs="Times New Roman"/>
              </w:rPr>
              <w:t>综上所述，项目用地性质为建设用地，选址不属于水源保护区，符合当地用地规划和环境保护规划。</w:t>
            </w:r>
          </w:p>
          <w:p>
            <w:pPr>
              <w:pStyle w:val="161"/>
              <w:rPr>
                <w:rFonts w:hint="default" w:ascii="Times New Roman" w:hAnsi="Times New Roman" w:cs="Times New Roman"/>
              </w:rPr>
            </w:pPr>
            <w:r>
              <w:rPr>
                <w:rFonts w:hint="default" w:ascii="Times New Roman" w:hAnsi="Times New Roman" w:cs="Times New Roman"/>
              </w:rPr>
              <w:t>6、公用工程</w:t>
            </w:r>
          </w:p>
          <w:p>
            <w:pPr>
              <w:pStyle w:val="137"/>
              <w:ind w:firstLine="480"/>
              <w:rPr>
                <w:rFonts w:hint="default" w:ascii="Times New Roman" w:hAnsi="Times New Roman" w:cs="Times New Roman"/>
              </w:rPr>
            </w:pPr>
            <w:r>
              <w:rPr>
                <w:rFonts w:hint="default" w:ascii="Times New Roman" w:hAnsi="Times New Roman" w:cs="Times New Roman"/>
              </w:rPr>
              <w:t>（1）给水系统</w:t>
            </w:r>
          </w:p>
          <w:p>
            <w:pPr>
              <w:pStyle w:val="137"/>
              <w:ind w:firstLine="480"/>
              <w:rPr>
                <w:rFonts w:hint="default" w:ascii="Times New Roman" w:hAnsi="Times New Roman" w:cs="Times New Roman"/>
              </w:rPr>
            </w:pPr>
            <w:r>
              <w:rPr>
                <w:rFonts w:hint="default" w:ascii="Times New Roman" w:hAnsi="Times New Roman" w:cs="Times New Roman"/>
              </w:rPr>
              <w:t>本项目用水来自厂内水井。项目营运期无工艺用水环节，站区用水主要为生活用水、地面清洗用水。总用水量约为2306.8</w:t>
            </w:r>
            <w:r>
              <w:rPr>
                <w:rFonts w:hint="eastAsia" w:cs="Times New Roman"/>
                <w:lang w:val="en-US" w:eastAsia="zh-CN"/>
              </w:rPr>
              <w:t>m</w:t>
            </w:r>
            <w:r>
              <w:rPr>
                <w:rFonts w:hint="eastAsia" w:cs="Times New Roman"/>
                <w:vertAlign w:val="superscript"/>
                <w:lang w:val="en-US" w:eastAsia="zh-CN"/>
              </w:rPr>
              <w:t>3</w:t>
            </w:r>
            <w:r>
              <w:rPr>
                <w:rFonts w:hint="default" w:ascii="Times New Roman" w:hAnsi="Times New Roman" w:cs="Times New Roman"/>
              </w:rPr>
              <w:t>/a。</w:t>
            </w:r>
          </w:p>
          <w:p>
            <w:pPr>
              <w:pStyle w:val="137"/>
              <w:ind w:firstLine="480"/>
              <w:rPr>
                <w:rFonts w:hint="default" w:ascii="Times New Roman" w:hAnsi="Times New Roman" w:cs="Times New Roman"/>
              </w:rPr>
            </w:pPr>
            <w:r>
              <w:rPr>
                <w:rFonts w:hint="default" w:ascii="Times New Roman" w:hAnsi="Times New Roman" w:cs="Times New Roman"/>
              </w:rPr>
              <w:t>（2）排水系统</w:t>
            </w:r>
          </w:p>
          <w:p>
            <w:pPr>
              <w:pStyle w:val="137"/>
              <w:ind w:firstLine="480"/>
              <w:rPr>
                <w:rFonts w:hint="default" w:ascii="Times New Roman" w:hAnsi="Times New Roman" w:cs="Times New Roman"/>
              </w:rPr>
            </w:pPr>
            <w:r>
              <w:rPr>
                <w:rFonts w:hint="default" w:ascii="Times New Roman" w:hAnsi="Times New Roman" w:cs="Times New Roman"/>
              </w:rPr>
              <w:t>项目排水采用雨、污水分流制。站区内设置截流沟，初期雨水经截流沟收集并进入隔油池、三级沉淀池处理后回用</w:t>
            </w:r>
            <w:r>
              <w:rPr>
                <w:rFonts w:hint="eastAsia" w:cs="Times New Roman"/>
                <w:lang w:val="en-US" w:eastAsia="zh-CN"/>
              </w:rPr>
              <w:t>站内洒水降尘</w:t>
            </w:r>
            <w:r>
              <w:rPr>
                <w:rFonts w:hint="default" w:ascii="Times New Roman" w:hAnsi="Times New Roman" w:cs="Times New Roman"/>
              </w:rPr>
              <w:t>。</w:t>
            </w:r>
          </w:p>
          <w:p>
            <w:pPr>
              <w:pStyle w:val="137"/>
              <w:ind w:firstLine="480"/>
              <w:rPr>
                <w:rFonts w:hint="default" w:ascii="Times New Roman" w:hAnsi="Times New Roman" w:eastAsia="宋体" w:cs="Times New Roman"/>
                <w:lang w:val="en-US" w:eastAsia="zh-CN"/>
              </w:rPr>
            </w:pPr>
            <w:r>
              <w:rPr>
                <w:rFonts w:hint="default" w:ascii="Times New Roman" w:hAnsi="Times New Roman" w:cs="Times New Roman"/>
              </w:rPr>
              <w:t>生活污水产生量为</w:t>
            </w:r>
            <w:r>
              <w:rPr>
                <w:rFonts w:hint="default" w:ascii="Times New Roman" w:hAnsi="Times New Roman" w:eastAsia="Times New Roman" w:cs="Times New Roman"/>
              </w:rPr>
              <w:t>1649.8</w:t>
            </w:r>
            <w:r>
              <w:rPr>
                <w:rFonts w:hint="eastAsia" w:cs="Times New Roman"/>
                <w:lang w:val="en-US" w:eastAsia="zh-CN"/>
              </w:rPr>
              <w:t>m</w:t>
            </w:r>
            <w:r>
              <w:rPr>
                <w:rFonts w:hint="eastAsia" w:cs="Times New Roman"/>
                <w:vertAlign w:val="superscript"/>
                <w:lang w:val="en-US" w:eastAsia="zh-CN"/>
              </w:rPr>
              <w:t>3</w:t>
            </w:r>
            <w:r>
              <w:rPr>
                <w:rFonts w:hint="default" w:ascii="Times New Roman" w:hAnsi="Times New Roman" w:cs="Times New Roman"/>
              </w:rPr>
              <w:t>/a，清洗废水产生量为</w:t>
            </w:r>
            <w:r>
              <w:rPr>
                <w:rFonts w:hint="default" w:ascii="Times New Roman" w:hAnsi="Times New Roman" w:eastAsia="Times New Roman" w:cs="Times New Roman"/>
              </w:rPr>
              <w:t>328.5</w:t>
            </w:r>
            <w:r>
              <w:rPr>
                <w:rFonts w:hint="eastAsia" w:cs="Times New Roman"/>
                <w:lang w:val="en-US" w:eastAsia="zh-CN"/>
              </w:rPr>
              <w:t>m</w:t>
            </w:r>
            <w:r>
              <w:rPr>
                <w:rFonts w:hint="eastAsia" w:cs="Times New Roman"/>
                <w:vertAlign w:val="superscript"/>
                <w:lang w:val="en-US" w:eastAsia="zh-CN"/>
              </w:rPr>
              <w:t>3</w:t>
            </w:r>
            <w:r>
              <w:rPr>
                <w:rFonts w:hint="default" w:ascii="Times New Roman" w:hAnsi="Times New Roman" w:cs="Times New Roman"/>
              </w:rPr>
              <w:t>/a。生活污水经三级化粪池处理，清洗废水经隔油池处理，由附近村民定期清掏用于肥田回用。清洗废水经隔油池、三级沉淀池处理后回用</w:t>
            </w:r>
            <w:r>
              <w:rPr>
                <w:rFonts w:hint="eastAsia" w:cs="Times New Roman"/>
                <w:lang w:val="en-US" w:eastAsia="zh-CN"/>
              </w:rPr>
              <w:t>站内洒水和站内绿化。</w:t>
            </w:r>
          </w:p>
          <w:p>
            <w:pPr>
              <w:pStyle w:val="137"/>
              <w:ind w:firstLine="480"/>
              <w:rPr>
                <w:rFonts w:hint="default" w:ascii="Times New Roman" w:hAnsi="Times New Roman" w:cs="Times New Roman"/>
              </w:rPr>
            </w:pPr>
            <w:r>
              <w:rPr>
                <w:rFonts w:hint="default" w:ascii="Times New Roman" w:hAnsi="Times New Roman" w:cs="Times New Roman"/>
              </w:rPr>
              <w:t>3）</w:t>
            </w:r>
            <w:r>
              <w:rPr>
                <w:rFonts w:hint="default" w:ascii="Times New Roman" w:hAnsi="Times New Roman" w:cs="Times New Roman"/>
              </w:rPr>
              <w:tab/>
            </w:r>
            <w:r>
              <w:rPr>
                <w:rFonts w:hint="default" w:ascii="Times New Roman" w:hAnsi="Times New Roman" w:cs="Times New Roman"/>
              </w:rPr>
              <w:t>供、配电系统</w:t>
            </w:r>
          </w:p>
          <w:p>
            <w:pPr>
              <w:pStyle w:val="137"/>
              <w:ind w:firstLine="480"/>
              <w:rPr>
                <w:rFonts w:hint="default" w:ascii="Times New Roman" w:hAnsi="Times New Roman" w:cs="Times New Roman"/>
              </w:rPr>
            </w:pPr>
            <w:r>
              <w:rPr>
                <w:rFonts w:hint="default" w:ascii="Times New Roman" w:hAnsi="Times New Roman" w:cs="Times New Roman"/>
              </w:rPr>
              <w:t>本项目供电为市政电网供电，预计用电量为12000kW·h /a。项目设有一台额定功率为30KW的备用发电机，使用含硫量不大于0.001%的0#柴油为燃料，于停电时使用。项目所在区域市政供电能力比较充足，发电机较少使用，全年发电机按半年启动一次，每次运行时间8h计，每月开机维护一次，每次维护运行时间为10分钟，则发电机全年工作时间18h，全年耗油量为0.15t。备用发电机房位于综合站房。</w:t>
            </w:r>
          </w:p>
          <w:p>
            <w:pPr>
              <w:pStyle w:val="137"/>
              <w:ind w:firstLine="480"/>
              <w:rPr>
                <w:rFonts w:hint="default" w:ascii="Times New Roman" w:hAnsi="Times New Roman" w:cs="Times New Roman"/>
              </w:rPr>
            </w:pPr>
            <w:r>
              <w:rPr>
                <w:rFonts w:hint="default" w:ascii="Times New Roman" w:hAnsi="Times New Roman" w:cs="Times New Roman"/>
              </w:rPr>
              <w:t>4）</w:t>
            </w:r>
            <w:r>
              <w:rPr>
                <w:rFonts w:hint="default" w:ascii="Times New Roman" w:hAnsi="Times New Roman" w:cs="Times New Roman"/>
              </w:rPr>
              <w:tab/>
            </w:r>
            <w:r>
              <w:rPr>
                <w:rFonts w:hint="default" w:ascii="Times New Roman" w:hAnsi="Times New Roman" w:cs="Times New Roman"/>
              </w:rPr>
              <w:t>消防系统</w:t>
            </w:r>
          </w:p>
          <w:p>
            <w:pPr>
              <w:pStyle w:val="137"/>
              <w:ind w:firstLine="480"/>
              <w:rPr>
                <w:rFonts w:hint="default" w:ascii="Times New Roman" w:hAnsi="Times New Roman" w:cs="Times New Roman"/>
              </w:rPr>
            </w:pPr>
            <w:r>
              <w:rPr>
                <w:rFonts w:hint="default" w:ascii="Times New Roman" w:hAnsi="Times New Roman" w:cs="Times New Roman"/>
              </w:rPr>
              <w:t>本站设计规模为三级加油站， 按照《汽车加油加气站设计与施工规范》（GB501562012，2014年局部修订版）规范要求严格控制站区内危险源与各建（构） 筑物的防火间距。有关埋地布置、油品密闭输送、油气回收措施有利于消防安全。根据《建筑设计防火规范》（GB50016-2006）的规定，采取“预防为主、防消结合”的方针进行防火设计，站房、罩棚等耐火等级为二级，能满足规范防火要求。根据加油站消防特点及规范要求配备一定数量的消防设施，灭火器材配置按现行国家标准《建筑灭火器配置设计规范》（GB50140）的规定进行。</w:t>
            </w:r>
          </w:p>
          <w:p>
            <w:pPr>
              <w:pStyle w:val="137"/>
              <w:ind w:firstLine="480"/>
              <w:rPr>
                <w:rFonts w:hint="default" w:ascii="Times New Roman" w:hAnsi="Times New Roman" w:cs="Times New Roman"/>
              </w:rPr>
            </w:pPr>
            <w:r>
              <w:rPr>
                <w:rFonts w:hint="default" w:ascii="Times New Roman" w:hAnsi="Times New Roman" w:cs="Times New Roman"/>
              </w:rPr>
              <w:t>5）防渗工程</w:t>
            </w:r>
          </w:p>
          <w:p>
            <w:pPr>
              <w:pStyle w:val="137"/>
              <w:ind w:firstLine="480"/>
              <w:rPr>
                <w:rFonts w:hint="default" w:ascii="Times New Roman" w:hAnsi="Times New Roman" w:cs="Times New Roman"/>
              </w:rPr>
            </w:pPr>
            <w:r>
              <w:rPr>
                <w:rFonts w:hint="default" w:ascii="Times New Roman" w:hAnsi="Times New Roman" w:cs="Times New Roman"/>
              </w:rPr>
              <w:t>加油站防渗池采用防渗钢筋混凝土整体浇筑，防渗池内的空间用中性沙回填；油罐设置卸油时的防满溢措施；三级隔油池、化粪池、加油岛的基础层须采用高标水泥硬化，地下罐池池壁均采用高标水泥硬化，使得防渗层渗透系数≤10</w:t>
            </w:r>
            <w:r>
              <w:rPr>
                <w:rFonts w:hint="default" w:ascii="Times New Roman" w:hAnsi="Times New Roman" w:cs="Times New Roman"/>
                <w:vertAlign w:val="superscript"/>
              </w:rPr>
              <w:t>-7</w:t>
            </w:r>
            <w:r>
              <w:rPr>
                <w:rFonts w:hint="default" w:ascii="Times New Roman" w:hAnsi="Times New Roman" w:cs="Times New Roman"/>
              </w:rPr>
              <w:t>cm/s，防渗池具体要求详见《加油站地下水污染防治技术指南（试行）》及《汽车加油加气站设计与施工规范》（GB50156-2012，2014年局部修订版）。</w:t>
            </w:r>
          </w:p>
          <w:p>
            <w:pPr>
              <w:pStyle w:val="137"/>
              <w:ind w:firstLine="480"/>
              <w:rPr>
                <w:rFonts w:hint="default" w:ascii="Times New Roman" w:hAnsi="Times New Roman" w:cs="Times New Roman"/>
              </w:rPr>
            </w:pPr>
            <w:r>
              <w:rPr>
                <w:rFonts w:hint="default" w:ascii="Times New Roman" w:hAnsi="Times New Roman" w:cs="Times New Roman"/>
              </w:rPr>
              <w:t>6）施工人数及施工进度安排</w:t>
            </w:r>
          </w:p>
          <w:p>
            <w:pPr>
              <w:pStyle w:val="137"/>
              <w:ind w:firstLine="480"/>
              <w:rPr>
                <w:rFonts w:hint="default" w:ascii="Times New Roman" w:hAnsi="Times New Roman" w:cs="Times New Roman"/>
              </w:rPr>
            </w:pPr>
            <w:r>
              <w:rPr>
                <w:rFonts w:hint="default" w:ascii="Times New Roman" w:hAnsi="Times New Roman" w:cs="Times New Roman"/>
              </w:rPr>
              <w:t>施工人数及进度安排：项目预计于2020年8月底开始施工，2020年11月底竣工，施工期为3个月。施工期日进场人数约15人，不设施工营地，统一在外租住。</w:t>
            </w:r>
          </w:p>
          <w:p>
            <w:pPr>
              <w:pStyle w:val="137"/>
              <w:ind w:firstLine="480"/>
              <w:rPr>
                <w:rFonts w:hint="default" w:ascii="Times New Roman" w:hAnsi="Times New Roman" w:cs="Times New Roman"/>
              </w:rPr>
            </w:pPr>
            <w:r>
              <w:rPr>
                <w:rFonts w:hint="default" w:ascii="Times New Roman" w:hAnsi="Times New Roman" w:cs="Times New Roman"/>
              </w:rPr>
              <w:t>交通环境：本项目雷州市雷高镇雷调公路东侧，项目西侧为雷调公路，交通便利，环境条件好，有利于建筑施工</w:t>
            </w:r>
          </w:p>
          <w:p>
            <w:pPr>
              <w:pStyle w:val="137"/>
              <w:ind w:firstLine="480"/>
              <w:rPr>
                <w:rFonts w:hint="default" w:ascii="Times New Roman" w:hAnsi="Times New Roman" w:cs="Times New Roman"/>
              </w:rPr>
            </w:pPr>
            <w:r>
              <w:rPr>
                <w:rFonts w:hint="default" w:ascii="Times New Roman" w:hAnsi="Times New Roman" w:cs="Times New Roman"/>
              </w:rPr>
              <w:t>7）劳动定员</w:t>
            </w:r>
          </w:p>
          <w:p>
            <w:pPr>
              <w:pStyle w:val="137"/>
              <w:ind w:firstLine="480"/>
              <w:rPr>
                <w:rFonts w:hint="default" w:ascii="Times New Roman" w:hAnsi="Times New Roman" w:cs="Times New Roman"/>
              </w:rPr>
            </w:pPr>
            <w:r>
              <w:rPr>
                <w:rFonts w:hint="default" w:ascii="Times New Roman" w:hAnsi="Times New Roman" w:cs="Times New Roman"/>
              </w:rPr>
              <w:t>本项目劳动定员为8人，年工作365天，三班制，每班8小时，不在站内食宿。</w:t>
            </w:r>
          </w:p>
          <w:p>
            <w:pPr>
              <w:pStyle w:val="137"/>
              <w:ind w:firstLine="480"/>
              <w:rPr>
                <w:rFonts w:hint="default" w:ascii="Times New Roman" w:hAnsi="Times New Roman" w:cs="Times New Roman"/>
              </w:rPr>
            </w:pPr>
            <w:r>
              <w:rPr>
                <w:rFonts w:hint="default" w:ascii="Times New Roman" w:hAnsi="Times New Roman" w:cs="Times New Roman"/>
              </w:rPr>
              <w:t>8）项目周边环境状况。</w:t>
            </w:r>
          </w:p>
          <w:p>
            <w:pPr>
              <w:pStyle w:val="137"/>
              <w:ind w:firstLine="480"/>
              <w:rPr>
                <w:rFonts w:hint="default" w:ascii="Times New Roman" w:hAnsi="Times New Roman" w:cs="Times New Roman"/>
                <w:szCs w:val="28"/>
              </w:rPr>
            </w:pPr>
            <w:r>
              <w:rPr>
                <w:rFonts w:hint="default" w:ascii="Times New Roman" w:hAnsi="Times New Roman" w:cs="Times New Roman"/>
                <w:szCs w:val="28"/>
              </w:rPr>
              <w:t>四至情况：根据现场踏勘，项目现状为空地。项目北侧为驾校和林地，西侧为</w:t>
            </w:r>
            <w:r>
              <w:rPr>
                <w:rFonts w:hint="default" w:ascii="Times New Roman" w:hAnsi="Times New Roman" w:cs="Times New Roman"/>
              </w:rPr>
              <w:t>雷调公路，南侧为空地，东侧树林和农田</w:t>
            </w:r>
            <w:r>
              <w:rPr>
                <w:rFonts w:hint="default" w:ascii="Times New Roman" w:hAnsi="Times New Roman" w:cs="Times New Roman"/>
                <w:szCs w:val="28"/>
              </w:rPr>
              <w:t>。项目四至见附图2。</w:t>
            </w:r>
          </w:p>
          <w:p>
            <w:pPr>
              <w:pStyle w:val="137"/>
              <w:ind w:firstLine="480"/>
              <w:rPr>
                <w:rFonts w:hint="default" w:ascii="Times New Roman" w:hAnsi="Times New Roman" w:cs="Times New Roman"/>
              </w:rPr>
            </w:pPr>
            <w:r>
              <w:rPr>
                <w:rFonts w:hint="default" w:ascii="Times New Roman" w:hAnsi="Times New Roman" w:cs="Times New Roman"/>
              </w:rPr>
              <w:t>项目四周建（构）筑物与项目内汽油设备（埋地油罐、加油机、通气管口）、柴油设备（埋地油罐、加油机、通气管口）的安全距离均满足防火间距的要求。</w:t>
            </w:r>
          </w:p>
          <w:p>
            <w:pPr>
              <w:pStyle w:val="161"/>
              <w:rPr>
                <w:rFonts w:hint="default" w:ascii="Times New Roman" w:hAnsi="Times New Roman" w:cs="Times New Roman"/>
              </w:rPr>
            </w:pPr>
            <w:r>
              <w:rPr>
                <w:rFonts w:hint="default" w:ascii="Times New Roman" w:hAnsi="Times New Roman" w:cs="Times New Roman"/>
              </w:rPr>
              <w:t>7、与现行产业政策符合性分析</w:t>
            </w:r>
          </w:p>
          <w:p>
            <w:pPr>
              <w:pStyle w:val="137"/>
              <w:ind w:firstLine="480"/>
              <w:rPr>
                <w:rFonts w:hint="default" w:ascii="Times New Roman" w:hAnsi="Times New Roman" w:cs="Times New Roman"/>
              </w:rPr>
            </w:pPr>
            <w:r>
              <w:rPr>
                <w:rFonts w:hint="default" w:ascii="Times New Roman" w:hAnsi="Times New Roman" w:cs="Times New Roman"/>
              </w:rPr>
              <w:t>（1）与《产业结构调整指导目录》（</w:t>
            </w:r>
            <w:r>
              <w:rPr>
                <w:rFonts w:hint="default" w:ascii="Times New Roman" w:hAnsi="Times New Roman" w:eastAsia="Times New Roman" w:cs="Times New Roman"/>
              </w:rPr>
              <w:t>2019</w:t>
            </w:r>
            <w:r>
              <w:rPr>
                <w:rFonts w:hint="default" w:ascii="Times New Roman" w:hAnsi="Times New Roman" w:cs="Times New Roman"/>
              </w:rPr>
              <w:t>年本）符合性分析</w:t>
            </w:r>
          </w:p>
          <w:p>
            <w:pPr>
              <w:pStyle w:val="137"/>
              <w:ind w:firstLine="480"/>
              <w:rPr>
                <w:rFonts w:hint="default" w:ascii="Times New Roman" w:hAnsi="Times New Roman" w:cs="Times New Roman"/>
              </w:rPr>
            </w:pPr>
            <w:r>
              <w:rPr>
                <w:rFonts w:hint="default" w:ascii="Times New Roman" w:hAnsi="Times New Roman" w:cs="Times New Roman"/>
              </w:rPr>
              <w:t>本项目属机动车燃料零售，查阅《产业结构调整指导目录》（</w:t>
            </w:r>
            <w:r>
              <w:rPr>
                <w:rFonts w:hint="default" w:ascii="Times New Roman" w:hAnsi="Times New Roman" w:eastAsia="Times New Roman" w:cs="Times New Roman"/>
              </w:rPr>
              <w:t>2019</w:t>
            </w:r>
            <w:r>
              <w:rPr>
                <w:rFonts w:hint="default" w:ascii="Times New Roman" w:hAnsi="Times New Roman" w:cs="Times New Roman"/>
              </w:rPr>
              <w:t>年本）本项目不属于其中所列禁止、鼓励及限制类项目，属于允许类项目。查阅《市场准入负面清单（</w:t>
            </w:r>
            <w:r>
              <w:rPr>
                <w:rFonts w:hint="default" w:ascii="Times New Roman" w:hAnsi="Times New Roman" w:eastAsia="Times New Roman" w:cs="Times New Roman"/>
              </w:rPr>
              <w:t>2019</w:t>
            </w:r>
            <w:r>
              <w:rPr>
                <w:rFonts w:hint="default" w:ascii="Times New Roman" w:hAnsi="Times New Roman" w:cs="Times New Roman"/>
              </w:rPr>
              <w:t>年版）》，本项目不属于其中列明的建设项目，故项目建设符合国家及地方相关产业政策。</w:t>
            </w:r>
          </w:p>
          <w:p>
            <w:pPr>
              <w:pStyle w:val="137"/>
              <w:ind w:firstLine="480"/>
              <w:rPr>
                <w:rFonts w:hint="default" w:ascii="Times New Roman" w:hAnsi="Times New Roman" w:cs="Times New Roman"/>
              </w:rPr>
            </w:pPr>
            <w:r>
              <w:rPr>
                <w:rFonts w:hint="default" w:ascii="Times New Roman" w:hAnsi="Times New Roman" w:cs="Times New Roman"/>
              </w:rPr>
              <w:t>（2）与《挥发性有机物污染防治技术政策》的相符性分析</w:t>
            </w:r>
          </w:p>
          <w:p>
            <w:pPr>
              <w:pStyle w:val="137"/>
              <w:ind w:firstLine="480"/>
              <w:rPr>
                <w:rFonts w:hint="default" w:ascii="Times New Roman" w:hAnsi="Times New Roman" w:cs="Times New Roman"/>
              </w:rPr>
            </w:pPr>
            <w:r>
              <w:rPr>
                <w:rFonts w:hint="default" w:ascii="Times New Roman" w:hAnsi="Times New Roman" w:eastAsia="Times New Roman" w:cs="Times New Roman"/>
              </w:rPr>
              <w:t>2013</w:t>
            </w:r>
            <w:r>
              <w:rPr>
                <w:rFonts w:hint="default" w:ascii="Times New Roman" w:hAnsi="Times New Roman" w:cs="Times New Roman"/>
              </w:rPr>
              <w:t>年</w:t>
            </w:r>
            <w:r>
              <w:rPr>
                <w:rFonts w:hint="default" w:ascii="Times New Roman" w:hAnsi="Times New Roman" w:eastAsia="Times New Roman" w:cs="Times New Roman"/>
              </w:rPr>
              <w:t>5</w:t>
            </w:r>
            <w:r>
              <w:rPr>
                <w:rFonts w:hint="default" w:ascii="Times New Roman" w:hAnsi="Times New Roman" w:cs="Times New Roman"/>
              </w:rPr>
              <w:t>月</w:t>
            </w:r>
            <w:r>
              <w:rPr>
                <w:rFonts w:hint="default" w:ascii="Times New Roman" w:hAnsi="Times New Roman" w:eastAsia="Times New Roman" w:cs="Times New Roman"/>
              </w:rPr>
              <w:t>24</w:t>
            </w:r>
            <w:r>
              <w:rPr>
                <w:rFonts w:hint="default" w:ascii="Times New Roman" w:hAnsi="Times New Roman" w:cs="Times New Roman"/>
              </w:rPr>
              <w:t>日国家环保部发布了《挥发性有机物污染防治技术政策》（公告</w:t>
            </w:r>
            <w:r>
              <w:rPr>
                <w:rFonts w:hint="default" w:ascii="Times New Roman" w:hAnsi="Times New Roman" w:eastAsia="Times New Roman" w:cs="Times New Roman"/>
              </w:rPr>
              <w:t xml:space="preserve">2013 </w:t>
            </w:r>
            <w:r>
              <w:rPr>
                <w:rFonts w:hint="default" w:ascii="Times New Roman" w:hAnsi="Times New Roman" w:cs="Times New Roman"/>
              </w:rPr>
              <w:t>年第</w:t>
            </w:r>
            <w:r>
              <w:rPr>
                <w:rFonts w:hint="default" w:ascii="Times New Roman" w:hAnsi="Times New Roman" w:eastAsia="Times New Roman" w:cs="Times New Roman"/>
              </w:rPr>
              <w:t>31</w:t>
            </w:r>
            <w:r>
              <w:rPr>
                <w:rFonts w:hint="default" w:ascii="Times New Roman" w:hAnsi="Times New Roman" w:cs="Times New Roman"/>
              </w:rPr>
              <w:t>号</w:t>
            </w:r>
            <w:r>
              <w:rPr>
                <w:rFonts w:hint="default" w:ascii="Times New Roman" w:hAnsi="Times New Roman" w:eastAsia="Times New Roman" w:cs="Times New Roman"/>
              </w:rPr>
              <w:t>2013-05-24</w:t>
            </w:r>
            <w:r>
              <w:rPr>
                <w:rFonts w:hint="default" w:ascii="Times New Roman" w:hAnsi="Times New Roman" w:cs="Times New Roman"/>
              </w:rPr>
              <w:t>实施），其中要求：</w:t>
            </w:r>
            <w:r>
              <w:rPr>
                <w:rFonts w:hint="default" w:ascii="Times New Roman" w:hAnsi="Times New Roman" w:eastAsia="Times New Roman" w:cs="Times New Roman"/>
              </w:rPr>
              <w:t>“</w:t>
            </w:r>
            <w:r>
              <w:rPr>
                <w:rFonts w:hint="default" w:ascii="Times New Roman" w:hAnsi="Times New Roman" w:cs="Times New Roman"/>
              </w:rPr>
              <w:t>储油库、加油站和油罐车宜配备相应的油气收集系统，储油库、加油站宜配备相应的油气回收系统。</w:t>
            </w:r>
            <w:r>
              <w:rPr>
                <w:rFonts w:hint="default" w:ascii="Times New Roman" w:hAnsi="Times New Roman" w:eastAsia="Times New Roman" w:cs="Times New Roman"/>
              </w:rPr>
              <w:t>”</w:t>
            </w:r>
            <w:r>
              <w:rPr>
                <w:rFonts w:hint="default" w:ascii="Times New Roman" w:hAnsi="Times New Roman" w:cs="Times New Roman"/>
              </w:rPr>
              <w:t>本项目采用具有油气回收功能的油枪，并设置一、二次油气回收装置。</w:t>
            </w:r>
          </w:p>
          <w:p>
            <w:pPr>
              <w:pStyle w:val="137"/>
              <w:ind w:firstLine="480"/>
              <w:rPr>
                <w:rFonts w:hint="default" w:ascii="Times New Roman" w:hAnsi="Times New Roman" w:cs="Times New Roman"/>
              </w:rPr>
            </w:pPr>
            <w:r>
              <w:rPr>
                <w:rFonts w:hint="default" w:ascii="Times New Roman" w:hAnsi="Times New Roman" w:cs="Times New Roman"/>
              </w:rPr>
              <w:t>因此，本项目建设符合《挥发性有机物污染防治技术政策》的相关要求。</w:t>
            </w:r>
          </w:p>
          <w:p>
            <w:pPr>
              <w:pStyle w:val="13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rPr>
            </w:pPr>
            <w:r>
              <w:rPr>
                <w:rFonts w:hint="default" w:ascii="Times New Roman" w:hAnsi="Times New Roman" w:cs="Times New Roman"/>
              </w:rPr>
              <w:t>（4）与《广东省挥发性有机物（</w:t>
            </w:r>
            <w:r>
              <w:rPr>
                <w:rFonts w:hint="default" w:ascii="Times New Roman" w:hAnsi="Times New Roman" w:eastAsia="Times New Roman" w:cs="Times New Roman"/>
              </w:rPr>
              <w:t>VOCs</w:t>
            </w:r>
            <w:r>
              <w:rPr>
                <w:rFonts w:hint="default" w:ascii="Times New Roman" w:hAnsi="Times New Roman" w:cs="Times New Roman"/>
              </w:rPr>
              <w:t>）整治与减排工作方案（</w:t>
            </w:r>
            <w:r>
              <w:rPr>
                <w:rFonts w:hint="default" w:ascii="Times New Roman" w:hAnsi="Times New Roman" w:eastAsia="Times New Roman" w:cs="Times New Roman"/>
              </w:rPr>
              <w:t>2018-2020</w:t>
            </w:r>
            <w:r>
              <w:rPr>
                <w:rFonts w:hint="default" w:ascii="Times New Roman" w:hAnsi="Times New Roman" w:cs="Times New Roman"/>
              </w:rPr>
              <w:t>年）》的相符性分析</w:t>
            </w:r>
          </w:p>
          <w:p>
            <w:pPr>
              <w:pStyle w:val="143"/>
              <w:keepNext w:val="0"/>
              <w:keepLines w:val="0"/>
              <w:pageBreakBefore w:val="0"/>
              <w:widowControl w:val="0"/>
              <w:kinsoku/>
              <w:wordWrap/>
              <w:overflowPunct/>
              <w:topLinePunct w:val="0"/>
              <w:autoSpaceDE/>
              <w:autoSpaceDN/>
              <w:bidi w:val="0"/>
              <w:adjustRightInd/>
              <w:snapToGrid/>
              <w:spacing w:beforeLines="0"/>
              <w:textAlignment w:val="auto"/>
              <w:rPr>
                <w:rFonts w:hint="default" w:ascii="Times New Roman" w:hAnsi="Times New Roman" w:cs="Times New Roman"/>
              </w:rPr>
            </w:pPr>
            <w:r>
              <w:rPr>
                <w:rFonts w:hint="default" w:ascii="Times New Roman" w:hAnsi="Times New Roman" w:cs="Times New Roman"/>
              </w:rPr>
              <w:t>表</w:t>
            </w:r>
            <w:r>
              <w:rPr>
                <w:rFonts w:hint="eastAsia" w:cs="Times New Roman"/>
                <w:lang w:val="en-US" w:eastAsia="zh-CN"/>
              </w:rPr>
              <w:t>1-10</w:t>
            </w:r>
            <w:r>
              <w:rPr>
                <w:rFonts w:hint="default" w:ascii="Times New Roman" w:hAnsi="Times New Roman" w:cs="Times New Roman"/>
              </w:rPr>
              <w:t xml:space="preserve"> </w:t>
            </w:r>
            <w:r>
              <w:rPr>
                <w:rFonts w:hint="default" w:ascii="Times New Roman" w:hAnsi="Times New Roman" w:eastAsia="Times New Roman" w:cs="Times New Roman"/>
              </w:rPr>
              <w:t xml:space="preserve"> </w:t>
            </w:r>
            <w:r>
              <w:rPr>
                <w:rFonts w:hint="default" w:ascii="Times New Roman" w:hAnsi="Times New Roman" w:cs="Times New Roman"/>
              </w:rPr>
              <w:t>与《广东省挥发性有机物（</w:t>
            </w:r>
            <w:r>
              <w:rPr>
                <w:rFonts w:hint="default" w:ascii="Times New Roman" w:hAnsi="Times New Roman" w:eastAsia="Times New Roman" w:cs="Times New Roman"/>
              </w:rPr>
              <w:t>VOCs</w:t>
            </w:r>
            <w:r>
              <w:rPr>
                <w:rFonts w:hint="default" w:ascii="Times New Roman" w:hAnsi="Times New Roman" w:cs="Times New Roman"/>
              </w:rPr>
              <w:t>）整治与减排工作方案（</w:t>
            </w:r>
            <w:r>
              <w:rPr>
                <w:rFonts w:hint="default" w:ascii="Times New Roman" w:hAnsi="Times New Roman" w:eastAsia="Times New Roman" w:cs="Times New Roman"/>
              </w:rPr>
              <w:t>2018-2020</w:t>
            </w:r>
            <w:r>
              <w:rPr>
                <w:rFonts w:hint="default" w:ascii="Times New Roman" w:hAnsi="Times New Roman" w:cs="Times New Roman"/>
              </w:rPr>
              <w:t>年）》相符性分析</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5339"/>
              <w:gridCol w:w="2641"/>
              <w:gridCol w:w="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53"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序号</w:t>
                  </w:r>
                </w:p>
              </w:tc>
              <w:tc>
                <w:tcPr>
                  <w:tcW w:w="2982"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《广东省挥发性有机物（VOCs）整治与减排工作方案（2018-2020 年）》规划内容</w:t>
                  </w:r>
                </w:p>
              </w:tc>
              <w:tc>
                <w:tcPr>
                  <w:tcW w:w="1475"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本项目情况</w:t>
                  </w:r>
                </w:p>
              </w:tc>
              <w:tc>
                <w:tcPr>
                  <w:tcW w:w="288"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53"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1</w:t>
                  </w:r>
                </w:p>
              </w:tc>
              <w:tc>
                <w:tcPr>
                  <w:tcW w:w="2982"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对已安装油气回收的加油站、储油库、油罐车全面加强运行监管，每年至少开展一次对汽油储运销环节油气回收系统外观检测，视情进行维护和修理，确保油气回收效率提高至 80%以上。</w:t>
                  </w:r>
                </w:p>
              </w:tc>
              <w:tc>
                <w:tcPr>
                  <w:tcW w:w="1475"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本项目拟安装油气回收装置，已制定相应的环境监测计划，监测频次为每年至少 1 次。本项目油气回收效率为 95%。</w:t>
                  </w:r>
                </w:p>
              </w:tc>
              <w:tc>
                <w:tcPr>
                  <w:tcW w:w="288"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53"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2</w:t>
                  </w:r>
                </w:p>
              </w:tc>
              <w:tc>
                <w:tcPr>
                  <w:tcW w:w="2982"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建设油气回收自动监测系统平台，储油库和年销售汽油量大于 5000 吨的加油站加快安装油气回收自动监测设备。</w:t>
                  </w:r>
                </w:p>
              </w:tc>
              <w:tc>
                <w:tcPr>
                  <w:tcW w:w="1475"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本项目油品年销售量为500吨，不需安装油气回收自动监测系统平台。</w:t>
                  </w:r>
                </w:p>
              </w:tc>
              <w:tc>
                <w:tcPr>
                  <w:tcW w:w="288"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0" w:hRule="atLeast"/>
                <w:tblHeader/>
                <w:jc w:val="center"/>
              </w:trPr>
              <w:tc>
                <w:tcPr>
                  <w:tcW w:w="253"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3</w:t>
                  </w:r>
                </w:p>
              </w:tc>
              <w:tc>
                <w:tcPr>
                  <w:tcW w:w="2982"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排查清理“散乱污”企业：加强涉 VOCs “散乱污”企业排查和整治工作，建立管理合账，实施分类处置。</w:t>
                  </w:r>
                </w:p>
                <w:p>
                  <w:pPr>
                    <w:pStyle w:val="141"/>
                    <w:rPr>
                      <w:rFonts w:hint="default" w:ascii="Times New Roman" w:hAnsi="Times New Roman" w:cs="Times New Roman"/>
                    </w:rPr>
                  </w:pPr>
                  <w:r>
                    <w:rPr>
                      <w:rFonts w:hint="default" w:ascii="Times New Roman" w:hAnsi="Times New Roman" w:cs="Times New Roman"/>
                    </w:rPr>
                    <w:t>1、 对于不符合国家产业政策，工商、环保、发改、土地、规划、税务、质监、安监、电力等相关审批手续应办而未办理(特别是存在于居民集中区的企业、工业摊点和工业小作坊)，或无污染防治设施、不能稳定达标排放、治理无望的工业企业，坚决依法予以关停取缔，对已关停企业可以执行“两断三清”(即断水、 断电、清除原料、清除产品、清除设备)。对于符合产业政策，但不符合地区产业布局规划、未进驻工业园区的规模以下且长期污染环境，经过整合可达到管理要求的工业企业，应实施整合搬迁。</w:t>
                  </w:r>
                </w:p>
                <w:p>
                  <w:pPr>
                    <w:pStyle w:val="141"/>
                    <w:rPr>
                      <w:rFonts w:hint="default" w:ascii="Times New Roman" w:hAnsi="Times New Roman" w:cs="Times New Roman"/>
                    </w:rPr>
                  </w:pPr>
                  <w:r>
                    <w:rPr>
                      <w:rFonts w:hint="default" w:ascii="Times New Roman" w:hAnsi="Times New Roman" w:cs="Times New Roman"/>
                    </w:rPr>
                    <w:t>2、对于符合产业政策和地区产业布局规划，但未安装污染治理设施、不能对产生的污染物进行有效收集处理、不能稳定达标排放、无组织排放严重，可通过对污染防治设施进行升级改造实现达标排放的工业企业，依法一律责令停产，限期整治。</w:t>
                  </w:r>
                </w:p>
              </w:tc>
              <w:tc>
                <w:tcPr>
                  <w:tcW w:w="1475"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本项目为新建项目，已取得雷州市能源局同意选址的意见（附件5）</w:t>
                  </w:r>
                </w:p>
                <w:p>
                  <w:pPr>
                    <w:pStyle w:val="141"/>
                    <w:rPr>
                      <w:rFonts w:hint="default" w:ascii="Times New Roman" w:hAnsi="Times New Roman" w:cs="Times New Roman"/>
                    </w:rPr>
                  </w:pPr>
                  <w:r>
                    <w:rPr>
                      <w:rFonts w:hint="default" w:ascii="Times New Roman" w:hAnsi="Times New Roman" w:cs="Times New Roman"/>
                    </w:rPr>
                    <w:t>符合当地规划要求。项目安装污染治理设施，项目产生的污染物能稳定达标排放。</w:t>
                  </w:r>
                </w:p>
                <w:p>
                  <w:pPr>
                    <w:pStyle w:val="141"/>
                    <w:rPr>
                      <w:rFonts w:hint="default" w:ascii="Times New Roman" w:hAnsi="Times New Roman" w:cs="Times New Roman"/>
                    </w:rPr>
                  </w:pPr>
                  <w:r>
                    <w:rPr>
                      <w:rFonts w:hint="default" w:ascii="Times New Roman" w:hAnsi="Times New Roman" w:cs="Times New Roman"/>
                    </w:rPr>
                    <w:t>　</w:t>
                  </w:r>
                </w:p>
              </w:tc>
              <w:tc>
                <w:tcPr>
                  <w:tcW w:w="288"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符合</w:t>
                  </w:r>
                </w:p>
              </w:tc>
            </w:tr>
          </w:tbl>
          <w:p>
            <w:pPr>
              <w:pStyle w:val="137"/>
              <w:ind w:firstLine="480"/>
              <w:rPr>
                <w:rFonts w:hint="default" w:ascii="Times New Roman" w:hAnsi="Times New Roman" w:cs="Times New Roman"/>
              </w:rPr>
            </w:pPr>
            <w:r>
              <w:rPr>
                <w:rFonts w:hint="default" w:ascii="Times New Roman" w:hAnsi="Times New Roman" w:cs="Times New Roman"/>
              </w:rPr>
              <w:t>综上可知，项目建设符合《广东省挥发性有机物（</w:t>
            </w:r>
            <w:r>
              <w:rPr>
                <w:rFonts w:hint="default" w:ascii="Times New Roman" w:hAnsi="Times New Roman" w:eastAsia="Times New Roman" w:cs="Times New Roman"/>
              </w:rPr>
              <w:t>VOCs</w:t>
            </w:r>
            <w:r>
              <w:rPr>
                <w:rFonts w:hint="default" w:ascii="Times New Roman" w:hAnsi="Times New Roman" w:cs="Times New Roman"/>
              </w:rPr>
              <w:t>）整治与减排工作方案（</w:t>
            </w:r>
            <w:r>
              <w:rPr>
                <w:rFonts w:hint="default" w:ascii="Times New Roman" w:hAnsi="Times New Roman" w:eastAsia="Times New Roman" w:cs="Times New Roman"/>
              </w:rPr>
              <w:t xml:space="preserve">2018-2020 </w:t>
            </w:r>
            <w:r>
              <w:rPr>
                <w:rFonts w:hint="default" w:ascii="Times New Roman" w:hAnsi="Times New Roman" w:cs="Times New Roman"/>
              </w:rPr>
              <w:t>年）》的相关要求。</w:t>
            </w:r>
          </w:p>
          <w:p>
            <w:pPr>
              <w:pStyle w:val="137"/>
              <w:ind w:firstLine="480"/>
              <w:rPr>
                <w:rFonts w:hint="default" w:ascii="Times New Roman" w:hAnsi="Times New Roman" w:cs="Times New Roman"/>
              </w:rPr>
            </w:pPr>
            <w:r>
              <w:rPr>
                <w:rFonts w:hint="default" w:ascii="Times New Roman" w:hAnsi="Times New Roman" w:cs="Times New Roman"/>
              </w:rPr>
              <w:t>综上，项目符合相关产业政策要求。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9174" w:type="dxa"/>
            <w:gridSpan w:val="10"/>
            <w:tcBorders>
              <w:tl2br w:val="nil"/>
              <w:tr2bl w:val="nil"/>
            </w:tcBorders>
          </w:tcPr>
          <w:p>
            <w:pPr>
              <w:tabs>
                <w:tab w:val="left" w:pos="0"/>
              </w:tabs>
              <w:adjustRightInd/>
              <w:spacing w:line="360" w:lineRule="auto"/>
              <w:jc w:val="left"/>
              <w:rPr>
                <w:rFonts w:hint="default" w:ascii="Times New Roman" w:hAnsi="Times New Roman" w:cs="Times New Roman"/>
                <w:b/>
                <w:sz w:val="28"/>
                <w:szCs w:val="28"/>
              </w:rPr>
            </w:pPr>
            <w:r>
              <w:rPr>
                <w:rFonts w:hint="default" w:ascii="Times New Roman" w:hAnsi="Times New Roman" w:cs="Times New Roman"/>
                <w:b/>
                <w:sz w:val="28"/>
                <w:szCs w:val="28"/>
              </w:rPr>
              <w:t>与本项目有关的原有污染情况及主要环境问题：</w:t>
            </w:r>
          </w:p>
          <w:p>
            <w:pPr>
              <w:pStyle w:val="137"/>
              <w:ind w:firstLine="480"/>
              <w:rPr>
                <w:rFonts w:hint="default" w:ascii="Times New Roman" w:hAnsi="Times New Roman" w:cs="Times New Roman"/>
                <w:kern w:val="21"/>
                <w:lang w:val="en-US"/>
              </w:rPr>
            </w:pPr>
            <w:r>
              <w:rPr>
                <w:rFonts w:hint="default" w:ascii="Times New Roman" w:hAnsi="Times New Roman" w:cs="Times New Roman"/>
                <w:lang w:bidi="zh-CN"/>
              </w:rPr>
              <w:t>项目为新建项目，不存在与项目有关的原有问题及环境问题</w:t>
            </w:r>
            <w:r>
              <w:rPr>
                <w:rFonts w:hint="eastAsia" w:cs="Times New Roman"/>
                <w:lang w:val="en-US" w:bidi="zh-CN"/>
              </w:rPr>
              <w:t>。</w:t>
            </w:r>
          </w:p>
          <w:p>
            <w:pPr>
              <w:pStyle w:val="2"/>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tc>
      </w:tr>
    </w:tbl>
    <w:p>
      <w:pPr>
        <w:adjustRightInd/>
        <w:spacing w:before="100" w:beforeAutospacing="1" w:line="360" w:lineRule="auto"/>
        <w:rPr>
          <w:rFonts w:hAnsi="宋体"/>
          <w:b/>
          <w:kern w:val="21"/>
          <w:sz w:val="30"/>
        </w:rPr>
        <w:sectPr>
          <w:footerReference r:id="rId6" w:type="first"/>
          <w:pgSz w:w="11907" w:h="16840"/>
          <w:pgMar w:top="1418" w:right="1418" w:bottom="1418" w:left="1418" w:header="851" w:footer="992" w:gutter="113"/>
          <w:pgBorders>
            <w:top w:val="none" w:sz="0" w:space="0"/>
            <w:left w:val="none" w:sz="0" w:space="0"/>
            <w:bottom w:val="none" w:sz="0" w:space="0"/>
            <w:right w:val="none" w:sz="0" w:space="0"/>
          </w:pgBorders>
          <w:pgNumType w:start="1"/>
          <w:cols w:space="720" w:num="1"/>
          <w:titlePg/>
          <w:docGrid w:type="lines" w:linePitch="312" w:charSpace="0"/>
        </w:sectPr>
      </w:pPr>
    </w:p>
    <w:p>
      <w:pPr>
        <w:adjustRightInd/>
        <w:spacing w:line="360" w:lineRule="auto"/>
        <w:outlineLvl w:val="0"/>
        <w:rPr>
          <w:kern w:val="21"/>
          <w:sz w:val="28"/>
        </w:rPr>
      </w:pPr>
      <w:bookmarkStart w:id="8" w:name="_Toc18226"/>
      <w:r>
        <w:rPr>
          <w:rFonts w:hAnsi="宋体"/>
          <w:b/>
          <w:kern w:val="21"/>
          <w:sz w:val="30"/>
        </w:rPr>
        <w:t>建设项目所在地自然环境简况</w:t>
      </w:r>
      <w:bookmarkEnd w:id="8"/>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1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Borders>
              <w:tl2br w:val="nil"/>
              <w:tr2bl w:val="nil"/>
            </w:tcBorders>
          </w:tcPr>
          <w:p>
            <w:pPr>
              <w:tabs>
                <w:tab w:val="left" w:pos="0"/>
              </w:tabs>
              <w:adjustRightInd/>
              <w:spacing w:line="360" w:lineRule="auto"/>
              <w:jc w:val="left"/>
              <w:rPr>
                <w:rFonts w:hint="default" w:ascii="Times New Roman" w:hAnsi="Times New Roman" w:cs="Times New Roman"/>
                <w:b/>
                <w:sz w:val="28"/>
                <w:szCs w:val="28"/>
              </w:rPr>
            </w:pPr>
            <w:r>
              <w:rPr>
                <w:rFonts w:hint="default" w:ascii="Times New Roman" w:hAnsi="Times New Roman" w:cs="Times New Roman"/>
                <w:b/>
                <w:sz w:val="28"/>
                <w:szCs w:val="28"/>
              </w:rPr>
              <w:t>自然环境简况（地形、地貌、地质、气候、气象、水文、植被、生物多样性）：</w:t>
            </w:r>
          </w:p>
          <w:p>
            <w:pPr>
              <w:pStyle w:val="161"/>
              <w:rPr>
                <w:rFonts w:hint="default" w:ascii="Times New Roman" w:hAnsi="Times New Roman" w:cs="Times New Roman"/>
              </w:rPr>
            </w:pPr>
            <w:r>
              <w:rPr>
                <w:rFonts w:hint="default" w:ascii="Times New Roman" w:hAnsi="Times New Roman" w:cs="Times New Roman"/>
              </w:rPr>
              <w:t>一、地理位置</w:t>
            </w:r>
          </w:p>
          <w:p>
            <w:pPr>
              <w:pStyle w:val="137"/>
              <w:ind w:firstLine="480"/>
              <w:rPr>
                <w:rFonts w:hint="default" w:ascii="Times New Roman" w:hAnsi="Times New Roman" w:cs="Times New Roman"/>
              </w:rPr>
            </w:pPr>
            <w:r>
              <w:rPr>
                <w:rFonts w:hint="default" w:ascii="Times New Roman" w:hAnsi="Times New Roman" w:cs="Times New Roman"/>
              </w:rPr>
              <w:t>雷州市，雷州市位于祖国大陆最南端的雷州半岛中部。地跨东经109°44′～110°23′。北纬 20°26′～21°11′。东濒南海，西靠北部湾，北与湛江市郊、遂溪县接壤，南与徐闻县毗邻。南北长83公里，东西宽67公里，总面积3532平方公里。地理位置为东经 109°44′～110°23′，北纬20°26′～21°11′。</w:t>
            </w:r>
          </w:p>
          <w:p>
            <w:pPr>
              <w:pStyle w:val="137"/>
              <w:ind w:firstLine="480"/>
              <w:rPr>
                <w:rFonts w:hint="default" w:ascii="Times New Roman" w:hAnsi="Times New Roman" w:cs="Times New Roman"/>
              </w:rPr>
            </w:pPr>
            <w:r>
              <w:rPr>
                <w:rFonts w:hint="default" w:ascii="Times New Roman" w:hAnsi="Times New Roman" w:cs="Times New Roman"/>
              </w:rPr>
              <w:t>雷高镇地处雷州市东南部，南渡河下游，面积143.53平方公里，其中耕地面积6.7万亩。下辖21个管理区，68个自然村，人口39172人，镇址雷高圩，距县城19公里。雷高镇地处南渡河下游，农业生产以种植水稻、甘蔗为主，也种植香茅、菠萝、花生、香蕉、绿茶等经济作物。</w:t>
            </w:r>
          </w:p>
          <w:p>
            <w:pPr>
              <w:pStyle w:val="161"/>
              <w:rPr>
                <w:rFonts w:hint="default" w:ascii="Times New Roman" w:hAnsi="Times New Roman" w:cs="Times New Roman"/>
              </w:rPr>
            </w:pPr>
            <w:r>
              <w:rPr>
                <w:rFonts w:hint="default" w:ascii="Times New Roman" w:hAnsi="Times New Roman" w:cs="Times New Roman"/>
              </w:rPr>
              <w:t>二、地形、地貌</w:t>
            </w:r>
          </w:p>
          <w:p>
            <w:pPr>
              <w:spacing w:line="360" w:lineRule="auto"/>
              <w:ind w:firstLine="480" w:firstLineChars="200"/>
              <w:rPr>
                <w:rFonts w:hint="default" w:ascii="Times New Roman" w:hAnsi="Times New Roman" w:cs="Times New Roman"/>
                <w:sz w:val="24"/>
              </w:rPr>
            </w:pPr>
            <w:r>
              <w:rPr>
                <w:rStyle w:val="138"/>
                <w:rFonts w:hint="default" w:ascii="Times New Roman" w:hAnsi="Times New Roman" w:cs="Times New Roman"/>
              </w:rPr>
              <w:t>雷州市地质年代短暂，属第三纪玄武岩与第四纪浅海沉积物所构成的平台阶地及低丘陵地带。地势南高北低，起伏不大，东西两面向大海倾斜。沟谷一般南北起向。地貌以台地、阶地、低丘陵为主，坡度相对比较平缓，只有几座海拔在 260米以下的山头，主要分布于东南、西南和南部。东南部的石卯岭是全市的最高点，海拔259米，位于调风和英利两镇的交界处，仕礼岭位于调风镇境内，海拔226米，南部有英峰岭，海拔239米，位于英利镇新村附近。这里山青水秀，景物独特，气候宜人，是古今闻名的雷阳八景之一。西南部有嘉山岭，海拔182米，在房参镇境内。房参岭位于乌石港东北部3公里外，海拔88米，是海上航船的天然航标。在龙门镇境内有一座大牛岭，海拔124米</w:t>
            </w:r>
            <w:r>
              <w:rPr>
                <w:rFonts w:hint="default" w:ascii="Times New Roman" w:hAnsi="Times New Roman" w:cs="Times New Roman"/>
                <w:sz w:val="24"/>
              </w:rPr>
              <w:t>。</w:t>
            </w:r>
          </w:p>
          <w:p>
            <w:pPr>
              <w:pStyle w:val="161"/>
              <w:rPr>
                <w:rFonts w:hint="default" w:ascii="Times New Roman" w:hAnsi="Times New Roman" w:cs="Times New Roman"/>
              </w:rPr>
            </w:pPr>
            <w:r>
              <w:rPr>
                <w:rFonts w:hint="default" w:ascii="Times New Roman" w:hAnsi="Times New Roman" w:cs="Times New Roman"/>
              </w:rPr>
              <w:t>三、气候</w:t>
            </w:r>
          </w:p>
          <w:p>
            <w:pPr>
              <w:pStyle w:val="137"/>
              <w:ind w:firstLine="480"/>
              <w:rPr>
                <w:rFonts w:hint="default" w:ascii="Times New Roman" w:hAnsi="Times New Roman" w:cs="Times New Roman"/>
              </w:rPr>
            </w:pPr>
            <w:r>
              <w:rPr>
                <w:rFonts w:hint="default" w:ascii="Times New Roman" w:hAnsi="Times New Roman" w:cs="Times New Roman"/>
              </w:rPr>
              <w:t>雷州市位于北纬20°26′～21°11′，北回归线以南，纬度较低，属亚热带湿润性季风气候。</w:t>
            </w:r>
          </w:p>
          <w:p>
            <w:pPr>
              <w:pStyle w:val="137"/>
              <w:ind w:firstLine="480"/>
              <w:rPr>
                <w:rFonts w:hint="default" w:ascii="Times New Roman" w:hAnsi="Times New Roman" w:cs="Times New Roman"/>
              </w:rPr>
            </w:pPr>
            <w:r>
              <w:rPr>
                <w:rFonts w:hint="default" w:ascii="Times New Roman" w:hAnsi="Times New Roman" w:cs="Times New Roman"/>
              </w:rPr>
              <w:t>本市属北热带湿润气候雷琼气候区。具有以下三个特点：</w:t>
            </w:r>
          </w:p>
          <w:p>
            <w:pPr>
              <w:pStyle w:val="137"/>
              <w:ind w:firstLine="480"/>
              <w:rPr>
                <w:rFonts w:hint="default" w:ascii="Times New Roman" w:hAnsi="Times New Roman" w:cs="Times New Roman"/>
              </w:rPr>
            </w:pPr>
            <w:r>
              <w:rPr>
                <w:rFonts w:hint="default" w:ascii="Times New Roman" w:hAnsi="Times New Roman" w:cs="Times New Roman"/>
              </w:rPr>
              <w:t>（l）夏季不热，冬季不冷，夏长，秋短，四季如春，基本无霜期。全年平均气温在22.6℃～23.9℃之间，极端最高气温为39.5℃。有80%以上的年份极端最高气温为 35.9℃ 以下，最热月份是7月。平均气温不超过28.4℃。最冷月份是1月，平均气温在15.5℃，极端最低气温历年平均约为3.7℃，且80%年份极端最低气温都在2.4℃以上。</w:t>
            </w:r>
          </w:p>
          <w:p>
            <w:pPr>
              <w:pStyle w:val="137"/>
              <w:ind w:firstLine="480"/>
              <w:rPr>
                <w:rFonts w:hint="default" w:ascii="Times New Roman" w:hAnsi="Times New Roman" w:cs="Times New Roman"/>
              </w:rPr>
            </w:pPr>
            <w:r>
              <w:rPr>
                <w:rFonts w:hint="default" w:ascii="Times New Roman" w:hAnsi="Times New Roman" w:cs="Times New Roman"/>
              </w:rPr>
              <w:t>（2）雨量分布不均匀。雨季干湿明显。由于每年热带海洋季风带来大量的水气、峰面雨和台风雨。因而雨量多集中于6～9月，占全年雨量的60%～70%。7月份雨量最多，可达279.4～352.8毫米。11月至下年3月雨量较少，只为全年雨量的8.5%～9.3%，月均20～30毫米，最少月份是1月，只有12～26 毫米，旱季长达5个月。雨量地区分布也不均匀，差异明显。东北部多雨，西南部少雨。</w:t>
            </w:r>
          </w:p>
          <w:p>
            <w:pPr>
              <w:pStyle w:val="137"/>
              <w:ind w:firstLine="480"/>
              <w:rPr>
                <w:rFonts w:hint="default" w:ascii="Times New Roman" w:hAnsi="Times New Roman" w:cs="Times New Roman"/>
              </w:rPr>
            </w:pPr>
            <w:r>
              <w:rPr>
                <w:rFonts w:hint="default" w:ascii="Times New Roman" w:hAnsi="Times New Roman" w:cs="Times New Roman"/>
              </w:rPr>
              <w:t>（3）多受台风侵袭。由于雷州市地处北纬20°26′～21°11′，东经109°44′～110°23′，所以经常受到产生于菲律宾附近的西太平洋台风和产生于西沙、中沙群岛附近的南海台风的袭击。一般始于5月，11月份结束。7、8、9月台风最多，风力也最大。</w:t>
            </w:r>
          </w:p>
          <w:p>
            <w:pPr>
              <w:pStyle w:val="137"/>
              <w:ind w:firstLine="480"/>
              <w:rPr>
                <w:rFonts w:hint="default" w:ascii="Times New Roman" w:hAnsi="Times New Roman" w:cs="Times New Roman"/>
              </w:rPr>
            </w:pPr>
            <w:r>
              <w:rPr>
                <w:rFonts w:hint="default" w:ascii="Times New Roman" w:hAnsi="Times New Roman" w:cs="Times New Roman"/>
              </w:rPr>
              <w:t>根据当地气象资料，该矿区所在地年平均气温22.0℃，年均降水量1711.6mm，年平均蒸发量1712.8～1946.3mm，日最大降雨量300.1mm。</w:t>
            </w:r>
          </w:p>
          <w:p>
            <w:pPr>
              <w:pStyle w:val="161"/>
              <w:rPr>
                <w:rFonts w:hint="default" w:ascii="Times New Roman" w:hAnsi="Times New Roman" w:cs="Times New Roman"/>
              </w:rPr>
            </w:pPr>
            <w:r>
              <w:rPr>
                <w:rFonts w:hint="default" w:ascii="Times New Roman" w:hAnsi="Times New Roman" w:cs="Times New Roman"/>
              </w:rPr>
              <w:t>四、水文</w:t>
            </w:r>
          </w:p>
          <w:p>
            <w:pPr>
              <w:pStyle w:val="137"/>
              <w:ind w:firstLine="480"/>
              <w:rPr>
                <w:rFonts w:hint="default" w:ascii="Times New Roman" w:hAnsi="Times New Roman" w:cs="Times New Roman"/>
              </w:rPr>
            </w:pPr>
            <w:r>
              <w:rPr>
                <w:rFonts w:hint="default" w:ascii="Times New Roman" w:hAnsi="Times New Roman" w:cs="Times New Roman"/>
              </w:rPr>
              <w:t>雷州市属亚热带湿润性季风气候，气侯温和，蒸发量大，雨量充沛。地下水位较高，水源较为充足。全市水源可采总量 23.49亿立方米，其中地表水19.64亿立方米，地下水3.85亿立方米。全市境内河流纵横交错，水系发达，水源充足，有南渡河、龙门河、上贡河、英利河、雷高河、通明河、企水河、调风河等。</w:t>
            </w:r>
          </w:p>
          <w:p>
            <w:pPr>
              <w:pStyle w:val="137"/>
              <w:ind w:firstLine="480"/>
              <w:rPr>
                <w:rFonts w:hint="default" w:ascii="Times New Roman" w:hAnsi="Times New Roman" w:cs="Times New Roman"/>
              </w:rPr>
            </w:pPr>
            <w:r>
              <w:rPr>
                <w:rFonts w:hint="default" w:ascii="Times New Roman" w:hAnsi="Times New Roman" w:cs="Times New Roman"/>
              </w:rPr>
              <w:t>本海区的潮汐分类特征值为1.08，属不规则半日潮混合潮港，即大多数的时间里，一天有两个高潮和两个低潮，相邻的两个高潮或低潮随月赤纬的变化而变化，两个潮高之间的日不等现象随之变化，当月赤纬增到最大时，随后亦出现最大的潮差，实测最大潮差为358cm。</w:t>
            </w:r>
          </w:p>
          <w:p>
            <w:pPr>
              <w:pStyle w:val="161"/>
              <w:rPr>
                <w:rFonts w:hint="default" w:ascii="Times New Roman" w:hAnsi="Times New Roman" w:cs="Times New Roman"/>
              </w:rPr>
            </w:pPr>
            <w:r>
              <w:rPr>
                <w:rFonts w:hint="default" w:ascii="Times New Roman" w:hAnsi="Times New Roman" w:cs="Times New Roman"/>
              </w:rPr>
              <w:t>五、土壤和植被</w:t>
            </w:r>
          </w:p>
          <w:p>
            <w:pPr>
              <w:pStyle w:val="137"/>
              <w:ind w:firstLine="480"/>
              <w:rPr>
                <w:rFonts w:hint="default" w:ascii="Times New Roman" w:hAnsi="Times New Roman" w:cs="Times New Roman"/>
              </w:rPr>
            </w:pPr>
            <w:r>
              <w:rPr>
                <w:rFonts w:hint="default" w:ascii="Times New Roman" w:hAnsi="Times New Roman" w:cs="Times New Roman"/>
              </w:rPr>
              <w:t>雷州市土地总面积3532平方公里。拥有耕地面积150万亩，其中水田9</w:t>
            </w:r>
            <w:r>
              <w:rPr>
                <w:rFonts w:hint="eastAsia" w:cs="Times New Roman"/>
                <w:lang w:val="en-US" w:eastAsia="zh-CN"/>
              </w:rPr>
              <w:t>0</w:t>
            </w:r>
            <w:r>
              <w:rPr>
                <w:rFonts w:hint="default" w:ascii="Times New Roman" w:hAnsi="Times New Roman" w:cs="Times New Roman"/>
              </w:rPr>
              <w:t>万亩，坡地60万亩，人均耕地1</w:t>
            </w:r>
            <w:r>
              <w:rPr>
                <w:rFonts w:hint="eastAsia" w:cs="Times New Roman"/>
                <w:lang w:val="en-US" w:eastAsia="zh-CN"/>
              </w:rPr>
              <w:t>.</w:t>
            </w:r>
            <w:r>
              <w:rPr>
                <w:rFonts w:hint="default" w:ascii="Times New Roman" w:hAnsi="Times New Roman" w:cs="Times New Roman"/>
              </w:rPr>
              <w:t>2亩，有林地总面积156万亩。雷州市自然土壤总面积360 万亩，占总土壤的68%，可分为五大类型：</w:t>
            </w:r>
          </w:p>
          <w:p>
            <w:pPr>
              <w:pStyle w:val="137"/>
              <w:ind w:firstLine="480"/>
              <w:rPr>
                <w:rFonts w:hint="default" w:ascii="Times New Roman" w:hAnsi="Times New Roman" w:cs="Times New Roman"/>
              </w:rPr>
            </w:pPr>
            <w:r>
              <w:rPr>
                <w:rFonts w:hint="default" w:ascii="Times New Roman" w:hAnsi="Times New Roman" w:cs="Times New Roman"/>
              </w:rPr>
              <w:t>（1）砖红壤土。面积321万亩，占自然土壤的89.3%，分为赤土和黄赤土两个土属。赤土属面积130.3万亩，占自然土壤的36.2%，由玄武岩发育而成。黄色赤土属，面积191.43万亩。占自然土壤的53.1%。成土母质为浅海沉积物。地形开阔平坦，土层深厚，植被覆盖差，水土流失严重，表土层有机质含量底，氮磷少，极缺钾。</w:t>
            </w:r>
          </w:p>
          <w:p>
            <w:pPr>
              <w:pStyle w:val="137"/>
              <w:ind w:firstLine="480"/>
              <w:rPr>
                <w:rFonts w:hint="default" w:ascii="Times New Roman" w:hAnsi="Times New Roman" w:cs="Times New Roman"/>
              </w:rPr>
            </w:pPr>
            <w:r>
              <w:rPr>
                <w:rFonts w:hint="default" w:ascii="Times New Roman" w:hAnsi="Times New Roman" w:cs="Times New Roman"/>
              </w:rPr>
              <w:t>（2）滨海盐渍沼泽土。面积31.2万亩。占自然土壤8.66%，成土母质为近代滨海沉沉积物。分为滨海沙滩（面积19.1万亩）。滨海泥滩（面积11.7万亩）。滨海草滩（面积0.46万亩）。滨海泥滩和滨海草滩主要分布于东海岸，少部分分布在西海的海湾地带。由于受海潮的影响，含盐分较高，质地粘重。现已有很多开发为虾池、鱼塘，精养对虾、螃蟹、鱼、蚝等。</w:t>
            </w:r>
          </w:p>
          <w:p>
            <w:pPr>
              <w:pStyle w:val="137"/>
              <w:ind w:firstLine="480"/>
              <w:rPr>
                <w:rFonts w:hint="default" w:ascii="Times New Roman" w:hAnsi="Times New Roman" w:cs="Times New Roman"/>
              </w:rPr>
            </w:pPr>
            <w:r>
              <w:rPr>
                <w:rFonts w:hint="eastAsia" w:cs="Times New Roman"/>
                <w:lang w:eastAsia="zh-CN"/>
              </w:rPr>
              <w:t>（</w:t>
            </w:r>
            <w:r>
              <w:rPr>
                <w:rFonts w:hint="default" w:ascii="Times New Roman" w:hAnsi="Times New Roman" w:cs="Times New Roman"/>
              </w:rPr>
              <w:t>3）滨海沙土。面积5.5万亩，占自然土壤的1.52%，成土母质为近代滨海冲积物。成带状或片状分布在东西海岸沙滩地带。土层深厚，土体松散。易渗透、易干旱，湿度变化大，有机质缺乏。表层长着稀疏而耐旱、耐咸植物，如香附子、铺地黍、仙人掌等。</w:t>
            </w:r>
          </w:p>
          <w:p>
            <w:pPr>
              <w:pStyle w:val="137"/>
              <w:ind w:firstLine="480"/>
              <w:rPr>
                <w:rFonts w:hint="default" w:ascii="Times New Roman" w:hAnsi="Times New Roman" w:cs="Times New Roman"/>
              </w:rPr>
            </w:pPr>
            <w:r>
              <w:rPr>
                <w:rFonts w:hint="eastAsia" w:cs="Times New Roman"/>
                <w:lang w:eastAsia="zh-CN"/>
              </w:rPr>
              <w:t>（</w:t>
            </w:r>
            <w:r>
              <w:rPr>
                <w:rFonts w:hint="default" w:ascii="Times New Roman" w:hAnsi="Times New Roman" w:cs="Times New Roman"/>
              </w:rPr>
              <w:t>4）滨海盐土。面积2.1万亩，占自然土壤的0.59%，主要分布于附城镇、沈塘镇的东部海滩，西部的唐家镇和海田的海湾也有分布。土壤质地沙壤至粘壤，含盐分较高。地表的耐盐草本植物茂盛，可以放牧，离大海稍远的、盐分较低的地方，已逐年开垦农用。</w:t>
            </w:r>
          </w:p>
          <w:p>
            <w:pPr>
              <w:pStyle w:val="137"/>
              <w:ind w:firstLine="480"/>
              <w:rPr>
                <w:rFonts w:hint="default" w:ascii="Times New Roman" w:hAnsi="Times New Roman" w:cs="Times New Roman"/>
              </w:rPr>
            </w:pPr>
            <w:r>
              <w:rPr>
                <w:rFonts w:hint="eastAsia" w:cs="Times New Roman"/>
                <w:lang w:eastAsia="zh-CN"/>
              </w:rPr>
              <w:t>（</w:t>
            </w:r>
            <w:r>
              <w:rPr>
                <w:rFonts w:hint="default" w:ascii="Times New Roman" w:hAnsi="Times New Roman" w:cs="Times New Roman"/>
              </w:rPr>
              <w:t>5）沼泽土。面积340亩，占自然土壤的0.009%，主要分布在纪家镇的坡塘一带的低洼地。土体黑灰色，糊状结构，表土层集生着茂密的水生杂草</w:t>
            </w:r>
          </w:p>
          <w:p>
            <w:pPr>
              <w:pStyle w:val="161"/>
              <w:rPr>
                <w:rFonts w:hint="default" w:ascii="Times New Roman" w:hAnsi="Times New Roman" w:cs="Times New Roman"/>
              </w:rPr>
            </w:pPr>
            <w:r>
              <w:rPr>
                <w:rFonts w:hint="default" w:ascii="Times New Roman" w:hAnsi="Times New Roman" w:cs="Times New Roman"/>
              </w:rPr>
              <w:t>六、农业资源</w:t>
            </w:r>
          </w:p>
          <w:p>
            <w:pPr>
              <w:spacing w:line="360" w:lineRule="auto"/>
              <w:ind w:firstLine="480" w:firstLineChars="200"/>
              <w:rPr>
                <w:rFonts w:hint="default" w:ascii="Times New Roman" w:hAnsi="Times New Roman" w:cs="Times New Roman"/>
                <w:spacing w:val="0"/>
                <w:kern w:val="18"/>
                <w:sz w:val="24"/>
              </w:rPr>
            </w:pPr>
            <w:r>
              <w:rPr>
                <w:rFonts w:hint="default" w:ascii="Times New Roman" w:hAnsi="Times New Roman" w:cs="Times New Roman"/>
                <w:spacing w:val="0"/>
                <w:kern w:val="18"/>
                <w:sz w:val="24"/>
              </w:rPr>
              <w:t>雷州市地处亚热带，土地肥沃，农业资源十分丰富，以盛产水稻糖蔗、花生、芒果、菠萝、香蕉、西瓜、蔬菜等农作物闻名于世。全市建立起粮食、甘蔗、水产、珍珠、畜牧、水果、蚕桑和北运菜、林业等8大基地，使“三高”农业不断发展。全市现有农作物212万亩，其中粮食92万亩，拥有22万亩连片的东西洋田素有“雷州粮仓”之称；水果92万亩，其中芒果6.4万亩，素有“芒果之乡”之称，菠萝12万亩，西瓜10万亩，香蕉、杨桃、石榴等均以万亩计。可以常年种植青椒、苦瓜、青瓜等优质蔬菜33万亩，产品销往全国各地及港澳台等地。雷州的东西洋田素有“雷州粮仓”之称，海水珍珠年产量占全国一半多，雷州流沙镇被誉为珍珠第一村。雷州黄牛品种优良，是“雷州黄牛”的繁育地；林业种植发达，种植桉树林150万亩，是全国最大的桉树林基地之一。</w:t>
            </w:r>
          </w:p>
          <w:p>
            <w:pPr>
              <w:spacing w:line="360" w:lineRule="auto"/>
              <w:ind w:firstLine="480" w:firstLineChars="200"/>
              <w:rPr>
                <w:rFonts w:hint="default" w:ascii="Times New Roman" w:hAnsi="Times New Roman" w:cs="Times New Roman"/>
                <w:spacing w:val="0"/>
                <w:kern w:val="18"/>
                <w:sz w:val="24"/>
              </w:rPr>
            </w:pPr>
            <w:r>
              <w:rPr>
                <w:rFonts w:hint="default" w:ascii="Times New Roman" w:hAnsi="Times New Roman" w:cs="Times New Roman"/>
                <w:spacing w:val="0"/>
                <w:kern w:val="18"/>
                <w:sz w:val="24"/>
              </w:rPr>
              <w:t>项目附近区域无重要文物保护点和特殊风景名胜区。</w:t>
            </w:r>
          </w:p>
          <w:p>
            <w:pPr>
              <w:pStyle w:val="161"/>
              <w:rPr>
                <w:rFonts w:hint="default" w:ascii="Times New Roman" w:hAnsi="Times New Roman" w:cs="Times New Roman"/>
              </w:rPr>
            </w:pPr>
            <w:r>
              <w:rPr>
                <w:rFonts w:hint="default" w:ascii="Times New Roman" w:hAnsi="Times New Roman" w:cs="Times New Roman"/>
              </w:rPr>
              <w:t>七、功能区划</w:t>
            </w:r>
          </w:p>
          <w:p>
            <w:pPr>
              <w:pStyle w:val="137"/>
              <w:ind w:firstLine="480"/>
              <w:rPr>
                <w:rFonts w:hint="default" w:ascii="Times New Roman" w:hAnsi="Times New Roman" w:cs="Times New Roman"/>
              </w:rPr>
            </w:pPr>
            <w:r>
              <w:rPr>
                <w:rFonts w:hint="default" w:ascii="Times New Roman" w:hAnsi="Times New Roman" w:cs="Times New Roman"/>
              </w:rPr>
              <w:t>本项目功能区划见</w:t>
            </w:r>
            <w:r>
              <w:rPr>
                <w:rFonts w:hint="eastAsia" w:cs="Times New Roman"/>
                <w:lang w:val="en-US" w:eastAsia="zh-CN"/>
              </w:rPr>
              <w:t>表2-1</w:t>
            </w:r>
            <w:r>
              <w:rPr>
                <w:rFonts w:hint="default" w:ascii="Times New Roman" w:hAnsi="Times New Roman" w:cs="Times New Roman"/>
              </w:rPr>
              <w:t>。</w:t>
            </w:r>
          </w:p>
          <w:p>
            <w:pPr>
              <w:pStyle w:val="143"/>
              <w:spacing w:before="156"/>
              <w:rPr>
                <w:rFonts w:hint="default" w:ascii="Times New Roman" w:hAnsi="Times New Roman" w:cs="Times New Roman"/>
              </w:rPr>
            </w:pPr>
            <w:bookmarkStart w:id="9" w:name="_Ref50634672"/>
            <w:bookmarkStart w:id="10" w:name="_Ref45473683"/>
            <w:r>
              <w:rPr>
                <w:rFonts w:hint="default" w:ascii="Times New Roman" w:hAnsi="Times New Roman" w:cs="Times New Roman"/>
              </w:rPr>
              <w:t>表</w:t>
            </w:r>
            <w:bookmarkEnd w:id="9"/>
            <w:r>
              <w:rPr>
                <w:rFonts w:hint="eastAsia" w:cs="Times New Roman"/>
                <w:lang w:val="en-US" w:eastAsia="zh-CN"/>
              </w:rPr>
              <w:t xml:space="preserve">2-1 </w:t>
            </w:r>
            <w:r>
              <w:rPr>
                <w:rFonts w:hint="default" w:ascii="Times New Roman" w:hAnsi="Times New Roman" w:eastAsia="Times New Roman" w:cs="Times New Roman"/>
              </w:rPr>
              <w:t xml:space="preserve"> </w:t>
            </w:r>
            <w:r>
              <w:rPr>
                <w:rFonts w:hint="default" w:ascii="Times New Roman" w:hAnsi="Times New Roman" w:cs="Times New Roman"/>
              </w:rPr>
              <w:t>建设项目环境功能属性一览表</w:t>
            </w:r>
          </w:p>
          <w:tbl>
            <w:tblPr>
              <w:tblStyle w:val="158"/>
              <w:tblW w:w="8996" w:type="dxa"/>
              <w:tblInd w:w="0" w:type="dxa"/>
              <w:tblLayout w:type="autofit"/>
              <w:tblCellMar>
                <w:top w:w="37" w:type="dxa"/>
                <w:left w:w="107" w:type="dxa"/>
                <w:bottom w:w="0" w:type="dxa"/>
                <w:right w:w="109" w:type="dxa"/>
              </w:tblCellMar>
            </w:tblPr>
            <w:tblGrid>
              <w:gridCol w:w="2686"/>
              <w:gridCol w:w="6310"/>
            </w:tblGrid>
            <w:tr>
              <w:tblPrEx>
                <w:tblCellMar>
                  <w:top w:w="37" w:type="dxa"/>
                  <w:left w:w="107" w:type="dxa"/>
                  <w:bottom w:w="0" w:type="dxa"/>
                  <w:right w:w="109" w:type="dxa"/>
                </w:tblCellMar>
              </w:tblPrEx>
              <w:trPr>
                <w:trHeight w:val="287" w:hRule="atLeast"/>
              </w:trPr>
              <w:tc>
                <w:tcPr>
                  <w:tcW w:w="2686" w:type="dxa"/>
                  <w:tcBorders>
                    <w:top w:val="single" w:color="000000" w:sz="6" w:space="0"/>
                    <w:left w:val="single" w:color="000000" w:sz="6" w:space="0"/>
                    <w:bottom w:val="single" w:color="000000" w:sz="6" w:space="0"/>
                    <w:right w:val="single" w:color="000000" w:sz="6" w:space="0"/>
                  </w:tcBorders>
                </w:tcPr>
                <w:p>
                  <w:pPr>
                    <w:pStyle w:val="141"/>
                    <w:rPr>
                      <w:rFonts w:hint="default" w:ascii="Times New Roman" w:hAnsi="Times New Roman" w:cs="Times New Roman"/>
                    </w:rPr>
                  </w:pPr>
                  <w:r>
                    <w:rPr>
                      <w:rFonts w:hint="default" w:ascii="Times New Roman" w:hAnsi="Times New Roman" w:cs="Times New Roman"/>
                    </w:rPr>
                    <w:t>项目</w:t>
                  </w:r>
                </w:p>
              </w:tc>
              <w:tc>
                <w:tcPr>
                  <w:tcW w:w="6310" w:type="dxa"/>
                  <w:tcBorders>
                    <w:top w:val="single" w:color="000000" w:sz="6" w:space="0"/>
                    <w:left w:val="single" w:color="000000" w:sz="6" w:space="0"/>
                    <w:bottom w:val="single" w:color="000000" w:sz="6" w:space="0"/>
                    <w:right w:val="single" w:color="000000" w:sz="6" w:space="0"/>
                  </w:tcBorders>
                </w:tcPr>
                <w:p>
                  <w:pPr>
                    <w:pStyle w:val="141"/>
                    <w:rPr>
                      <w:rFonts w:hint="default" w:ascii="Times New Roman" w:hAnsi="Times New Roman" w:cs="Times New Roman"/>
                    </w:rPr>
                  </w:pPr>
                  <w:r>
                    <w:rPr>
                      <w:rFonts w:hint="default" w:ascii="Times New Roman" w:hAnsi="Times New Roman" w:cs="Times New Roman"/>
                    </w:rPr>
                    <w:t>功能属性及执行标准</w:t>
                  </w:r>
                </w:p>
              </w:tc>
            </w:tr>
            <w:tr>
              <w:tblPrEx>
                <w:tblCellMar>
                  <w:top w:w="37" w:type="dxa"/>
                  <w:left w:w="107" w:type="dxa"/>
                  <w:bottom w:w="0" w:type="dxa"/>
                  <w:right w:w="109" w:type="dxa"/>
                </w:tblCellMar>
              </w:tblPrEx>
              <w:trPr>
                <w:trHeight w:val="560" w:hRule="atLeast"/>
              </w:trPr>
              <w:tc>
                <w:tcPr>
                  <w:tcW w:w="2686" w:type="dxa"/>
                  <w:tcBorders>
                    <w:top w:val="single" w:color="000000" w:sz="6" w:space="0"/>
                    <w:left w:val="single" w:color="000000" w:sz="6" w:space="0"/>
                    <w:bottom w:val="single" w:color="000000" w:sz="6" w:space="0"/>
                    <w:right w:val="single" w:color="000000" w:sz="6" w:space="0"/>
                  </w:tcBorders>
                </w:tcPr>
                <w:p>
                  <w:pPr>
                    <w:pStyle w:val="141"/>
                    <w:rPr>
                      <w:rFonts w:hint="default" w:ascii="Times New Roman" w:hAnsi="Times New Roman" w:cs="Times New Roman"/>
                    </w:rPr>
                  </w:pPr>
                  <w:r>
                    <w:rPr>
                      <w:rFonts w:hint="default" w:ascii="Times New Roman" w:hAnsi="Times New Roman" w:cs="Times New Roman"/>
                    </w:rPr>
                    <w:t>地表水环境功能</w:t>
                  </w:r>
                </w:p>
              </w:tc>
              <w:tc>
                <w:tcPr>
                  <w:tcW w:w="6310" w:type="dxa"/>
                  <w:tcBorders>
                    <w:top w:val="single" w:color="000000" w:sz="6" w:space="0"/>
                    <w:left w:val="single" w:color="000000" w:sz="6" w:space="0"/>
                    <w:bottom w:val="single" w:color="000000" w:sz="6" w:space="0"/>
                    <w:right w:val="single" w:color="000000" w:sz="6" w:space="0"/>
                  </w:tcBorders>
                </w:tcPr>
                <w:p>
                  <w:pPr>
                    <w:pStyle w:val="141"/>
                    <w:rPr>
                      <w:rFonts w:hint="default" w:ascii="Times New Roman" w:hAnsi="Times New Roman" w:cs="Times New Roman"/>
                    </w:rPr>
                  </w:pPr>
                  <w:r>
                    <w:rPr>
                      <w:rFonts w:hint="default" w:ascii="Times New Roman" w:hAnsi="Times New Roman" w:cs="Times New Roman"/>
                    </w:rPr>
                    <w:t>本项目废水不外排。南渡河属于Ⅲ类水，不属于饮用水源保护区，执行《地表水环境质量标准》（GB3838-2002）中的Ⅲ类标准。</w:t>
                  </w:r>
                </w:p>
              </w:tc>
            </w:tr>
            <w:tr>
              <w:tblPrEx>
                <w:tblCellMar>
                  <w:top w:w="37" w:type="dxa"/>
                  <w:left w:w="107" w:type="dxa"/>
                  <w:bottom w:w="0" w:type="dxa"/>
                  <w:right w:w="109" w:type="dxa"/>
                </w:tblCellMar>
              </w:tblPrEx>
              <w:trPr>
                <w:trHeight w:val="560" w:hRule="atLeast"/>
              </w:trPr>
              <w:tc>
                <w:tcPr>
                  <w:tcW w:w="2686" w:type="dxa"/>
                  <w:tcBorders>
                    <w:top w:val="single" w:color="000000" w:sz="6" w:space="0"/>
                    <w:left w:val="single" w:color="000000" w:sz="6" w:space="0"/>
                    <w:bottom w:val="single" w:color="000000" w:sz="6" w:space="0"/>
                    <w:right w:val="single" w:color="000000" w:sz="6" w:space="0"/>
                  </w:tcBorders>
                </w:tcPr>
                <w:p>
                  <w:pPr>
                    <w:pStyle w:val="141"/>
                    <w:rPr>
                      <w:rFonts w:hint="default" w:ascii="Times New Roman" w:hAnsi="Times New Roman" w:cs="Times New Roman"/>
                    </w:rPr>
                  </w:pPr>
                  <w:r>
                    <w:rPr>
                      <w:rFonts w:hint="default" w:ascii="Times New Roman" w:hAnsi="Times New Roman" w:cs="Times New Roman"/>
                    </w:rPr>
                    <w:t>地下水环境功能</w:t>
                  </w:r>
                </w:p>
              </w:tc>
              <w:tc>
                <w:tcPr>
                  <w:tcW w:w="6310" w:type="dxa"/>
                  <w:tcBorders>
                    <w:top w:val="single" w:color="000000" w:sz="6" w:space="0"/>
                    <w:left w:val="single" w:color="000000" w:sz="6" w:space="0"/>
                    <w:bottom w:val="single" w:color="000000" w:sz="6" w:space="0"/>
                    <w:right w:val="single" w:color="000000" w:sz="6" w:space="0"/>
                  </w:tcBorders>
                </w:tcPr>
                <w:p>
                  <w:pPr>
                    <w:pStyle w:val="141"/>
                    <w:rPr>
                      <w:rFonts w:hint="default" w:ascii="Times New Roman" w:hAnsi="Times New Roman" w:cs="Times New Roman"/>
                    </w:rPr>
                  </w:pPr>
                  <w:r>
                    <w:rPr>
                      <w:rFonts w:hint="default" w:ascii="Times New Roman" w:hAnsi="Times New Roman" w:cs="Times New Roman"/>
                    </w:rPr>
                    <w:t>根据《广东省地下水功能区划》（粤水资源[2009]19号），本项目</w:t>
                  </w:r>
                  <w:r>
                    <w:rPr>
                      <w:rFonts w:hint="eastAsia" w:cs="Times New Roman"/>
                      <w:lang w:val="en-US" w:eastAsia="zh-CN"/>
                    </w:rPr>
                    <w:t>属于粤西湛江雷州南部分散式开发利用区，</w:t>
                  </w:r>
                  <w:r>
                    <w:rPr>
                      <w:rFonts w:hint="default" w:ascii="Times New Roman" w:hAnsi="Times New Roman" w:cs="Times New Roman"/>
                    </w:rPr>
                    <w:t>地下水功能区保护目标为Ⅲ类。</w:t>
                  </w:r>
                </w:p>
              </w:tc>
            </w:tr>
            <w:tr>
              <w:tblPrEx>
                <w:tblCellMar>
                  <w:top w:w="37" w:type="dxa"/>
                  <w:left w:w="107" w:type="dxa"/>
                  <w:bottom w:w="0" w:type="dxa"/>
                  <w:right w:w="109" w:type="dxa"/>
                </w:tblCellMar>
              </w:tblPrEx>
              <w:trPr>
                <w:trHeight w:val="832" w:hRule="atLeast"/>
              </w:trPr>
              <w:tc>
                <w:tcPr>
                  <w:tcW w:w="2686" w:type="dxa"/>
                  <w:tcBorders>
                    <w:top w:val="single" w:color="000000" w:sz="6" w:space="0"/>
                    <w:left w:val="single" w:color="000000" w:sz="6" w:space="0"/>
                    <w:bottom w:val="single" w:color="000000" w:sz="6" w:space="0"/>
                    <w:right w:val="single" w:color="000000" w:sz="6" w:space="0"/>
                  </w:tcBorders>
                  <w:vAlign w:val="center"/>
                </w:tcPr>
                <w:p>
                  <w:pPr>
                    <w:pStyle w:val="141"/>
                    <w:rPr>
                      <w:rFonts w:hint="default" w:ascii="Times New Roman" w:hAnsi="Times New Roman" w:cs="Times New Roman"/>
                    </w:rPr>
                  </w:pPr>
                  <w:r>
                    <w:rPr>
                      <w:rFonts w:hint="default" w:ascii="Times New Roman" w:hAnsi="Times New Roman" w:cs="Times New Roman"/>
                    </w:rPr>
                    <w:t>环境空气功能区</w:t>
                  </w:r>
                </w:p>
              </w:tc>
              <w:tc>
                <w:tcPr>
                  <w:tcW w:w="6310" w:type="dxa"/>
                  <w:tcBorders>
                    <w:top w:val="single" w:color="000000" w:sz="6" w:space="0"/>
                    <w:left w:val="single" w:color="000000" w:sz="6" w:space="0"/>
                    <w:bottom w:val="single" w:color="000000" w:sz="6" w:space="0"/>
                    <w:right w:val="single" w:color="000000" w:sz="6" w:space="0"/>
                  </w:tcBorders>
                </w:tcPr>
                <w:p>
                  <w:pPr>
                    <w:pStyle w:val="141"/>
                    <w:rPr>
                      <w:rFonts w:hint="default" w:ascii="Times New Roman" w:hAnsi="Times New Roman" w:cs="Times New Roman"/>
                    </w:rPr>
                  </w:pPr>
                  <w:r>
                    <w:rPr>
                      <w:rFonts w:hint="default" w:ascii="Times New Roman" w:hAnsi="Times New Roman" w:cs="Times New Roman"/>
                    </w:rPr>
                    <w:t>经查《湛江市2006-2020年环保规划》，项目所在区域属于二类环境空气功能区，执行《环境空气质量标准》（GB3095-2012）及其</w:t>
                  </w:r>
                </w:p>
                <w:p>
                  <w:pPr>
                    <w:pStyle w:val="141"/>
                    <w:rPr>
                      <w:rFonts w:hint="default" w:ascii="Times New Roman" w:hAnsi="Times New Roman" w:cs="Times New Roman"/>
                    </w:rPr>
                  </w:pPr>
                  <w:r>
                    <w:rPr>
                      <w:rFonts w:hint="default" w:ascii="Times New Roman" w:hAnsi="Times New Roman" w:cs="Times New Roman"/>
                    </w:rPr>
                    <w:t>2018年9月1日起实施的修改单中的二级标准</w:t>
                  </w:r>
                </w:p>
              </w:tc>
            </w:tr>
            <w:tr>
              <w:tblPrEx>
                <w:tblCellMar>
                  <w:top w:w="37" w:type="dxa"/>
                  <w:left w:w="107" w:type="dxa"/>
                  <w:bottom w:w="0" w:type="dxa"/>
                  <w:right w:w="109" w:type="dxa"/>
                </w:tblCellMar>
              </w:tblPrEx>
              <w:trPr>
                <w:trHeight w:val="838" w:hRule="atLeast"/>
              </w:trPr>
              <w:tc>
                <w:tcPr>
                  <w:tcW w:w="2686" w:type="dxa"/>
                  <w:tcBorders>
                    <w:top w:val="single" w:color="000000" w:sz="6" w:space="0"/>
                    <w:left w:val="single" w:color="000000" w:sz="6" w:space="0"/>
                    <w:bottom w:val="single" w:color="000000" w:sz="6" w:space="0"/>
                    <w:right w:val="single" w:color="000000" w:sz="6" w:space="0"/>
                  </w:tcBorders>
                  <w:vAlign w:val="center"/>
                </w:tcPr>
                <w:p>
                  <w:pPr>
                    <w:pStyle w:val="141"/>
                    <w:rPr>
                      <w:rFonts w:hint="default" w:ascii="Times New Roman" w:hAnsi="Times New Roman" w:cs="Times New Roman"/>
                    </w:rPr>
                  </w:pPr>
                  <w:r>
                    <w:rPr>
                      <w:rFonts w:hint="default" w:ascii="Times New Roman" w:hAnsi="Times New Roman" w:cs="Times New Roman"/>
                    </w:rPr>
                    <w:t>声环境功能区</w:t>
                  </w:r>
                </w:p>
              </w:tc>
              <w:tc>
                <w:tcPr>
                  <w:tcW w:w="6310" w:type="dxa"/>
                  <w:tcBorders>
                    <w:top w:val="single" w:color="000000" w:sz="6" w:space="0"/>
                    <w:left w:val="single" w:color="000000" w:sz="6" w:space="0"/>
                    <w:bottom w:val="single" w:color="000000" w:sz="6" w:space="0"/>
                    <w:right w:val="single" w:color="000000" w:sz="6" w:space="0"/>
                  </w:tcBorders>
                </w:tcPr>
                <w:p>
                  <w:pPr>
                    <w:pStyle w:val="141"/>
                    <w:rPr>
                      <w:rFonts w:hint="default" w:ascii="Times New Roman" w:hAnsi="Times New Roman" w:cs="Times New Roman"/>
                    </w:rPr>
                  </w:pPr>
                  <w:r>
                    <w:rPr>
                      <w:rFonts w:hint="default" w:ascii="Times New Roman" w:hAnsi="Times New Roman" w:cs="Times New Roman"/>
                    </w:rPr>
                    <w:t xml:space="preserve">本项目位于已建成和规划的居民、商业混合区，经查《湛江市城市声环境功能区划分（2020年修订）》，已建成和规划的居民、商业混合区属于声环境功能2类区，执行《声环境质量标准》（GB3096-2008）中2类标准 </w:t>
                  </w:r>
                </w:p>
              </w:tc>
            </w:tr>
            <w:tr>
              <w:tblPrEx>
                <w:tblCellMar>
                  <w:top w:w="37" w:type="dxa"/>
                  <w:left w:w="107" w:type="dxa"/>
                  <w:bottom w:w="0" w:type="dxa"/>
                  <w:right w:w="109" w:type="dxa"/>
                </w:tblCellMar>
              </w:tblPrEx>
              <w:trPr>
                <w:trHeight w:val="287" w:hRule="atLeast"/>
              </w:trPr>
              <w:tc>
                <w:tcPr>
                  <w:tcW w:w="2686" w:type="dxa"/>
                  <w:tcBorders>
                    <w:top w:val="single" w:color="000000" w:sz="6" w:space="0"/>
                    <w:left w:val="single" w:color="000000" w:sz="6" w:space="0"/>
                    <w:bottom w:val="single" w:color="000000" w:sz="6" w:space="0"/>
                    <w:right w:val="single" w:color="000000" w:sz="6" w:space="0"/>
                  </w:tcBorders>
                </w:tcPr>
                <w:p>
                  <w:pPr>
                    <w:pStyle w:val="141"/>
                    <w:rPr>
                      <w:rFonts w:hint="default" w:ascii="Times New Roman" w:hAnsi="Times New Roman" w:cs="Times New Roman"/>
                    </w:rPr>
                  </w:pPr>
                  <w:r>
                    <w:rPr>
                      <w:rFonts w:hint="default" w:ascii="Times New Roman" w:hAnsi="Times New Roman" w:cs="Times New Roman"/>
                    </w:rPr>
                    <w:t>是否农田基本保护区</w:t>
                  </w:r>
                </w:p>
              </w:tc>
              <w:tc>
                <w:tcPr>
                  <w:tcW w:w="6310" w:type="dxa"/>
                  <w:tcBorders>
                    <w:top w:val="single" w:color="000000" w:sz="6" w:space="0"/>
                    <w:left w:val="single" w:color="000000" w:sz="6" w:space="0"/>
                    <w:bottom w:val="single" w:color="000000" w:sz="6" w:space="0"/>
                    <w:right w:val="single" w:color="000000" w:sz="6" w:space="0"/>
                  </w:tcBorders>
                </w:tcPr>
                <w:p>
                  <w:pPr>
                    <w:pStyle w:val="141"/>
                    <w:rPr>
                      <w:rFonts w:hint="default" w:ascii="Times New Roman" w:hAnsi="Times New Roman" w:cs="Times New Roman"/>
                    </w:rPr>
                  </w:pPr>
                  <w:r>
                    <w:rPr>
                      <w:rFonts w:hint="default" w:ascii="Times New Roman" w:hAnsi="Times New Roman" w:cs="Times New Roman"/>
                    </w:rPr>
                    <w:t>否</w:t>
                  </w:r>
                </w:p>
              </w:tc>
            </w:tr>
            <w:tr>
              <w:tblPrEx>
                <w:tblCellMar>
                  <w:top w:w="37" w:type="dxa"/>
                  <w:left w:w="107" w:type="dxa"/>
                  <w:bottom w:w="0" w:type="dxa"/>
                  <w:right w:w="109" w:type="dxa"/>
                </w:tblCellMar>
              </w:tblPrEx>
              <w:trPr>
                <w:trHeight w:val="288" w:hRule="atLeast"/>
              </w:trPr>
              <w:tc>
                <w:tcPr>
                  <w:tcW w:w="2686" w:type="dxa"/>
                  <w:tcBorders>
                    <w:top w:val="single" w:color="000000" w:sz="6" w:space="0"/>
                    <w:left w:val="single" w:color="000000" w:sz="6" w:space="0"/>
                    <w:bottom w:val="single" w:color="000000" w:sz="6" w:space="0"/>
                    <w:right w:val="single" w:color="000000" w:sz="6" w:space="0"/>
                  </w:tcBorders>
                </w:tcPr>
                <w:p>
                  <w:pPr>
                    <w:pStyle w:val="141"/>
                    <w:rPr>
                      <w:rFonts w:hint="default" w:ascii="Times New Roman" w:hAnsi="Times New Roman" w:cs="Times New Roman"/>
                    </w:rPr>
                  </w:pPr>
                  <w:r>
                    <w:rPr>
                      <w:rFonts w:hint="default" w:ascii="Times New Roman" w:hAnsi="Times New Roman" w:cs="Times New Roman"/>
                    </w:rPr>
                    <w:t>是否风景名胜区</w:t>
                  </w:r>
                </w:p>
              </w:tc>
              <w:tc>
                <w:tcPr>
                  <w:tcW w:w="6310" w:type="dxa"/>
                  <w:tcBorders>
                    <w:top w:val="single" w:color="000000" w:sz="6" w:space="0"/>
                    <w:left w:val="single" w:color="000000" w:sz="6" w:space="0"/>
                    <w:bottom w:val="single" w:color="000000" w:sz="6" w:space="0"/>
                    <w:right w:val="single" w:color="000000" w:sz="6" w:space="0"/>
                  </w:tcBorders>
                </w:tcPr>
                <w:p>
                  <w:pPr>
                    <w:pStyle w:val="141"/>
                    <w:rPr>
                      <w:rFonts w:hint="default" w:ascii="Times New Roman" w:hAnsi="Times New Roman" w:cs="Times New Roman"/>
                    </w:rPr>
                  </w:pPr>
                  <w:r>
                    <w:rPr>
                      <w:rFonts w:hint="default" w:ascii="Times New Roman" w:hAnsi="Times New Roman" w:cs="Times New Roman"/>
                    </w:rPr>
                    <w:t>否</w:t>
                  </w:r>
                </w:p>
              </w:tc>
            </w:tr>
            <w:tr>
              <w:tblPrEx>
                <w:tblCellMar>
                  <w:top w:w="37" w:type="dxa"/>
                  <w:left w:w="107" w:type="dxa"/>
                  <w:bottom w:w="0" w:type="dxa"/>
                  <w:right w:w="109" w:type="dxa"/>
                </w:tblCellMar>
              </w:tblPrEx>
              <w:trPr>
                <w:trHeight w:val="287" w:hRule="atLeast"/>
              </w:trPr>
              <w:tc>
                <w:tcPr>
                  <w:tcW w:w="2686" w:type="dxa"/>
                  <w:tcBorders>
                    <w:top w:val="single" w:color="000000" w:sz="6" w:space="0"/>
                    <w:left w:val="single" w:color="000000" w:sz="6" w:space="0"/>
                    <w:bottom w:val="single" w:color="000000" w:sz="6" w:space="0"/>
                    <w:right w:val="single" w:color="000000" w:sz="6" w:space="0"/>
                  </w:tcBorders>
                </w:tcPr>
                <w:p>
                  <w:pPr>
                    <w:pStyle w:val="141"/>
                    <w:rPr>
                      <w:rFonts w:hint="default" w:ascii="Times New Roman" w:hAnsi="Times New Roman" w:cs="Times New Roman"/>
                    </w:rPr>
                  </w:pPr>
                  <w:r>
                    <w:rPr>
                      <w:rFonts w:hint="default" w:ascii="Times New Roman" w:hAnsi="Times New Roman" w:cs="Times New Roman"/>
                    </w:rPr>
                    <w:t>是否自保护区</w:t>
                  </w:r>
                </w:p>
              </w:tc>
              <w:tc>
                <w:tcPr>
                  <w:tcW w:w="6310" w:type="dxa"/>
                  <w:tcBorders>
                    <w:top w:val="single" w:color="000000" w:sz="6" w:space="0"/>
                    <w:left w:val="single" w:color="000000" w:sz="6" w:space="0"/>
                    <w:bottom w:val="single" w:color="000000" w:sz="6" w:space="0"/>
                    <w:right w:val="single" w:color="000000" w:sz="6" w:space="0"/>
                  </w:tcBorders>
                </w:tcPr>
                <w:p>
                  <w:pPr>
                    <w:pStyle w:val="141"/>
                    <w:rPr>
                      <w:rFonts w:hint="default" w:ascii="Times New Roman" w:hAnsi="Times New Roman" w:cs="Times New Roman"/>
                    </w:rPr>
                  </w:pPr>
                  <w:r>
                    <w:rPr>
                      <w:rFonts w:hint="default" w:ascii="Times New Roman" w:hAnsi="Times New Roman" w:cs="Times New Roman"/>
                    </w:rPr>
                    <w:t>否</w:t>
                  </w:r>
                </w:p>
              </w:tc>
            </w:tr>
            <w:tr>
              <w:trPr>
                <w:trHeight w:val="287" w:hRule="atLeast"/>
              </w:trPr>
              <w:tc>
                <w:tcPr>
                  <w:tcW w:w="2686" w:type="dxa"/>
                  <w:tcBorders>
                    <w:top w:val="single" w:color="000000" w:sz="6" w:space="0"/>
                    <w:left w:val="single" w:color="000000" w:sz="6" w:space="0"/>
                    <w:bottom w:val="single" w:color="000000" w:sz="6" w:space="0"/>
                    <w:right w:val="single" w:color="000000" w:sz="6" w:space="0"/>
                  </w:tcBorders>
                </w:tcPr>
                <w:p>
                  <w:pPr>
                    <w:pStyle w:val="141"/>
                    <w:rPr>
                      <w:rFonts w:hint="default" w:ascii="Times New Roman" w:hAnsi="Times New Roman" w:cs="Times New Roman"/>
                    </w:rPr>
                  </w:pPr>
                  <w:r>
                    <w:rPr>
                      <w:rFonts w:hint="default" w:ascii="Times New Roman" w:hAnsi="Times New Roman" w:cs="Times New Roman"/>
                    </w:rPr>
                    <w:t>是否森林公园</w:t>
                  </w:r>
                </w:p>
              </w:tc>
              <w:tc>
                <w:tcPr>
                  <w:tcW w:w="6310" w:type="dxa"/>
                  <w:tcBorders>
                    <w:top w:val="single" w:color="000000" w:sz="6" w:space="0"/>
                    <w:left w:val="single" w:color="000000" w:sz="6" w:space="0"/>
                    <w:bottom w:val="single" w:color="000000" w:sz="6" w:space="0"/>
                    <w:right w:val="single" w:color="000000" w:sz="6" w:space="0"/>
                  </w:tcBorders>
                </w:tcPr>
                <w:p>
                  <w:pPr>
                    <w:pStyle w:val="141"/>
                    <w:rPr>
                      <w:rFonts w:hint="default" w:ascii="Times New Roman" w:hAnsi="Times New Roman" w:cs="Times New Roman"/>
                    </w:rPr>
                  </w:pPr>
                  <w:r>
                    <w:rPr>
                      <w:rFonts w:hint="default" w:ascii="Times New Roman" w:hAnsi="Times New Roman" w:cs="Times New Roman"/>
                    </w:rPr>
                    <w:t>否</w:t>
                  </w:r>
                </w:p>
              </w:tc>
            </w:tr>
            <w:tr>
              <w:tblPrEx>
                <w:tblCellMar>
                  <w:top w:w="37" w:type="dxa"/>
                  <w:left w:w="107" w:type="dxa"/>
                  <w:bottom w:w="0" w:type="dxa"/>
                  <w:right w:w="109" w:type="dxa"/>
                </w:tblCellMar>
              </w:tblPrEx>
              <w:trPr>
                <w:trHeight w:val="288" w:hRule="atLeast"/>
              </w:trPr>
              <w:tc>
                <w:tcPr>
                  <w:tcW w:w="2686" w:type="dxa"/>
                  <w:tcBorders>
                    <w:top w:val="single" w:color="000000" w:sz="6" w:space="0"/>
                    <w:left w:val="single" w:color="000000" w:sz="6" w:space="0"/>
                    <w:bottom w:val="single" w:color="000000" w:sz="6" w:space="0"/>
                    <w:right w:val="single" w:color="000000" w:sz="6" w:space="0"/>
                  </w:tcBorders>
                </w:tcPr>
                <w:p>
                  <w:pPr>
                    <w:pStyle w:val="141"/>
                    <w:rPr>
                      <w:rFonts w:hint="default" w:ascii="Times New Roman" w:hAnsi="Times New Roman" w:cs="Times New Roman"/>
                    </w:rPr>
                  </w:pPr>
                  <w:r>
                    <w:rPr>
                      <w:rFonts w:hint="default" w:ascii="Times New Roman" w:hAnsi="Times New Roman" w:cs="Times New Roman"/>
                    </w:rPr>
                    <w:t>是否生态功能保护区</w:t>
                  </w:r>
                </w:p>
              </w:tc>
              <w:tc>
                <w:tcPr>
                  <w:tcW w:w="6310" w:type="dxa"/>
                  <w:tcBorders>
                    <w:top w:val="single" w:color="000000" w:sz="6" w:space="0"/>
                    <w:left w:val="single" w:color="000000" w:sz="6" w:space="0"/>
                    <w:bottom w:val="single" w:color="000000" w:sz="6" w:space="0"/>
                    <w:right w:val="single" w:color="000000" w:sz="6" w:space="0"/>
                  </w:tcBorders>
                </w:tcPr>
                <w:p>
                  <w:pPr>
                    <w:pStyle w:val="141"/>
                    <w:rPr>
                      <w:rFonts w:hint="default" w:ascii="Times New Roman" w:hAnsi="Times New Roman" w:cs="Times New Roman"/>
                    </w:rPr>
                  </w:pPr>
                  <w:r>
                    <w:rPr>
                      <w:rFonts w:hint="default" w:ascii="Times New Roman" w:hAnsi="Times New Roman" w:cs="Times New Roman"/>
                    </w:rPr>
                    <w:t>否</w:t>
                  </w:r>
                </w:p>
              </w:tc>
            </w:tr>
            <w:tr>
              <w:tblPrEx>
                <w:tblCellMar>
                  <w:top w:w="37" w:type="dxa"/>
                  <w:left w:w="107" w:type="dxa"/>
                  <w:bottom w:w="0" w:type="dxa"/>
                  <w:right w:w="109" w:type="dxa"/>
                </w:tblCellMar>
              </w:tblPrEx>
              <w:trPr>
                <w:trHeight w:val="287" w:hRule="atLeast"/>
              </w:trPr>
              <w:tc>
                <w:tcPr>
                  <w:tcW w:w="2686" w:type="dxa"/>
                  <w:tcBorders>
                    <w:top w:val="single" w:color="000000" w:sz="6" w:space="0"/>
                    <w:left w:val="single" w:color="000000" w:sz="6" w:space="0"/>
                    <w:bottom w:val="single" w:color="000000" w:sz="6" w:space="0"/>
                    <w:right w:val="single" w:color="000000" w:sz="6" w:space="0"/>
                  </w:tcBorders>
                </w:tcPr>
                <w:p>
                  <w:pPr>
                    <w:pStyle w:val="141"/>
                    <w:rPr>
                      <w:rFonts w:hint="default" w:ascii="Times New Roman" w:hAnsi="Times New Roman" w:cs="Times New Roman"/>
                    </w:rPr>
                  </w:pPr>
                  <w:r>
                    <w:rPr>
                      <w:rFonts w:hint="default" w:ascii="Times New Roman" w:hAnsi="Times New Roman" w:cs="Times New Roman"/>
                    </w:rPr>
                    <w:t>是否水土流失点防区</w:t>
                  </w:r>
                </w:p>
              </w:tc>
              <w:tc>
                <w:tcPr>
                  <w:tcW w:w="6310" w:type="dxa"/>
                  <w:tcBorders>
                    <w:top w:val="single" w:color="000000" w:sz="6" w:space="0"/>
                    <w:left w:val="single" w:color="000000" w:sz="6" w:space="0"/>
                    <w:bottom w:val="single" w:color="000000" w:sz="6" w:space="0"/>
                    <w:right w:val="single" w:color="000000" w:sz="6" w:space="0"/>
                  </w:tcBorders>
                </w:tcPr>
                <w:p>
                  <w:pPr>
                    <w:pStyle w:val="141"/>
                    <w:rPr>
                      <w:rFonts w:hint="default" w:ascii="Times New Roman" w:hAnsi="Times New Roman" w:cs="Times New Roman"/>
                    </w:rPr>
                  </w:pPr>
                  <w:r>
                    <w:rPr>
                      <w:rFonts w:hint="default" w:ascii="Times New Roman" w:hAnsi="Times New Roman" w:cs="Times New Roman"/>
                    </w:rPr>
                    <w:t>否</w:t>
                  </w:r>
                </w:p>
              </w:tc>
            </w:tr>
            <w:tr>
              <w:tblPrEx>
                <w:tblCellMar>
                  <w:top w:w="37" w:type="dxa"/>
                  <w:left w:w="107" w:type="dxa"/>
                  <w:bottom w:w="0" w:type="dxa"/>
                  <w:right w:w="109" w:type="dxa"/>
                </w:tblCellMar>
              </w:tblPrEx>
              <w:trPr>
                <w:trHeight w:val="287" w:hRule="atLeast"/>
              </w:trPr>
              <w:tc>
                <w:tcPr>
                  <w:tcW w:w="2686" w:type="dxa"/>
                  <w:tcBorders>
                    <w:top w:val="single" w:color="000000" w:sz="6" w:space="0"/>
                    <w:left w:val="single" w:color="000000" w:sz="6" w:space="0"/>
                    <w:bottom w:val="single" w:color="000000" w:sz="6" w:space="0"/>
                    <w:right w:val="single" w:color="000000" w:sz="6" w:space="0"/>
                  </w:tcBorders>
                </w:tcPr>
                <w:p>
                  <w:pPr>
                    <w:pStyle w:val="141"/>
                    <w:rPr>
                      <w:rFonts w:hint="default" w:ascii="Times New Roman" w:hAnsi="Times New Roman" w:cs="Times New Roman"/>
                    </w:rPr>
                  </w:pPr>
                  <w:r>
                    <w:rPr>
                      <w:rFonts w:hint="default" w:ascii="Times New Roman" w:hAnsi="Times New Roman" w:cs="Times New Roman"/>
                    </w:rPr>
                    <w:t>是否人口密集区</w:t>
                  </w:r>
                </w:p>
              </w:tc>
              <w:tc>
                <w:tcPr>
                  <w:tcW w:w="6310" w:type="dxa"/>
                  <w:tcBorders>
                    <w:top w:val="single" w:color="000000" w:sz="6" w:space="0"/>
                    <w:left w:val="single" w:color="000000" w:sz="6" w:space="0"/>
                    <w:bottom w:val="single" w:color="000000" w:sz="6" w:space="0"/>
                    <w:right w:val="single" w:color="000000" w:sz="6" w:space="0"/>
                  </w:tcBorders>
                </w:tcPr>
                <w:p>
                  <w:pPr>
                    <w:pStyle w:val="141"/>
                    <w:rPr>
                      <w:rFonts w:hint="default" w:ascii="Times New Roman" w:hAnsi="Times New Roman" w:cs="Times New Roman"/>
                    </w:rPr>
                  </w:pPr>
                  <w:r>
                    <w:rPr>
                      <w:rFonts w:hint="default" w:ascii="Times New Roman" w:hAnsi="Times New Roman" w:cs="Times New Roman"/>
                    </w:rPr>
                    <w:t>否</w:t>
                  </w:r>
                </w:p>
              </w:tc>
            </w:tr>
            <w:tr>
              <w:tblPrEx>
                <w:tblCellMar>
                  <w:top w:w="37" w:type="dxa"/>
                  <w:left w:w="107" w:type="dxa"/>
                  <w:bottom w:w="0" w:type="dxa"/>
                  <w:right w:w="109" w:type="dxa"/>
                </w:tblCellMar>
              </w:tblPrEx>
              <w:trPr>
                <w:trHeight w:val="288" w:hRule="atLeast"/>
              </w:trPr>
              <w:tc>
                <w:tcPr>
                  <w:tcW w:w="2686" w:type="dxa"/>
                  <w:tcBorders>
                    <w:top w:val="single" w:color="000000" w:sz="6" w:space="0"/>
                    <w:left w:val="single" w:color="000000" w:sz="6" w:space="0"/>
                    <w:bottom w:val="single" w:color="000000" w:sz="6" w:space="0"/>
                    <w:right w:val="single" w:color="000000" w:sz="6" w:space="0"/>
                  </w:tcBorders>
                </w:tcPr>
                <w:p>
                  <w:pPr>
                    <w:pStyle w:val="141"/>
                    <w:rPr>
                      <w:rFonts w:hint="default" w:ascii="Times New Roman" w:hAnsi="Times New Roman" w:cs="Times New Roman"/>
                    </w:rPr>
                  </w:pPr>
                  <w:r>
                    <w:rPr>
                      <w:rFonts w:hint="default" w:ascii="Times New Roman" w:hAnsi="Times New Roman" w:cs="Times New Roman"/>
                    </w:rPr>
                    <w:t>是否重点文物保护单位</w:t>
                  </w:r>
                </w:p>
              </w:tc>
              <w:tc>
                <w:tcPr>
                  <w:tcW w:w="6310" w:type="dxa"/>
                  <w:tcBorders>
                    <w:top w:val="single" w:color="000000" w:sz="6" w:space="0"/>
                    <w:left w:val="single" w:color="000000" w:sz="6" w:space="0"/>
                    <w:bottom w:val="single" w:color="000000" w:sz="6" w:space="0"/>
                    <w:right w:val="single" w:color="000000" w:sz="6" w:space="0"/>
                  </w:tcBorders>
                </w:tcPr>
                <w:p>
                  <w:pPr>
                    <w:pStyle w:val="141"/>
                    <w:rPr>
                      <w:rFonts w:hint="default" w:ascii="Times New Roman" w:hAnsi="Times New Roman" w:cs="Times New Roman"/>
                    </w:rPr>
                  </w:pPr>
                  <w:r>
                    <w:rPr>
                      <w:rFonts w:hint="default" w:ascii="Times New Roman" w:hAnsi="Times New Roman" w:cs="Times New Roman"/>
                    </w:rPr>
                    <w:t>否</w:t>
                  </w:r>
                </w:p>
              </w:tc>
            </w:tr>
            <w:tr>
              <w:trPr>
                <w:trHeight w:val="28" w:hRule="atLeast"/>
              </w:trPr>
              <w:tc>
                <w:tcPr>
                  <w:tcW w:w="2686" w:type="dxa"/>
                  <w:tcBorders>
                    <w:top w:val="single" w:color="000000" w:sz="6" w:space="0"/>
                    <w:left w:val="single" w:color="000000" w:sz="6" w:space="0"/>
                    <w:bottom w:val="single" w:color="000000" w:sz="6" w:space="0"/>
                    <w:right w:val="single" w:color="000000" w:sz="6" w:space="0"/>
                  </w:tcBorders>
                </w:tcPr>
                <w:p>
                  <w:pPr>
                    <w:pStyle w:val="141"/>
                    <w:rPr>
                      <w:rFonts w:hint="default" w:ascii="Times New Roman" w:hAnsi="Times New Roman" w:cs="Times New Roman"/>
                    </w:rPr>
                  </w:pPr>
                  <w:r>
                    <w:rPr>
                      <w:rFonts w:hint="default" w:ascii="Times New Roman" w:hAnsi="Times New Roman" w:cs="Times New Roman"/>
                    </w:rPr>
                    <w:t>是否三河、湖、两控区</w:t>
                  </w:r>
                </w:p>
              </w:tc>
              <w:tc>
                <w:tcPr>
                  <w:tcW w:w="6310" w:type="dxa"/>
                  <w:tcBorders>
                    <w:top w:val="single" w:color="000000" w:sz="6" w:space="0"/>
                    <w:left w:val="single" w:color="000000" w:sz="6" w:space="0"/>
                    <w:bottom w:val="single" w:color="000000" w:sz="6" w:space="0"/>
                    <w:right w:val="single" w:color="000000" w:sz="6" w:space="0"/>
                  </w:tcBorders>
                  <w:vAlign w:val="center"/>
                </w:tcPr>
                <w:p>
                  <w:pPr>
                    <w:pStyle w:val="141"/>
                    <w:rPr>
                      <w:rFonts w:hint="default" w:ascii="Times New Roman" w:hAnsi="Times New Roman" w:cs="Times New Roman"/>
                    </w:rPr>
                  </w:pPr>
                  <w:r>
                    <w:rPr>
                      <w:rFonts w:hint="default" w:ascii="Times New Roman" w:hAnsi="Times New Roman" w:cs="Times New Roman"/>
                    </w:rPr>
                    <w:t>是</w:t>
                  </w:r>
                </w:p>
              </w:tc>
            </w:tr>
            <w:tr>
              <w:tblPrEx>
                <w:tblCellMar>
                  <w:top w:w="37" w:type="dxa"/>
                  <w:left w:w="107" w:type="dxa"/>
                  <w:bottom w:w="0" w:type="dxa"/>
                  <w:right w:w="109" w:type="dxa"/>
                </w:tblCellMar>
              </w:tblPrEx>
              <w:trPr>
                <w:trHeight w:val="288" w:hRule="atLeast"/>
              </w:trPr>
              <w:tc>
                <w:tcPr>
                  <w:tcW w:w="2686" w:type="dxa"/>
                  <w:tcBorders>
                    <w:top w:val="single" w:color="000000" w:sz="6" w:space="0"/>
                    <w:left w:val="single" w:color="000000" w:sz="6" w:space="0"/>
                    <w:bottom w:val="single" w:color="000000" w:sz="6" w:space="0"/>
                    <w:right w:val="single" w:color="000000" w:sz="6" w:space="0"/>
                  </w:tcBorders>
                </w:tcPr>
                <w:p>
                  <w:pPr>
                    <w:pStyle w:val="141"/>
                    <w:rPr>
                      <w:rFonts w:hint="default" w:ascii="Times New Roman" w:hAnsi="Times New Roman" w:cs="Times New Roman"/>
                    </w:rPr>
                  </w:pPr>
                  <w:r>
                    <w:rPr>
                      <w:rFonts w:hint="default" w:ascii="Times New Roman" w:hAnsi="Times New Roman" w:cs="Times New Roman"/>
                    </w:rPr>
                    <w:t>是否水库库区</w:t>
                  </w:r>
                </w:p>
              </w:tc>
              <w:tc>
                <w:tcPr>
                  <w:tcW w:w="6310" w:type="dxa"/>
                  <w:tcBorders>
                    <w:top w:val="single" w:color="000000" w:sz="6" w:space="0"/>
                    <w:left w:val="single" w:color="000000" w:sz="6" w:space="0"/>
                    <w:bottom w:val="single" w:color="000000" w:sz="6" w:space="0"/>
                    <w:right w:val="single" w:color="000000" w:sz="6" w:space="0"/>
                  </w:tcBorders>
                </w:tcPr>
                <w:p>
                  <w:pPr>
                    <w:pStyle w:val="141"/>
                    <w:rPr>
                      <w:rFonts w:hint="default" w:ascii="Times New Roman" w:hAnsi="Times New Roman" w:cs="Times New Roman"/>
                    </w:rPr>
                  </w:pPr>
                  <w:r>
                    <w:rPr>
                      <w:rFonts w:hint="default" w:ascii="Times New Roman" w:hAnsi="Times New Roman" w:cs="Times New Roman"/>
                    </w:rPr>
                    <w:t>否</w:t>
                  </w:r>
                </w:p>
              </w:tc>
            </w:tr>
            <w:tr>
              <w:tblPrEx>
                <w:tblCellMar>
                  <w:top w:w="37" w:type="dxa"/>
                  <w:left w:w="107" w:type="dxa"/>
                  <w:bottom w:w="0" w:type="dxa"/>
                  <w:right w:w="109" w:type="dxa"/>
                </w:tblCellMar>
              </w:tblPrEx>
              <w:trPr>
                <w:trHeight w:val="287" w:hRule="atLeast"/>
              </w:trPr>
              <w:tc>
                <w:tcPr>
                  <w:tcW w:w="2686" w:type="dxa"/>
                  <w:tcBorders>
                    <w:top w:val="single" w:color="000000" w:sz="6" w:space="0"/>
                    <w:left w:val="single" w:color="000000" w:sz="6" w:space="0"/>
                    <w:bottom w:val="single" w:color="000000" w:sz="6" w:space="0"/>
                    <w:right w:val="single" w:color="000000" w:sz="6" w:space="0"/>
                  </w:tcBorders>
                </w:tcPr>
                <w:p>
                  <w:pPr>
                    <w:pStyle w:val="141"/>
                    <w:rPr>
                      <w:rFonts w:hint="default" w:ascii="Times New Roman" w:hAnsi="Times New Roman" w:cs="Times New Roman"/>
                    </w:rPr>
                  </w:pPr>
                  <w:r>
                    <w:rPr>
                      <w:rFonts w:hint="default" w:ascii="Times New Roman" w:hAnsi="Times New Roman" w:cs="Times New Roman"/>
                    </w:rPr>
                    <w:t>是否污水处理厂集水范围</w:t>
                  </w:r>
                </w:p>
              </w:tc>
              <w:tc>
                <w:tcPr>
                  <w:tcW w:w="6310" w:type="dxa"/>
                  <w:tcBorders>
                    <w:top w:val="single" w:color="000000" w:sz="6" w:space="0"/>
                    <w:left w:val="single" w:color="000000" w:sz="6" w:space="0"/>
                    <w:bottom w:val="single" w:color="000000" w:sz="6" w:space="0"/>
                    <w:right w:val="single" w:color="000000" w:sz="6" w:space="0"/>
                  </w:tcBorders>
                </w:tcPr>
                <w:p>
                  <w:pPr>
                    <w:pStyle w:val="141"/>
                    <w:rPr>
                      <w:rFonts w:hint="default" w:ascii="Times New Roman" w:hAnsi="Times New Roman" w:cs="Times New Roman"/>
                    </w:rPr>
                  </w:pPr>
                  <w:r>
                    <w:rPr>
                      <w:rFonts w:hint="default" w:ascii="Times New Roman" w:hAnsi="Times New Roman" w:cs="Times New Roman"/>
                    </w:rPr>
                    <w:t>是</w:t>
                  </w:r>
                </w:p>
              </w:tc>
            </w:tr>
            <w:tr>
              <w:tblPrEx>
                <w:tblCellMar>
                  <w:top w:w="37" w:type="dxa"/>
                  <w:left w:w="107" w:type="dxa"/>
                  <w:bottom w:w="0" w:type="dxa"/>
                  <w:right w:w="109" w:type="dxa"/>
                </w:tblCellMar>
              </w:tblPrEx>
              <w:trPr>
                <w:trHeight w:val="288" w:hRule="atLeast"/>
              </w:trPr>
              <w:tc>
                <w:tcPr>
                  <w:tcW w:w="2686" w:type="dxa"/>
                  <w:tcBorders>
                    <w:top w:val="single" w:color="000000" w:sz="6" w:space="0"/>
                    <w:left w:val="single" w:color="000000" w:sz="6" w:space="0"/>
                    <w:bottom w:val="single" w:color="000000" w:sz="6" w:space="0"/>
                    <w:right w:val="single" w:color="000000" w:sz="6" w:space="0"/>
                  </w:tcBorders>
                </w:tcPr>
                <w:p>
                  <w:pPr>
                    <w:pStyle w:val="141"/>
                    <w:rPr>
                      <w:rFonts w:hint="default" w:ascii="Times New Roman" w:hAnsi="Times New Roman" w:cs="Times New Roman"/>
                    </w:rPr>
                  </w:pPr>
                  <w:r>
                    <w:rPr>
                      <w:rFonts w:hint="default" w:ascii="Times New Roman" w:hAnsi="Times New Roman" w:cs="Times New Roman"/>
                    </w:rPr>
                    <w:t>是否属于生态敏感与脆弱</w:t>
                  </w:r>
                </w:p>
              </w:tc>
              <w:tc>
                <w:tcPr>
                  <w:tcW w:w="6310" w:type="dxa"/>
                  <w:tcBorders>
                    <w:top w:val="single" w:color="000000" w:sz="6" w:space="0"/>
                    <w:left w:val="single" w:color="000000" w:sz="6" w:space="0"/>
                    <w:bottom w:val="single" w:color="000000" w:sz="6" w:space="0"/>
                    <w:right w:val="single" w:color="000000" w:sz="6" w:space="0"/>
                  </w:tcBorders>
                </w:tcPr>
                <w:p>
                  <w:pPr>
                    <w:pStyle w:val="141"/>
                    <w:rPr>
                      <w:rFonts w:hint="default" w:ascii="Times New Roman" w:hAnsi="Times New Roman" w:cs="Times New Roman"/>
                    </w:rPr>
                  </w:pPr>
                  <w:r>
                    <w:rPr>
                      <w:rFonts w:hint="default" w:ascii="Times New Roman" w:hAnsi="Times New Roman" w:cs="Times New Roman"/>
                    </w:rPr>
                    <w:t>否</w:t>
                  </w:r>
                </w:p>
              </w:tc>
            </w:tr>
          </w:tbl>
          <w:p>
            <w:pPr>
              <w:pStyle w:val="143"/>
              <w:spacing w:before="156"/>
              <w:rPr>
                <w:rFonts w:hint="default" w:ascii="Times New Roman" w:hAnsi="Times New Roman" w:cs="Times New Roman"/>
              </w:rPr>
            </w:pPr>
          </w:p>
          <w:p>
            <w:pPr>
              <w:pStyle w:val="143"/>
              <w:spacing w:before="156"/>
              <w:rPr>
                <w:rFonts w:hint="default" w:ascii="Times New Roman" w:hAnsi="Times New Roman" w:cs="Times New Roman"/>
              </w:rPr>
            </w:pPr>
          </w:p>
          <w:p>
            <w:pPr>
              <w:pStyle w:val="143"/>
              <w:spacing w:before="156"/>
              <w:rPr>
                <w:rFonts w:hint="default" w:ascii="Times New Roman" w:hAnsi="Times New Roman" w:cs="Times New Roman"/>
              </w:rPr>
            </w:pPr>
          </w:p>
          <w:p>
            <w:pPr>
              <w:pStyle w:val="143"/>
              <w:spacing w:before="156"/>
              <w:rPr>
                <w:rFonts w:hint="default" w:ascii="Times New Roman" w:hAnsi="Times New Roman" w:cs="Times New Roman"/>
              </w:rPr>
            </w:pPr>
          </w:p>
          <w:p>
            <w:pPr>
              <w:pStyle w:val="143"/>
              <w:spacing w:before="156"/>
              <w:rPr>
                <w:rFonts w:hint="default" w:ascii="Times New Roman" w:hAnsi="Times New Roman" w:cs="Times New Roman"/>
              </w:rPr>
            </w:pPr>
          </w:p>
          <w:p>
            <w:pPr>
              <w:pStyle w:val="143"/>
              <w:spacing w:before="156"/>
              <w:rPr>
                <w:rFonts w:hint="default" w:ascii="Times New Roman" w:hAnsi="Times New Roman" w:cs="Times New Roman"/>
              </w:rPr>
            </w:pPr>
          </w:p>
          <w:p>
            <w:pPr>
              <w:pStyle w:val="143"/>
              <w:spacing w:before="156"/>
              <w:rPr>
                <w:rFonts w:hint="default" w:ascii="Times New Roman" w:hAnsi="Times New Roman" w:cs="Times New Roman"/>
              </w:rPr>
            </w:pPr>
          </w:p>
          <w:p>
            <w:pPr>
              <w:pStyle w:val="143"/>
              <w:spacing w:before="156"/>
              <w:rPr>
                <w:rFonts w:hint="default" w:ascii="Times New Roman" w:hAnsi="Times New Roman" w:cs="Times New Roman"/>
              </w:rPr>
            </w:pPr>
          </w:p>
          <w:bookmarkEnd w:id="10"/>
          <w:p>
            <w:pPr>
              <w:spacing w:line="360" w:lineRule="auto"/>
              <w:rPr>
                <w:rFonts w:hint="default" w:ascii="Times New Roman" w:hAnsi="Times New Roman" w:cs="Times New Roman"/>
                <w:spacing w:val="4"/>
                <w:kern w:val="18"/>
                <w:sz w:val="24"/>
              </w:rPr>
            </w:pPr>
          </w:p>
        </w:tc>
      </w:tr>
    </w:tbl>
    <w:p>
      <w:pPr>
        <w:adjustRightInd/>
        <w:spacing w:before="100" w:beforeAutospacing="1" w:line="360" w:lineRule="auto"/>
        <w:rPr>
          <w:rFonts w:hAnsi="宋体"/>
          <w:b/>
          <w:kern w:val="21"/>
          <w:sz w:val="30"/>
        </w:rPr>
        <w:sectPr>
          <w:pgSz w:w="11907" w:h="16840"/>
          <w:pgMar w:top="1418" w:right="1418" w:bottom="1418" w:left="1418" w:header="851" w:footer="992" w:gutter="113"/>
          <w:pgBorders>
            <w:top w:val="none" w:sz="0" w:space="0"/>
            <w:left w:val="none" w:sz="0" w:space="0"/>
            <w:bottom w:val="none" w:sz="0" w:space="0"/>
            <w:right w:val="none" w:sz="0" w:space="0"/>
          </w:pgBorders>
          <w:cols w:space="720" w:num="1"/>
          <w:titlePg/>
          <w:docGrid w:type="lines" w:linePitch="312" w:charSpace="0"/>
        </w:sectPr>
      </w:pPr>
    </w:p>
    <w:p>
      <w:pPr>
        <w:adjustRightInd/>
        <w:spacing w:line="360" w:lineRule="auto"/>
        <w:outlineLvl w:val="0"/>
        <w:rPr>
          <w:rFonts w:hAnsi="宋体"/>
          <w:b/>
          <w:kern w:val="21"/>
          <w:sz w:val="30"/>
        </w:rPr>
      </w:pPr>
      <w:bookmarkStart w:id="11" w:name="_Toc6764"/>
      <w:r>
        <w:rPr>
          <w:rFonts w:hAnsi="宋体"/>
          <w:b/>
          <w:kern w:val="21"/>
          <w:sz w:val="30"/>
        </w:rPr>
        <w:t>环境质量状况</w:t>
      </w:r>
      <w:bookmarkEnd w:id="11"/>
    </w:p>
    <w:tbl>
      <w:tblPr>
        <w:tblStyle w:val="3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1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47" w:hRule="atLeast"/>
        </w:trPr>
        <w:tc>
          <w:tcPr>
            <w:tcW w:w="5000" w:type="pct"/>
            <w:tcBorders>
              <w:tl2br w:val="nil"/>
              <w:tr2bl w:val="nil"/>
            </w:tcBorders>
          </w:tcPr>
          <w:p>
            <w:pPr>
              <w:tabs>
                <w:tab w:val="left" w:pos="0"/>
              </w:tabs>
              <w:adjustRightInd/>
              <w:spacing w:line="360" w:lineRule="auto"/>
              <w:jc w:val="left"/>
              <w:rPr>
                <w:rFonts w:hint="default" w:ascii="Times New Roman" w:hAnsi="Times New Roman" w:cs="Times New Roman"/>
                <w:b/>
                <w:sz w:val="28"/>
                <w:szCs w:val="28"/>
              </w:rPr>
            </w:pPr>
            <w:r>
              <w:rPr>
                <w:rFonts w:hint="default" w:ascii="Times New Roman" w:hAnsi="Times New Roman" w:cs="Times New Roman"/>
                <w:b/>
                <w:sz w:val="28"/>
                <w:szCs w:val="28"/>
              </w:rPr>
              <w:t>建设项目所在地区域环境质量现状及主要环境问题（环境空气、地面水、地下水、声环境、生态环境等）：</w:t>
            </w:r>
          </w:p>
          <w:p>
            <w:pPr>
              <w:pStyle w:val="137"/>
              <w:ind w:firstLine="482"/>
              <w:rPr>
                <w:rFonts w:hint="default" w:ascii="Times New Roman" w:hAnsi="Times New Roman" w:cs="Times New Roman"/>
                <w:b/>
                <w:bCs/>
              </w:rPr>
            </w:pPr>
            <w:r>
              <w:rPr>
                <w:rFonts w:hint="default" w:ascii="Times New Roman" w:hAnsi="Times New Roman" w:cs="Times New Roman"/>
                <w:b/>
                <w:bCs/>
              </w:rPr>
              <w:t>一、大气环境质量现状</w:t>
            </w:r>
          </w:p>
          <w:p>
            <w:pPr>
              <w:pStyle w:val="137"/>
              <w:ind w:firstLine="480"/>
              <w:rPr>
                <w:rFonts w:hint="default" w:ascii="Times New Roman" w:hAnsi="Times New Roman" w:cs="Times New Roman"/>
              </w:rPr>
            </w:pPr>
            <w:r>
              <w:rPr>
                <w:rFonts w:hint="default" w:ascii="Times New Roman" w:hAnsi="Times New Roman" w:cs="Times New Roman"/>
              </w:rPr>
              <w:t>（1）达标区判定</w:t>
            </w:r>
          </w:p>
          <w:p>
            <w:pPr>
              <w:pStyle w:val="137"/>
              <w:ind w:firstLine="480"/>
              <w:rPr>
                <w:rFonts w:hint="default" w:ascii="Times New Roman" w:hAnsi="Times New Roman" w:cs="Times New Roman"/>
                <w:kern w:val="0"/>
              </w:rPr>
            </w:pPr>
            <w:r>
              <w:rPr>
                <w:rFonts w:hint="default" w:ascii="Times New Roman" w:hAnsi="Times New Roman" w:cs="Times New Roman"/>
                <w:kern w:val="0"/>
              </w:rPr>
              <w:t>项目所在区域为环境空气质量二类区，执行国家《环境空气质量标准》（GB3095-2012）及其2018年修改单二级标准。</w:t>
            </w:r>
          </w:p>
          <w:p>
            <w:pPr>
              <w:pStyle w:val="137"/>
              <w:ind w:firstLine="480"/>
              <w:rPr>
                <w:rFonts w:hint="default" w:ascii="Times New Roman" w:hAnsi="Times New Roman" w:cs="Times New Roman"/>
                <w:kern w:val="0"/>
              </w:rPr>
            </w:pPr>
            <w:r>
              <w:rPr>
                <w:rFonts w:hint="default" w:ascii="Times New Roman" w:hAnsi="Times New Roman" w:cs="Times New Roman"/>
                <w:kern w:val="0"/>
              </w:rPr>
              <w:t>本报告引用《2019 年度湛江市环境质量年报简报》，2019年湛江市SO</w:t>
            </w:r>
            <w:r>
              <w:rPr>
                <w:rFonts w:hint="default" w:ascii="Times New Roman" w:hAnsi="Times New Roman" w:cs="Times New Roman"/>
                <w:kern w:val="0"/>
                <w:vertAlign w:val="subscript"/>
              </w:rPr>
              <w:t>2</w:t>
            </w:r>
            <w:r>
              <w:rPr>
                <w:rFonts w:hint="default" w:ascii="Times New Roman" w:hAnsi="Times New Roman" w:cs="Times New Roman"/>
                <w:kern w:val="0"/>
              </w:rPr>
              <w:t>、NO</w:t>
            </w:r>
            <w:r>
              <w:rPr>
                <w:rFonts w:hint="default" w:ascii="Times New Roman" w:hAnsi="Times New Roman" w:cs="Times New Roman"/>
                <w:kern w:val="0"/>
                <w:vertAlign w:val="subscript"/>
              </w:rPr>
              <w:t>2</w:t>
            </w:r>
            <w:r>
              <w:rPr>
                <w:rFonts w:hint="default" w:ascii="Times New Roman" w:hAnsi="Times New Roman" w:cs="Times New Roman"/>
                <w:kern w:val="0"/>
              </w:rPr>
              <w:t>、PM</w:t>
            </w:r>
            <w:r>
              <w:rPr>
                <w:rFonts w:hint="default" w:ascii="Times New Roman" w:hAnsi="Times New Roman" w:cs="Times New Roman"/>
                <w:kern w:val="0"/>
                <w:vertAlign w:val="subscript"/>
              </w:rPr>
              <w:t>10</w:t>
            </w:r>
            <w:r>
              <w:rPr>
                <w:rFonts w:hint="default" w:ascii="Times New Roman" w:hAnsi="Times New Roman" w:cs="Times New Roman"/>
                <w:kern w:val="0"/>
              </w:rPr>
              <w:t>、CO、O</w:t>
            </w:r>
            <w:r>
              <w:rPr>
                <w:rFonts w:hint="default" w:ascii="Times New Roman" w:hAnsi="Times New Roman" w:cs="Times New Roman"/>
                <w:kern w:val="0"/>
                <w:vertAlign w:val="subscript"/>
              </w:rPr>
              <w:t>3</w:t>
            </w:r>
            <w:r>
              <w:rPr>
                <w:rFonts w:hint="default" w:ascii="Times New Roman" w:hAnsi="Times New Roman" w:cs="Times New Roman"/>
                <w:kern w:val="0"/>
              </w:rPr>
              <w:t>的年平均浓度、24小时平均或日最大8h平均浓度和相应百分位数均能达到环境空气质量二级标准限值，数据见</w:t>
            </w:r>
            <w:r>
              <w:rPr>
                <w:rFonts w:hint="eastAsia" w:cs="Times New Roman"/>
                <w:kern w:val="0"/>
                <w:lang w:val="en-US" w:eastAsia="zh-CN"/>
              </w:rPr>
              <w:t>表3-1</w:t>
            </w:r>
            <w:r>
              <w:rPr>
                <w:rFonts w:hint="default" w:ascii="Times New Roman" w:hAnsi="Times New Roman" w:cs="Times New Roman"/>
                <w:kern w:val="0"/>
              </w:rPr>
              <w:t>。</w:t>
            </w:r>
          </w:p>
          <w:p>
            <w:pPr>
              <w:pStyle w:val="13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rPr>
            </w:pPr>
            <w:r>
              <w:rPr>
                <w:rFonts w:hint="default" w:ascii="Times New Roman" w:hAnsi="Times New Roman" w:cs="Times New Roman"/>
              </w:rPr>
              <w:t>因此，本项目所在区域为大气环境质量达标区。</w:t>
            </w:r>
          </w:p>
          <w:p>
            <w:pPr>
              <w:pStyle w:val="143"/>
              <w:keepNext w:val="0"/>
              <w:keepLines w:val="0"/>
              <w:pageBreakBefore w:val="0"/>
              <w:widowControl w:val="0"/>
              <w:kinsoku/>
              <w:wordWrap/>
              <w:overflowPunct/>
              <w:topLinePunct w:val="0"/>
              <w:autoSpaceDE/>
              <w:autoSpaceDN/>
              <w:bidi w:val="0"/>
              <w:adjustRightInd/>
              <w:snapToGrid/>
              <w:spacing w:beforeLines="0"/>
              <w:textAlignment w:val="auto"/>
              <w:rPr>
                <w:rFonts w:hint="default" w:ascii="Times New Roman" w:hAnsi="Times New Roman" w:cs="Times New Roman"/>
                <w:szCs w:val="24"/>
              </w:rPr>
            </w:pPr>
            <w:bookmarkStart w:id="12" w:name="_Ref45474033"/>
            <w:r>
              <w:rPr>
                <w:rFonts w:hint="default" w:ascii="Times New Roman" w:hAnsi="Times New Roman" w:cs="Times New Roman"/>
                <w:szCs w:val="24"/>
              </w:rPr>
              <w:t>表</w:t>
            </w:r>
            <w:bookmarkEnd w:id="12"/>
            <w:r>
              <w:rPr>
                <w:rFonts w:hint="eastAsia" w:cs="Times New Roman"/>
                <w:szCs w:val="24"/>
                <w:lang w:val="en-US" w:eastAsia="zh-CN"/>
              </w:rPr>
              <w:t>3-1</w:t>
            </w:r>
            <w:r>
              <w:rPr>
                <w:rFonts w:hint="default" w:ascii="Times New Roman" w:hAnsi="Times New Roman" w:cs="Times New Roman"/>
                <w:szCs w:val="24"/>
              </w:rPr>
              <w:t xml:space="preserve">  2019 年湛江市区空气质量现状评价表</w:t>
            </w:r>
          </w:p>
          <w:tbl>
            <w:tblPr>
              <w:tblStyle w:val="1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38" w:type="dxa"/>
                <w:left w:w="1" w:type="dxa"/>
                <w:bottom w:w="37" w:type="dxa"/>
                <w:right w:w="68" w:type="dxa"/>
              </w:tblCellMar>
            </w:tblPr>
            <w:tblGrid>
              <w:gridCol w:w="674"/>
              <w:gridCol w:w="1015"/>
              <w:gridCol w:w="1029"/>
              <w:gridCol w:w="1212"/>
              <w:gridCol w:w="1750"/>
              <w:gridCol w:w="2058"/>
              <w:gridCol w:w="1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8" w:type="dxa"/>
                  <w:left w:w="1" w:type="dxa"/>
                  <w:bottom w:w="37" w:type="dxa"/>
                  <w:right w:w="68" w:type="dxa"/>
                </w:tblCellMar>
              </w:tblPrEx>
              <w:trPr>
                <w:trHeight w:val="379" w:hRule="atLeast"/>
              </w:trPr>
              <w:tc>
                <w:tcPr>
                  <w:tcW w:w="377" w:type="pct"/>
                  <w:vMerge w:val="restart"/>
                  <w:vAlign w:val="center"/>
                </w:tcPr>
                <w:p>
                  <w:pPr>
                    <w:pStyle w:val="141"/>
                    <w:rPr>
                      <w:rFonts w:hint="default" w:ascii="Times New Roman" w:hAnsi="Times New Roman" w:cs="Times New Roman"/>
                      <w:b w:val="0"/>
                      <w:bCs w:val="0"/>
                    </w:rPr>
                  </w:pPr>
                  <w:r>
                    <w:rPr>
                      <w:rFonts w:hint="default" w:ascii="Times New Roman" w:hAnsi="Times New Roman" w:cs="Times New Roman"/>
                      <w:b w:val="0"/>
                      <w:bCs w:val="0"/>
                    </w:rPr>
                    <w:t>项目</w:t>
                  </w:r>
                </w:p>
              </w:tc>
              <w:tc>
                <w:tcPr>
                  <w:tcW w:w="567" w:type="pct"/>
                  <w:vAlign w:val="center"/>
                </w:tcPr>
                <w:p>
                  <w:pPr>
                    <w:pStyle w:val="141"/>
                    <w:rPr>
                      <w:rFonts w:hint="default" w:ascii="Times New Roman" w:hAnsi="Times New Roman" w:cs="Times New Roman"/>
                      <w:b w:val="0"/>
                      <w:bCs w:val="0"/>
                    </w:rPr>
                  </w:pPr>
                  <w:r>
                    <w:rPr>
                      <w:rFonts w:hint="default" w:ascii="Times New Roman" w:hAnsi="Times New Roman" w:cs="Times New Roman"/>
                      <w:b w:val="0"/>
                      <w:bCs w:val="0"/>
                    </w:rPr>
                    <w:t>SO</w:t>
                  </w:r>
                  <w:r>
                    <w:rPr>
                      <w:rFonts w:hint="default" w:ascii="Times New Roman" w:hAnsi="Times New Roman" w:cs="Times New Roman"/>
                      <w:b w:val="0"/>
                      <w:bCs w:val="0"/>
                      <w:vertAlign w:val="subscript"/>
                    </w:rPr>
                    <w:t>2</w:t>
                  </w:r>
                </w:p>
              </w:tc>
              <w:tc>
                <w:tcPr>
                  <w:tcW w:w="575" w:type="pct"/>
                  <w:vAlign w:val="center"/>
                </w:tcPr>
                <w:p>
                  <w:pPr>
                    <w:pStyle w:val="141"/>
                    <w:rPr>
                      <w:rFonts w:hint="default" w:ascii="Times New Roman" w:hAnsi="Times New Roman" w:cs="Times New Roman"/>
                      <w:b w:val="0"/>
                      <w:bCs w:val="0"/>
                    </w:rPr>
                  </w:pPr>
                  <w:r>
                    <w:rPr>
                      <w:rFonts w:hint="default" w:ascii="Times New Roman" w:hAnsi="Times New Roman" w:cs="Times New Roman"/>
                      <w:b w:val="0"/>
                      <w:bCs w:val="0"/>
                    </w:rPr>
                    <w:t>NO</w:t>
                  </w:r>
                  <w:r>
                    <w:rPr>
                      <w:rFonts w:hint="default" w:ascii="Times New Roman" w:hAnsi="Times New Roman" w:cs="Times New Roman"/>
                      <w:b w:val="0"/>
                      <w:bCs w:val="0"/>
                      <w:vertAlign w:val="subscript"/>
                    </w:rPr>
                    <w:t>2</w:t>
                  </w:r>
                </w:p>
              </w:tc>
              <w:tc>
                <w:tcPr>
                  <w:tcW w:w="677" w:type="pct"/>
                  <w:vAlign w:val="center"/>
                </w:tcPr>
                <w:p>
                  <w:pPr>
                    <w:pStyle w:val="141"/>
                    <w:rPr>
                      <w:rFonts w:hint="default" w:ascii="Times New Roman" w:hAnsi="Times New Roman" w:cs="Times New Roman"/>
                      <w:b w:val="0"/>
                      <w:bCs w:val="0"/>
                    </w:rPr>
                  </w:pPr>
                  <w:r>
                    <w:rPr>
                      <w:rFonts w:hint="default" w:ascii="Times New Roman" w:hAnsi="Times New Roman" w:cs="Times New Roman"/>
                      <w:b w:val="0"/>
                      <w:bCs w:val="0"/>
                    </w:rPr>
                    <w:t>PM</w:t>
                  </w:r>
                  <w:r>
                    <w:rPr>
                      <w:rFonts w:hint="default" w:ascii="Times New Roman" w:hAnsi="Times New Roman" w:cs="Times New Roman"/>
                      <w:b w:val="0"/>
                      <w:bCs w:val="0"/>
                      <w:vertAlign w:val="subscript"/>
                    </w:rPr>
                    <w:t>10</w:t>
                  </w:r>
                </w:p>
              </w:tc>
              <w:tc>
                <w:tcPr>
                  <w:tcW w:w="978" w:type="pct"/>
                  <w:vAlign w:val="center"/>
                </w:tcPr>
                <w:p>
                  <w:pPr>
                    <w:pStyle w:val="141"/>
                    <w:rPr>
                      <w:rFonts w:hint="default" w:ascii="Times New Roman" w:hAnsi="Times New Roman" w:cs="Times New Roman"/>
                      <w:b w:val="0"/>
                      <w:bCs w:val="0"/>
                    </w:rPr>
                  </w:pPr>
                  <w:r>
                    <w:rPr>
                      <w:rFonts w:hint="default" w:ascii="Times New Roman" w:hAnsi="Times New Roman" w:cs="Times New Roman"/>
                      <w:b w:val="0"/>
                      <w:bCs w:val="0"/>
                    </w:rPr>
                    <w:t>CO</w:t>
                  </w:r>
                </w:p>
              </w:tc>
              <w:tc>
                <w:tcPr>
                  <w:tcW w:w="1150" w:type="pct"/>
                  <w:vAlign w:val="center"/>
                </w:tcPr>
                <w:p>
                  <w:pPr>
                    <w:pStyle w:val="141"/>
                    <w:rPr>
                      <w:rFonts w:hint="default" w:ascii="Times New Roman" w:hAnsi="Times New Roman" w:cs="Times New Roman"/>
                      <w:b w:val="0"/>
                      <w:bCs w:val="0"/>
                    </w:rPr>
                  </w:pPr>
                  <w:r>
                    <w:rPr>
                      <w:rFonts w:hint="default" w:ascii="Times New Roman" w:hAnsi="Times New Roman" w:cs="Times New Roman"/>
                      <w:b w:val="0"/>
                      <w:bCs w:val="0"/>
                    </w:rPr>
                    <w:t>O</w:t>
                  </w:r>
                  <w:r>
                    <w:rPr>
                      <w:rFonts w:hint="default" w:ascii="Times New Roman" w:hAnsi="Times New Roman" w:cs="Times New Roman"/>
                      <w:b w:val="0"/>
                      <w:bCs w:val="0"/>
                      <w:vertAlign w:val="subscript"/>
                    </w:rPr>
                    <w:t>3</w:t>
                  </w:r>
                </w:p>
              </w:tc>
              <w:tc>
                <w:tcPr>
                  <w:tcW w:w="677" w:type="pct"/>
                  <w:vAlign w:val="center"/>
                </w:tcPr>
                <w:p>
                  <w:pPr>
                    <w:pStyle w:val="141"/>
                    <w:rPr>
                      <w:rFonts w:hint="default" w:ascii="Times New Roman" w:hAnsi="Times New Roman" w:cs="Times New Roman"/>
                      <w:b w:val="0"/>
                      <w:bCs w:val="0"/>
                    </w:rPr>
                  </w:pPr>
                  <w:r>
                    <w:rPr>
                      <w:rFonts w:hint="default" w:ascii="Times New Roman" w:hAnsi="Times New Roman" w:cs="Times New Roman"/>
                      <w:b w:val="0"/>
                      <w:bCs w:val="0"/>
                    </w:rPr>
                    <w:t>PM</w:t>
                  </w:r>
                  <w:r>
                    <w:rPr>
                      <w:rFonts w:hint="default" w:ascii="Times New Roman" w:hAnsi="Times New Roman" w:cs="Times New Roman"/>
                      <w:b w:val="0"/>
                      <w:bCs w:val="0"/>
                      <w:vertAlign w:val="subscript"/>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8" w:type="dxa"/>
                  <w:left w:w="1" w:type="dxa"/>
                  <w:bottom w:w="37" w:type="dxa"/>
                  <w:right w:w="68" w:type="dxa"/>
                </w:tblCellMar>
              </w:tblPrEx>
              <w:trPr>
                <w:trHeight w:val="1004" w:hRule="atLeast"/>
              </w:trPr>
              <w:tc>
                <w:tcPr>
                  <w:tcW w:w="377" w:type="pct"/>
                  <w:vMerge w:val="continue"/>
                  <w:vAlign w:val="center"/>
                </w:tcPr>
                <w:p>
                  <w:pPr>
                    <w:pStyle w:val="141"/>
                    <w:rPr>
                      <w:rFonts w:hint="default" w:ascii="Times New Roman" w:hAnsi="Times New Roman" w:cs="Times New Roman"/>
                      <w:b w:val="0"/>
                      <w:bCs w:val="0"/>
                    </w:rPr>
                  </w:pPr>
                </w:p>
              </w:tc>
              <w:tc>
                <w:tcPr>
                  <w:tcW w:w="567" w:type="pct"/>
                  <w:vAlign w:val="center"/>
                </w:tcPr>
                <w:p>
                  <w:pPr>
                    <w:pStyle w:val="141"/>
                    <w:rPr>
                      <w:rFonts w:hint="default" w:ascii="Times New Roman" w:hAnsi="Times New Roman" w:cs="Times New Roman"/>
                      <w:b w:val="0"/>
                      <w:bCs w:val="0"/>
                    </w:rPr>
                  </w:pPr>
                  <w:r>
                    <w:rPr>
                      <w:rFonts w:hint="default" w:ascii="Times New Roman" w:hAnsi="Times New Roman" w:cs="Times New Roman"/>
                      <w:b w:val="0"/>
                      <w:bCs w:val="0"/>
                    </w:rPr>
                    <w:t>年平均质量浓度 ug/m</w:t>
                  </w:r>
                  <w:r>
                    <w:rPr>
                      <w:rFonts w:hint="default" w:ascii="Times New Roman" w:hAnsi="Times New Roman" w:cs="Times New Roman"/>
                      <w:b w:val="0"/>
                      <w:bCs w:val="0"/>
                      <w:vertAlign w:val="superscript"/>
                    </w:rPr>
                    <w:t>3</w:t>
                  </w:r>
                </w:p>
              </w:tc>
              <w:tc>
                <w:tcPr>
                  <w:tcW w:w="575" w:type="pct"/>
                  <w:vAlign w:val="center"/>
                </w:tcPr>
                <w:p>
                  <w:pPr>
                    <w:pStyle w:val="141"/>
                    <w:rPr>
                      <w:rFonts w:hint="default" w:ascii="Times New Roman" w:hAnsi="Times New Roman" w:cs="Times New Roman"/>
                      <w:b w:val="0"/>
                      <w:bCs w:val="0"/>
                    </w:rPr>
                  </w:pPr>
                  <w:r>
                    <w:rPr>
                      <w:rFonts w:hint="default" w:ascii="Times New Roman" w:hAnsi="Times New Roman" w:cs="Times New Roman"/>
                      <w:b w:val="0"/>
                      <w:bCs w:val="0"/>
                    </w:rPr>
                    <w:t>年平均质量浓度 ug/m</w:t>
                  </w:r>
                  <w:r>
                    <w:rPr>
                      <w:rFonts w:hint="default" w:ascii="Times New Roman" w:hAnsi="Times New Roman" w:cs="Times New Roman"/>
                      <w:b w:val="0"/>
                      <w:bCs w:val="0"/>
                      <w:vertAlign w:val="superscript"/>
                    </w:rPr>
                    <w:t>3</w:t>
                  </w:r>
                </w:p>
              </w:tc>
              <w:tc>
                <w:tcPr>
                  <w:tcW w:w="677" w:type="pct"/>
                  <w:vAlign w:val="center"/>
                </w:tcPr>
                <w:p>
                  <w:pPr>
                    <w:pStyle w:val="141"/>
                    <w:rPr>
                      <w:rFonts w:hint="default" w:ascii="Times New Roman" w:hAnsi="Times New Roman" w:cs="Times New Roman"/>
                      <w:b w:val="0"/>
                      <w:bCs w:val="0"/>
                    </w:rPr>
                  </w:pPr>
                  <w:r>
                    <w:rPr>
                      <w:rFonts w:hint="default" w:ascii="Times New Roman" w:hAnsi="Times New Roman" w:cs="Times New Roman"/>
                      <w:b w:val="0"/>
                      <w:bCs w:val="0"/>
                    </w:rPr>
                    <w:t>年平均质量浓度ug/m</w:t>
                  </w:r>
                  <w:r>
                    <w:rPr>
                      <w:rFonts w:hint="default" w:ascii="Times New Roman" w:hAnsi="Times New Roman" w:cs="Times New Roman"/>
                      <w:b w:val="0"/>
                      <w:bCs w:val="0"/>
                      <w:vertAlign w:val="superscript"/>
                    </w:rPr>
                    <w:t>3</w:t>
                  </w:r>
                </w:p>
              </w:tc>
              <w:tc>
                <w:tcPr>
                  <w:tcW w:w="978" w:type="pct"/>
                  <w:vAlign w:val="center"/>
                </w:tcPr>
                <w:p>
                  <w:pPr>
                    <w:pStyle w:val="141"/>
                    <w:rPr>
                      <w:rFonts w:hint="default" w:ascii="Times New Roman" w:hAnsi="Times New Roman" w:cs="Times New Roman"/>
                      <w:b w:val="0"/>
                      <w:bCs w:val="0"/>
                    </w:rPr>
                  </w:pPr>
                  <w:r>
                    <w:rPr>
                      <w:rFonts w:hint="default" w:ascii="Times New Roman" w:hAnsi="Times New Roman" w:cs="Times New Roman"/>
                      <w:b w:val="0"/>
                      <w:bCs w:val="0"/>
                    </w:rPr>
                    <w:t>24 小时平均全年</w:t>
                  </w:r>
                </w:p>
                <w:p>
                  <w:pPr>
                    <w:pStyle w:val="141"/>
                    <w:rPr>
                      <w:rFonts w:hint="default" w:ascii="Times New Roman" w:hAnsi="Times New Roman" w:cs="Times New Roman"/>
                      <w:b w:val="0"/>
                      <w:bCs w:val="0"/>
                    </w:rPr>
                  </w:pPr>
                  <w:r>
                    <w:rPr>
                      <w:rFonts w:hint="default" w:ascii="Times New Roman" w:hAnsi="Times New Roman" w:cs="Times New Roman"/>
                      <w:b w:val="0"/>
                      <w:bCs w:val="0"/>
                    </w:rPr>
                    <w:t>第95百分位数浓度值mg/m</w:t>
                  </w:r>
                  <w:r>
                    <w:rPr>
                      <w:rFonts w:hint="default" w:ascii="Times New Roman" w:hAnsi="Times New Roman" w:cs="Times New Roman"/>
                      <w:b w:val="0"/>
                      <w:bCs w:val="0"/>
                      <w:vertAlign w:val="superscript"/>
                    </w:rPr>
                    <w:t>3</w:t>
                  </w:r>
                </w:p>
              </w:tc>
              <w:tc>
                <w:tcPr>
                  <w:tcW w:w="1150" w:type="pct"/>
                  <w:vAlign w:val="center"/>
                </w:tcPr>
                <w:p>
                  <w:pPr>
                    <w:pStyle w:val="141"/>
                    <w:rPr>
                      <w:rFonts w:hint="default" w:ascii="Times New Roman" w:hAnsi="Times New Roman" w:cs="Times New Roman"/>
                      <w:b w:val="0"/>
                      <w:bCs w:val="0"/>
                    </w:rPr>
                  </w:pPr>
                  <w:r>
                    <w:rPr>
                      <w:rFonts w:hint="default" w:ascii="Times New Roman" w:hAnsi="Times New Roman" w:cs="Times New Roman"/>
                      <w:b w:val="0"/>
                      <w:bCs w:val="0"/>
                    </w:rPr>
                    <w:t>日最大8h平均值第</w:t>
                  </w:r>
                </w:p>
                <w:p>
                  <w:pPr>
                    <w:pStyle w:val="141"/>
                    <w:rPr>
                      <w:rFonts w:hint="default" w:ascii="Times New Roman" w:hAnsi="Times New Roman" w:cs="Times New Roman"/>
                      <w:b w:val="0"/>
                      <w:bCs w:val="0"/>
                    </w:rPr>
                  </w:pPr>
                  <w:r>
                    <w:rPr>
                      <w:rFonts w:hint="default" w:ascii="Times New Roman" w:hAnsi="Times New Roman" w:cs="Times New Roman"/>
                      <w:b w:val="0"/>
                      <w:bCs w:val="0"/>
                    </w:rPr>
                    <w:t>90位百分数 ug/m</w:t>
                  </w:r>
                  <w:r>
                    <w:rPr>
                      <w:rFonts w:hint="default" w:ascii="Times New Roman" w:hAnsi="Times New Roman" w:cs="Times New Roman"/>
                      <w:b w:val="0"/>
                      <w:bCs w:val="0"/>
                      <w:vertAlign w:val="superscript"/>
                    </w:rPr>
                    <w:t>3</w:t>
                  </w:r>
                </w:p>
              </w:tc>
              <w:tc>
                <w:tcPr>
                  <w:tcW w:w="677" w:type="pct"/>
                  <w:vAlign w:val="center"/>
                </w:tcPr>
                <w:p>
                  <w:pPr>
                    <w:pStyle w:val="141"/>
                    <w:rPr>
                      <w:rFonts w:hint="default" w:ascii="Times New Roman" w:hAnsi="Times New Roman" w:cs="Times New Roman"/>
                      <w:b w:val="0"/>
                      <w:bCs w:val="0"/>
                    </w:rPr>
                  </w:pPr>
                  <w:r>
                    <w:rPr>
                      <w:rFonts w:hint="default" w:ascii="Times New Roman" w:hAnsi="Times New Roman" w:cs="Times New Roman"/>
                      <w:b w:val="0"/>
                      <w:bCs w:val="0"/>
                    </w:rPr>
                    <w:t>年平均质量浓度ug/m</w:t>
                  </w:r>
                  <w:r>
                    <w:rPr>
                      <w:rFonts w:hint="default" w:ascii="Times New Roman" w:hAnsi="Times New Roman" w:cs="Times New Roman"/>
                      <w:b w:val="0"/>
                      <w:bCs w:val="0"/>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8" w:type="dxa"/>
                  <w:left w:w="1" w:type="dxa"/>
                  <w:bottom w:w="37" w:type="dxa"/>
                  <w:right w:w="68" w:type="dxa"/>
                </w:tblCellMar>
              </w:tblPrEx>
              <w:trPr>
                <w:trHeight w:val="581" w:hRule="atLeast"/>
              </w:trPr>
              <w:tc>
                <w:tcPr>
                  <w:tcW w:w="377" w:type="pct"/>
                  <w:vAlign w:val="center"/>
                </w:tcPr>
                <w:p>
                  <w:pPr>
                    <w:pStyle w:val="141"/>
                    <w:rPr>
                      <w:rFonts w:hint="default" w:ascii="Times New Roman" w:hAnsi="Times New Roman" w:cs="Times New Roman"/>
                    </w:rPr>
                  </w:pPr>
                  <w:r>
                    <w:rPr>
                      <w:rFonts w:hint="default" w:ascii="Times New Roman" w:hAnsi="Times New Roman" w:cs="Times New Roman"/>
                    </w:rPr>
                    <w:t>平均浓度</w:t>
                  </w:r>
                </w:p>
              </w:tc>
              <w:tc>
                <w:tcPr>
                  <w:tcW w:w="567" w:type="pct"/>
                  <w:vAlign w:val="center"/>
                </w:tcPr>
                <w:p>
                  <w:pPr>
                    <w:pStyle w:val="141"/>
                    <w:rPr>
                      <w:rFonts w:hint="default" w:ascii="Times New Roman" w:hAnsi="Times New Roman" w:cs="Times New Roman"/>
                    </w:rPr>
                  </w:pPr>
                  <w:r>
                    <w:rPr>
                      <w:rFonts w:hint="default" w:ascii="Times New Roman" w:hAnsi="Times New Roman" w:cs="Times New Roman"/>
                    </w:rPr>
                    <w:t>9</w:t>
                  </w:r>
                </w:p>
              </w:tc>
              <w:tc>
                <w:tcPr>
                  <w:tcW w:w="575" w:type="pct"/>
                  <w:vAlign w:val="center"/>
                </w:tcPr>
                <w:p>
                  <w:pPr>
                    <w:pStyle w:val="141"/>
                    <w:rPr>
                      <w:rFonts w:hint="default" w:ascii="Times New Roman" w:hAnsi="Times New Roman" w:cs="Times New Roman"/>
                    </w:rPr>
                  </w:pPr>
                  <w:r>
                    <w:rPr>
                      <w:rFonts w:hint="default" w:ascii="Times New Roman" w:hAnsi="Times New Roman" w:cs="Times New Roman"/>
                    </w:rPr>
                    <w:t>14</w:t>
                  </w:r>
                </w:p>
              </w:tc>
              <w:tc>
                <w:tcPr>
                  <w:tcW w:w="677" w:type="pct"/>
                  <w:vAlign w:val="center"/>
                </w:tcPr>
                <w:p>
                  <w:pPr>
                    <w:pStyle w:val="141"/>
                    <w:rPr>
                      <w:rFonts w:hint="default" w:ascii="Times New Roman" w:hAnsi="Times New Roman" w:cs="Times New Roman"/>
                    </w:rPr>
                  </w:pPr>
                  <w:r>
                    <w:rPr>
                      <w:rFonts w:hint="default" w:ascii="Times New Roman" w:hAnsi="Times New Roman" w:cs="Times New Roman"/>
                    </w:rPr>
                    <w:t>39</w:t>
                  </w:r>
                </w:p>
              </w:tc>
              <w:tc>
                <w:tcPr>
                  <w:tcW w:w="978" w:type="pct"/>
                  <w:vAlign w:val="center"/>
                </w:tcPr>
                <w:p>
                  <w:pPr>
                    <w:pStyle w:val="141"/>
                    <w:rPr>
                      <w:rFonts w:hint="default" w:ascii="Times New Roman" w:hAnsi="Times New Roman" w:cs="Times New Roman"/>
                    </w:rPr>
                  </w:pPr>
                  <w:r>
                    <w:rPr>
                      <w:rFonts w:hint="default" w:ascii="Times New Roman" w:hAnsi="Times New Roman" w:cs="Times New Roman"/>
                    </w:rPr>
                    <w:t>1</w:t>
                  </w:r>
                </w:p>
              </w:tc>
              <w:tc>
                <w:tcPr>
                  <w:tcW w:w="1150" w:type="pct"/>
                  <w:vAlign w:val="center"/>
                </w:tcPr>
                <w:p>
                  <w:pPr>
                    <w:pStyle w:val="141"/>
                    <w:rPr>
                      <w:rFonts w:hint="default" w:ascii="Times New Roman" w:hAnsi="Times New Roman" w:cs="Times New Roman"/>
                    </w:rPr>
                  </w:pPr>
                  <w:r>
                    <w:rPr>
                      <w:rFonts w:hint="default" w:ascii="Times New Roman" w:hAnsi="Times New Roman" w:cs="Times New Roman"/>
                    </w:rPr>
                    <w:t>156</w:t>
                  </w:r>
                </w:p>
              </w:tc>
              <w:tc>
                <w:tcPr>
                  <w:tcW w:w="677" w:type="pct"/>
                  <w:vAlign w:val="center"/>
                </w:tcPr>
                <w:p>
                  <w:pPr>
                    <w:pStyle w:val="141"/>
                    <w:rPr>
                      <w:rFonts w:hint="default" w:ascii="Times New Roman" w:hAnsi="Times New Roman" w:cs="Times New Roman"/>
                    </w:rPr>
                  </w:pPr>
                  <w:r>
                    <w:rPr>
                      <w:rFonts w:hint="default" w:ascii="Times New Roman" w:hAnsi="Times New Roman" w:cs="Times New Roman"/>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8" w:type="dxa"/>
                  <w:left w:w="1" w:type="dxa"/>
                  <w:bottom w:w="37" w:type="dxa"/>
                  <w:right w:w="68" w:type="dxa"/>
                </w:tblCellMar>
              </w:tblPrEx>
              <w:trPr>
                <w:trHeight w:val="379" w:hRule="atLeast"/>
              </w:trPr>
              <w:tc>
                <w:tcPr>
                  <w:tcW w:w="377" w:type="pct"/>
                  <w:vAlign w:val="center"/>
                </w:tcPr>
                <w:p>
                  <w:pPr>
                    <w:pStyle w:val="141"/>
                    <w:rPr>
                      <w:rFonts w:hint="default" w:ascii="Times New Roman" w:hAnsi="Times New Roman" w:cs="Times New Roman"/>
                    </w:rPr>
                  </w:pPr>
                  <w:r>
                    <w:rPr>
                      <w:rFonts w:hint="default" w:ascii="Times New Roman" w:hAnsi="Times New Roman" w:cs="Times New Roman"/>
                    </w:rPr>
                    <w:t>标准值</w:t>
                  </w:r>
                </w:p>
              </w:tc>
              <w:tc>
                <w:tcPr>
                  <w:tcW w:w="567" w:type="pct"/>
                  <w:vAlign w:val="center"/>
                </w:tcPr>
                <w:p>
                  <w:pPr>
                    <w:pStyle w:val="141"/>
                    <w:rPr>
                      <w:rFonts w:hint="default" w:ascii="Times New Roman" w:hAnsi="Times New Roman" w:cs="Times New Roman"/>
                    </w:rPr>
                  </w:pPr>
                  <w:r>
                    <w:rPr>
                      <w:rFonts w:hint="default" w:ascii="Times New Roman" w:hAnsi="Times New Roman" w:cs="Times New Roman"/>
                    </w:rPr>
                    <w:t>60</w:t>
                  </w:r>
                </w:p>
              </w:tc>
              <w:tc>
                <w:tcPr>
                  <w:tcW w:w="575" w:type="pct"/>
                  <w:vAlign w:val="center"/>
                </w:tcPr>
                <w:p>
                  <w:pPr>
                    <w:pStyle w:val="141"/>
                    <w:rPr>
                      <w:rFonts w:hint="default" w:ascii="Times New Roman" w:hAnsi="Times New Roman" w:cs="Times New Roman"/>
                    </w:rPr>
                  </w:pPr>
                  <w:r>
                    <w:rPr>
                      <w:rFonts w:hint="default" w:ascii="Times New Roman" w:hAnsi="Times New Roman" w:cs="Times New Roman"/>
                    </w:rPr>
                    <w:t>40</w:t>
                  </w:r>
                </w:p>
              </w:tc>
              <w:tc>
                <w:tcPr>
                  <w:tcW w:w="677" w:type="pct"/>
                  <w:vAlign w:val="center"/>
                </w:tcPr>
                <w:p>
                  <w:pPr>
                    <w:pStyle w:val="141"/>
                    <w:rPr>
                      <w:rFonts w:hint="default" w:ascii="Times New Roman" w:hAnsi="Times New Roman" w:cs="Times New Roman"/>
                    </w:rPr>
                  </w:pPr>
                  <w:r>
                    <w:rPr>
                      <w:rFonts w:hint="default" w:ascii="Times New Roman" w:hAnsi="Times New Roman" w:cs="Times New Roman"/>
                    </w:rPr>
                    <w:t>70</w:t>
                  </w:r>
                </w:p>
              </w:tc>
              <w:tc>
                <w:tcPr>
                  <w:tcW w:w="978" w:type="pct"/>
                  <w:vAlign w:val="center"/>
                </w:tcPr>
                <w:p>
                  <w:pPr>
                    <w:pStyle w:val="141"/>
                    <w:rPr>
                      <w:rFonts w:hint="default" w:ascii="Times New Roman" w:hAnsi="Times New Roman" w:cs="Times New Roman"/>
                    </w:rPr>
                  </w:pPr>
                  <w:r>
                    <w:rPr>
                      <w:rFonts w:hint="default" w:ascii="Times New Roman" w:hAnsi="Times New Roman" w:cs="Times New Roman"/>
                    </w:rPr>
                    <w:t>4</w:t>
                  </w:r>
                </w:p>
              </w:tc>
              <w:tc>
                <w:tcPr>
                  <w:tcW w:w="1150" w:type="pct"/>
                  <w:vAlign w:val="center"/>
                </w:tcPr>
                <w:p>
                  <w:pPr>
                    <w:pStyle w:val="141"/>
                    <w:rPr>
                      <w:rFonts w:hint="default" w:ascii="Times New Roman" w:hAnsi="Times New Roman" w:cs="Times New Roman"/>
                    </w:rPr>
                  </w:pPr>
                  <w:r>
                    <w:rPr>
                      <w:rFonts w:hint="default" w:ascii="Times New Roman" w:hAnsi="Times New Roman" w:cs="Times New Roman"/>
                    </w:rPr>
                    <w:t>160</w:t>
                  </w:r>
                </w:p>
              </w:tc>
              <w:tc>
                <w:tcPr>
                  <w:tcW w:w="677" w:type="pct"/>
                  <w:vAlign w:val="center"/>
                </w:tcPr>
                <w:p>
                  <w:pPr>
                    <w:pStyle w:val="141"/>
                    <w:rPr>
                      <w:rFonts w:hint="default" w:ascii="Times New Roman" w:hAnsi="Times New Roman" w:cs="Times New Roman"/>
                    </w:rPr>
                  </w:pPr>
                  <w:r>
                    <w:rPr>
                      <w:rFonts w:hint="default" w:ascii="Times New Roman" w:hAnsi="Times New Roman" w:cs="Times New Roma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8" w:type="dxa"/>
                  <w:left w:w="1" w:type="dxa"/>
                  <w:bottom w:w="37" w:type="dxa"/>
                  <w:right w:w="68" w:type="dxa"/>
                </w:tblCellMar>
              </w:tblPrEx>
              <w:trPr>
                <w:trHeight w:val="582" w:hRule="atLeast"/>
              </w:trPr>
              <w:tc>
                <w:tcPr>
                  <w:tcW w:w="377" w:type="pct"/>
                  <w:vAlign w:val="center"/>
                </w:tcPr>
                <w:p>
                  <w:pPr>
                    <w:pStyle w:val="141"/>
                    <w:rPr>
                      <w:rFonts w:hint="default" w:ascii="Times New Roman" w:hAnsi="Times New Roman" w:cs="Times New Roman"/>
                    </w:rPr>
                  </w:pPr>
                  <w:r>
                    <w:rPr>
                      <w:rFonts w:hint="default" w:ascii="Times New Roman" w:hAnsi="Times New Roman" w:cs="Times New Roman"/>
                    </w:rPr>
                    <w:t>达标情况</w:t>
                  </w:r>
                </w:p>
              </w:tc>
              <w:tc>
                <w:tcPr>
                  <w:tcW w:w="567" w:type="pct"/>
                  <w:vAlign w:val="center"/>
                </w:tcPr>
                <w:p>
                  <w:pPr>
                    <w:pStyle w:val="141"/>
                    <w:rPr>
                      <w:rFonts w:hint="default" w:ascii="Times New Roman" w:hAnsi="Times New Roman" w:cs="Times New Roman"/>
                    </w:rPr>
                  </w:pPr>
                  <w:r>
                    <w:rPr>
                      <w:rFonts w:hint="default" w:ascii="Times New Roman" w:hAnsi="Times New Roman" w:cs="Times New Roman"/>
                    </w:rPr>
                    <w:t>达标</w:t>
                  </w:r>
                </w:p>
              </w:tc>
              <w:tc>
                <w:tcPr>
                  <w:tcW w:w="575" w:type="pct"/>
                  <w:vAlign w:val="center"/>
                </w:tcPr>
                <w:p>
                  <w:pPr>
                    <w:pStyle w:val="141"/>
                    <w:rPr>
                      <w:rFonts w:hint="default" w:ascii="Times New Roman" w:hAnsi="Times New Roman" w:cs="Times New Roman"/>
                    </w:rPr>
                  </w:pPr>
                  <w:r>
                    <w:rPr>
                      <w:rFonts w:hint="default" w:ascii="Times New Roman" w:hAnsi="Times New Roman" w:cs="Times New Roman"/>
                    </w:rPr>
                    <w:t>达标</w:t>
                  </w:r>
                </w:p>
              </w:tc>
              <w:tc>
                <w:tcPr>
                  <w:tcW w:w="677" w:type="pct"/>
                  <w:vAlign w:val="center"/>
                </w:tcPr>
                <w:p>
                  <w:pPr>
                    <w:pStyle w:val="141"/>
                    <w:rPr>
                      <w:rFonts w:hint="default" w:ascii="Times New Roman" w:hAnsi="Times New Roman" w:cs="Times New Roman"/>
                    </w:rPr>
                  </w:pPr>
                  <w:r>
                    <w:rPr>
                      <w:rFonts w:hint="default" w:ascii="Times New Roman" w:hAnsi="Times New Roman" w:cs="Times New Roman"/>
                    </w:rPr>
                    <w:t>达标</w:t>
                  </w:r>
                </w:p>
              </w:tc>
              <w:tc>
                <w:tcPr>
                  <w:tcW w:w="978" w:type="pct"/>
                  <w:vAlign w:val="center"/>
                </w:tcPr>
                <w:p>
                  <w:pPr>
                    <w:pStyle w:val="141"/>
                    <w:rPr>
                      <w:rFonts w:hint="default" w:ascii="Times New Roman" w:hAnsi="Times New Roman" w:cs="Times New Roman"/>
                    </w:rPr>
                  </w:pPr>
                  <w:r>
                    <w:rPr>
                      <w:rFonts w:hint="default" w:ascii="Times New Roman" w:hAnsi="Times New Roman" w:cs="Times New Roman"/>
                    </w:rPr>
                    <w:t>达标</w:t>
                  </w:r>
                </w:p>
              </w:tc>
              <w:tc>
                <w:tcPr>
                  <w:tcW w:w="1150" w:type="pct"/>
                  <w:vAlign w:val="center"/>
                </w:tcPr>
                <w:p>
                  <w:pPr>
                    <w:pStyle w:val="141"/>
                    <w:rPr>
                      <w:rFonts w:hint="default" w:ascii="Times New Roman" w:hAnsi="Times New Roman" w:cs="Times New Roman"/>
                    </w:rPr>
                  </w:pPr>
                  <w:r>
                    <w:rPr>
                      <w:rFonts w:hint="default" w:ascii="Times New Roman" w:hAnsi="Times New Roman" w:cs="Times New Roman"/>
                    </w:rPr>
                    <w:t>达标</w:t>
                  </w:r>
                </w:p>
              </w:tc>
              <w:tc>
                <w:tcPr>
                  <w:tcW w:w="677" w:type="pct"/>
                  <w:vAlign w:val="center"/>
                </w:tcPr>
                <w:p>
                  <w:pPr>
                    <w:pStyle w:val="141"/>
                    <w:rPr>
                      <w:rFonts w:hint="default" w:ascii="Times New Roman" w:hAnsi="Times New Roman" w:cs="Times New Roman"/>
                    </w:rPr>
                  </w:pPr>
                  <w:r>
                    <w:rPr>
                      <w:rFonts w:hint="default" w:ascii="Times New Roman" w:hAnsi="Times New Roman" w:cs="Times New Roman"/>
                    </w:rPr>
                    <w:t>达标</w:t>
                  </w:r>
                </w:p>
              </w:tc>
            </w:tr>
          </w:tbl>
          <w:p>
            <w:pPr>
              <w:pStyle w:val="137"/>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（2）补充监测</w:t>
            </w:r>
          </w:p>
          <w:p>
            <w:pPr>
              <w:pStyle w:val="137"/>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本次评价委托阳江市人和检测技术有限公司于2020 年8月26日-9月1日对项目厂址进行了补充检测。</w:t>
            </w:r>
          </w:p>
          <w:p>
            <w:pPr>
              <w:pStyle w:val="137"/>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检测点位布置：厂区。</w:t>
            </w:r>
          </w:p>
          <w:p>
            <w:pPr>
              <w:pStyle w:val="137"/>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检测项目：非甲烷总烃。</w:t>
            </w:r>
          </w:p>
          <w:p>
            <w:pPr>
              <w:pStyle w:val="137"/>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检测时间及频率：每天02:00、08:00、14:00、20:00时采样。每小时监测时间不少于45分钟。采样期间同步观测记录风向、风速、气温、气压等气象参数。监测结果见</w:t>
            </w:r>
            <w:r>
              <w:rPr>
                <w:rFonts w:hint="eastAsia" w:cs="Times New Roman"/>
                <w:color w:val="000000" w:themeColor="text1"/>
                <w:lang w:val="en-US" w:eastAsia="zh-CN"/>
                <w14:textFill>
                  <w14:solidFill>
                    <w14:schemeClr w14:val="tx1"/>
                  </w14:solidFill>
                </w14:textFill>
              </w:rPr>
              <w:t>表3-2</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REF _Ref48423699 \</w:instrText>
            </w:r>
            <w:r>
              <w:rPr>
                <w:rFonts w:hint="eastAsia" w:ascii="Times New Roman" w:hAnsi="Times New Roman" w:cs="Times New Roman"/>
                <w:color w:val="000000" w:themeColor="text1"/>
                <w:lang w:val="en-US" w:eastAsia="zh-CN"/>
                <w14:textFill>
                  <w14:solidFill>
                    <w14:schemeClr w14:val="tx1"/>
                  </w14:solidFill>
                </w14:textFill>
              </w:rPr>
              <w:instrText xml:space="preserve">表</w:instrText>
            </w:r>
            <w:r>
              <w:rPr>
                <w:rFonts w:hint="eastAsia" w:cs="Times New Roman"/>
                <w:color w:val="000000" w:themeColor="text1"/>
                <w:lang w:val="en-US" w:eastAsia="zh-CN"/>
                <w14:textFill>
                  <w14:solidFill>
                    <w14:schemeClr w14:val="tx1"/>
                  </w14:solidFill>
                </w14:textFill>
              </w:rPr>
              <w:instrText xml:space="preserve">3</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fldChar w:fldCharType="end"/>
            </w:r>
            <w:r>
              <w:rPr>
                <w:rFonts w:hint="eastAsia" w:cs="Times New Roman"/>
                <w:color w:val="000000" w:themeColor="text1"/>
                <w:lang w:val="en-US" w:eastAsia="zh-CN"/>
                <w14:textFill>
                  <w14:solidFill>
                    <w14:schemeClr w14:val="tx1"/>
                  </w14:solidFill>
                </w14:textFill>
              </w:rPr>
              <w:t>表3-3</w:t>
            </w:r>
            <w:r>
              <w:rPr>
                <w:rFonts w:hint="default" w:ascii="Times New Roman" w:hAnsi="Times New Roman" w:cs="Times New Roman"/>
                <w:color w:val="000000" w:themeColor="text1"/>
                <w14:textFill>
                  <w14:solidFill>
                    <w14:schemeClr w14:val="tx1"/>
                  </w14:solidFill>
                </w14:textFill>
              </w:rPr>
              <w:t>。</w:t>
            </w:r>
          </w:p>
          <w:p>
            <w:pPr>
              <w:pStyle w:val="143"/>
              <w:spacing w:before="156"/>
              <w:rPr>
                <w:rFonts w:hint="default" w:ascii="Times New Roman" w:hAnsi="Times New Roman" w:cs="Times New Roman"/>
                <w:color w:val="000000" w:themeColor="text1"/>
                <w14:textFill>
                  <w14:solidFill>
                    <w14:schemeClr w14:val="tx1"/>
                  </w14:solidFill>
                </w14:textFill>
              </w:rPr>
            </w:pPr>
            <w:bookmarkStart w:id="13" w:name="_Ref48423691"/>
          </w:p>
          <w:p>
            <w:pPr>
              <w:pStyle w:val="143"/>
              <w:spacing w:before="156"/>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w:t>
            </w:r>
            <w:bookmarkEnd w:id="13"/>
            <w:r>
              <w:rPr>
                <w:rFonts w:hint="eastAsia" w:cs="Times New Roman"/>
                <w:color w:val="000000" w:themeColor="text1"/>
                <w:lang w:val="en-US" w:eastAsia="zh-CN"/>
                <w14:textFill>
                  <w14:solidFill>
                    <w14:schemeClr w14:val="tx1"/>
                  </w14:solidFill>
                </w14:textFill>
              </w:rPr>
              <w:t>3-2</w:t>
            </w:r>
            <w:r>
              <w:rPr>
                <w:rFonts w:hint="default" w:ascii="Times New Roman" w:hAnsi="Times New Roman" w:cs="Times New Roman"/>
                <w:color w:val="000000" w:themeColor="text1"/>
                <w14:textFill>
                  <w14:solidFill>
                    <w14:schemeClr w14:val="tx1"/>
                  </w14:solidFill>
                </w14:textFill>
              </w:rPr>
              <w:t xml:space="preserve">  </w:t>
            </w:r>
            <w:r>
              <w:rPr>
                <w:rFonts w:hint="default" w:ascii="Times New Roman" w:hAnsi="Times New Roman" w:cs="Times New Roman"/>
                <w:color w:val="000000" w:themeColor="text1"/>
                <w:sz w:val="21"/>
                <w14:textFill>
                  <w14:solidFill>
                    <w14:schemeClr w14:val="tx1"/>
                  </w14:solidFill>
                </w14:textFill>
              </w:rPr>
              <w:t>补充监测数据</w:t>
            </w:r>
            <w:r>
              <w:rPr>
                <w:rFonts w:hint="default" w:ascii="Times New Roman" w:hAnsi="Times New Roman" w:cs="Times New Roman"/>
                <w:color w:val="000000" w:themeColor="text1"/>
                <w:szCs w:val="21"/>
                <w14:textFill>
                  <w14:solidFill>
                    <w14:schemeClr w14:val="tx1"/>
                  </w14:solidFill>
                </w14:textFill>
              </w:rPr>
              <w:t>（mg/m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w:t>
            </w:r>
          </w:p>
          <w:tbl>
            <w:tblPr>
              <w:tblStyle w:val="3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308"/>
              <w:gridCol w:w="2282"/>
              <w:gridCol w:w="43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0" w:type="pct"/>
                  <w:vMerge w:val="restar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采样时间</w:t>
                  </w:r>
                </w:p>
              </w:tc>
              <w:tc>
                <w:tcPr>
                  <w:tcW w:w="1275" w:type="pct"/>
                  <w:vMerge w:val="restar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检测时段</w:t>
                  </w:r>
                </w:p>
              </w:tc>
              <w:tc>
                <w:tcPr>
                  <w:tcW w:w="243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检测结果（mg/m</w:t>
                  </w:r>
                  <w:r>
                    <w:rPr>
                      <w:rFonts w:hint="default" w:ascii="Times New Roman" w:hAnsi="Times New Roman" w:cs="Times New Roman"/>
                      <w:color w:val="000000" w:themeColor="text1"/>
                      <w:sz w:val="16"/>
                      <w:szCs w:val="16"/>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0" w:type="pct"/>
                  <w:vMerge w:val="continue"/>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1275" w:type="pct"/>
                  <w:vMerge w:val="continue"/>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243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非甲烷总烃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0" w:type="pct"/>
                  <w:vMerge w:val="continue"/>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1275" w:type="pct"/>
                  <w:vMerge w:val="continue"/>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243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小时值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0" w:type="pct"/>
                  <w:vMerge w:val="restar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2020/8/26</w:t>
                  </w:r>
                </w:p>
              </w:tc>
              <w:tc>
                <w:tcPr>
                  <w:tcW w:w="127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c>
                <w:tcPr>
                  <w:tcW w:w="243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0" w:type="pct"/>
                  <w:vMerge w:val="continue"/>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127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8:00</w:t>
                  </w:r>
                </w:p>
              </w:tc>
              <w:tc>
                <w:tcPr>
                  <w:tcW w:w="243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0" w:type="pct"/>
                  <w:vMerge w:val="continue"/>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127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14:00</w:t>
                  </w:r>
                </w:p>
              </w:tc>
              <w:tc>
                <w:tcPr>
                  <w:tcW w:w="243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0" w:type="pct"/>
                  <w:vMerge w:val="continue"/>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127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20:00</w:t>
                  </w:r>
                </w:p>
              </w:tc>
              <w:tc>
                <w:tcPr>
                  <w:tcW w:w="243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0" w:type="pct"/>
                  <w:vMerge w:val="restar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2020/8/27</w:t>
                  </w:r>
                </w:p>
              </w:tc>
              <w:tc>
                <w:tcPr>
                  <w:tcW w:w="127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c>
                <w:tcPr>
                  <w:tcW w:w="243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0" w:type="pct"/>
                  <w:vMerge w:val="continue"/>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127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8:00</w:t>
                  </w:r>
                </w:p>
              </w:tc>
              <w:tc>
                <w:tcPr>
                  <w:tcW w:w="243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0" w:type="pct"/>
                  <w:vMerge w:val="continue"/>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127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14:00</w:t>
                  </w:r>
                </w:p>
              </w:tc>
              <w:tc>
                <w:tcPr>
                  <w:tcW w:w="243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0" w:type="pct"/>
                  <w:vMerge w:val="continue"/>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127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20:00</w:t>
                  </w:r>
                </w:p>
              </w:tc>
              <w:tc>
                <w:tcPr>
                  <w:tcW w:w="243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0" w:type="pct"/>
                  <w:vMerge w:val="restar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2020/8/28</w:t>
                  </w:r>
                </w:p>
              </w:tc>
              <w:tc>
                <w:tcPr>
                  <w:tcW w:w="127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c>
                <w:tcPr>
                  <w:tcW w:w="243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0" w:type="pct"/>
                  <w:vMerge w:val="continue"/>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127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8:00</w:t>
                  </w:r>
                </w:p>
              </w:tc>
              <w:tc>
                <w:tcPr>
                  <w:tcW w:w="243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0" w:type="pct"/>
                  <w:vMerge w:val="continue"/>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127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14:00</w:t>
                  </w:r>
                </w:p>
              </w:tc>
              <w:tc>
                <w:tcPr>
                  <w:tcW w:w="243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0" w:type="pct"/>
                  <w:vMerge w:val="continue"/>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127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20:00</w:t>
                  </w:r>
                </w:p>
              </w:tc>
              <w:tc>
                <w:tcPr>
                  <w:tcW w:w="243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0" w:type="pct"/>
                  <w:vMerge w:val="restar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2020/8/29</w:t>
                  </w:r>
                </w:p>
              </w:tc>
              <w:tc>
                <w:tcPr>
                  <w:tcW w:w="127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c>
                <w:tcPr>
                  <w:tcW w:w="243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0" w:type="pct"/>
                  <w:vMerge w:val="continue"/>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127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8:00</w:t>
                  </w:r>
                </w:p>
              </w:tc>
              <w:tc>
                <w:tcPr>
                  <w:tcW w:w="243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0" w:type="pct"/>
                  <w:vMerge w:val="continue"/>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127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14:00</w:t>
                  </w:r>
                </w:p>
              </w:tc>
              <w:tc>
                <w:tcPr>
                  <w:tcW w:w="243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0" w:type="pct"/>
                  <w:vMerge w:val="continue"/>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127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20:00</w:t>
                  </w:r>
                </w:p>
              </w:tc>
              <w:tc>
                <w:tcPr>
                  <w:tcW w:w="243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0" w:type="pct"/>
                  <w:vMerge w:val="restar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2020/8/30</w:t>
                  </w:r>
                </w:p>
              </w:tc>
              <w:tc>
                <w:tcPr>
                  <w:tcW w:w="127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c>
                <w:tcPr>
                  <w:tcW w:w="243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0" w:type="pct"/>
                  <w:vMerge w:val="continue"/>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127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8:00</w:t>
                  </w:r>
                </w:p>
              </w:tc>
              <w:tc>
                <w:tcPr>
                  <w:tcW w:w="243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0" w:type="pct"/>
                  <w:vMerge w:val="continue"/>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127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14:00</w:t>
                  </w:r>
                </w:p>
              </w:tc>
              <w:tc>
                <w:tcPr>
                  <w:tcW w:w="243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0" w:type="pct"/>
                  <w:vMerge w:val="continue"/>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127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20:00</w:t>
                  </w:r>
                </w:p>
              </w:tc>
              <w:tc>
                <w:tcPr>
                  <w:tcW w:w="243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0" w:type="pct"/>
                  <w:vMerge w:val="restar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2020/8/31</w:t>
                  </w:r>
                </w:p>
              </w:tc>
              <w:tc>
                <w:tcPr>
                  <w:tcW w:w="127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c>
                <w:tcPr>
                  <w:tcW w:w="243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0" w:type="pct"/>
                  <w:vMerge w:val="continue"/>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127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8:00</w:t>
                  </w:r>
                </w:p>
              </w:tc>
              <w:tc>
                <w:tcPr>
                  <w:tcW w:w="243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0" w:type="pct"/>
                  <w:vMerge w:val="continue"/>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127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14:00</w:t>
                  </w:r>
                </w:p>
              </w:tc>
              <w:tc>
                <w:tcPr>
                  <w:tcW w:w="243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0" w:type="pct"/>
                  <w:vMerge w:val="continue"/>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127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20:00</w:t>
                  </w:r>
                </w:p>
              </w:tc>
              <w:tc>
                <w:tcPr>
                  <w:tcW w:w="243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0" w:type="pct"/>
                  <w:vMerge w:val="restar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2020/9/1</w:t>
                  </w:r>
                </w:p>
              </w:tc>
              <w:tc>
                <w:tcPr>
                  <w:tcW w:w="127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w:t>
                  </w:r>
                </w:p>
              </w:tc>
              <w:tc>
                <w:tcPr>
                  <w:tcW w:w="243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0" w:type="pct"/>
                  <w:vMerge w:val="continue"/>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127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8:00</w:t>
                  </w:r>
                </w:p>
              </w:tc>
              <w:tc>
                <w:tcPr>
                  <w:tcW w:w="243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0" w:type="pct"/>
                  <w:vMerge w:val="continue"/>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127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14:00</w:t>
                  </w:r>
                </w:p>
              </w:tc>
              <w:tc>
                <w:tcPr>
                  <w:tcW w:w="243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90" w:type="pct"/>
                  <w:vMerge w:val="continue"/>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127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20:00</w:t>
                  </w:r>
                </w:p>
              </w:tc>
              <w:tc>
                <w:tcPr>
                  <w:tcW w:w="2435"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0.12</w:t>
                  </w:r>
                </w:p>
              </w:tc>
            </w:tr>
          </w:tbl>
          <w:p>
            <w:pPr>
              <w:pStyle w:val="143"/>
              <w:spacing w:before="156"/>
              <w:rPr>
                <w:rFonts w:hint="default" w:ascii="Times New Roman" w:hAnsi="Times New Roman" w:cs="Times New Roman"/>
                <w:color w:val="000000" w:themeColor="text1"/>
                <w14:textFill>
                  <w14:solidFill>
                    <w14:schemeClr w14:val="tx1"/>
                  </w14:solidFill>
                </w14:textFill>
              </w:rPr>
            </w:pPr>
            <w:bookmarkStart w:id="14" w:name="_Ref48423699"/>
            <w:r>
              <w:rPr>
                <w:rFonts w:hint="default" w:ascii="Times New Roman" w:hAnsi="Times New Roman" w:cs="Times New Roman"/>
                <w:color w:val="000000" w:themeColor="text1"/>
                <w14:textFill>
                  <w14:solidFill>
                    <w14:schemeClr w14:val="tx1"/>
                  </w14:solidFill>
                </w14:textFill>
              </w:rPr>
              <w:t>表</w:t>
            </w:r>
            <w:bookmarkEnd w:id="14"/>
            <w:r>
              <w:rPr>
                <w:rFonts w:hint="eastAsia" w:cs="Times New Roman"/>
                <w:color w:val="000000" w:themeColor="text1"/>
                <w:lang w:val="en-US" w:eastAsia="zh-CN"/>
                <w14:textFill>
                  <w14:solidFill>
                    <w14:schemeClr w14:val="tx1"/>
                  </w14:solidFill>
                </w14:textFill>
              </w:rPr>
              <w:t>3-3</w:t>
            </w:r>
            <w:r>
              <w:rPr>
                <w:rFonts w:hint="default" w:ascii="Times New Roman" w:hAnsi="Times New Roman" w:cs="Times New Roman"/>
                <w:color w:val="000000" w:themeColor="text1"/>
                <w14:textFill>
                  <w14:solidFill>
                    <w14:schemeClr w14:val="tx1"/>
                  </w14:solidFill>
                </w14:textFill>
              </w:rPr>
              <w:t xml:space="preserve">  </w:t>
            </w:r>
            <w:r>
              <w:rPr>
                <w:rFonts w:hint="default" w:ascii="Times New Roman" w:hAnsi="Times New Roman" w:cs="Times New Roman"/>
                <w:color w:val="000000" w:themeColor="text1"/>
                <w:sz w:val="21"/>
                <w14:textFill>
                  <w14:solidFill>
                    <w14:schemeClr w14:val="tx1"/>
                  </w14:solidFill>
                </w14:textFill>
              </w:rPr>
              <w:t>补充监测数据结果</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761"/>
              <w:gridCol w:w="761"/>
              <w:gridCol w:w="774"/>
              <w:gridCol w:w="663"/>
              <w:gridCol w:w="1216"/>
              <w:gridCol w:w="995"/>
              <w:gridCol w:w="759"/>
              <w:gridCol w:w="980"/>
              <w:gridCol w:w="719"/>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dxa"/>
                  <w:vMerge w:val="restart"/>
                  <w:shd w:val="clear" w:color="auto" w:fill="auto"/>
                  <w:noWrap/>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监测点位序号</w:t>
                  </w:r>
                </w:p>
              </w:tc>
              <w:tc>
                <w:tcPr>
                  <w:tcW w:w="1536" w:type="dxa"/>
                  <w:gridSpan w:val="2"/>
                  <w:shd w:val="clear" w:color="auto" w:fill="auto"/>
                  <w:noWrap/>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监测点坐标</w:t>
                  </w:r>
                </w:p>
              </w:tc>
              <w:tc>
                <w:tcPr>
                  <w:tcW w:w="781" w:type="dxa"/>
                  <w:vMerge w:val="restart"/>
                  <w:shd w:val="clear" w:color="auto" w:fill="auto"/>
                  <w:noWrap/>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污染物</w:t>
                  </w:r>
                </w:p>
              </w:tc>
              <w:tc>
                <w:tcPr>
                  <w:tcW w:w="668" w:type="dxa"/>
                  <w:vMerge w:val="restart"/>
                  <w:shd w:val="clear" w:color="auto" w:fill="auto"/>
                  <w:noWrap/>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平均时间</w:t>
                  </w:r>
                </w:p>
              </w:tc>
              <w:tc>
                <w:tcPr>
                  <w:tcW w:w="1228" w:type="dxa"/>
                  <w:vMerge w:val="restart"/>
                  <w:shd w:val="clear" w:color="auto" w:fill="auto"/>
                  <w:noWrap/>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评价标准/（mg/m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p>
              </w:tc>
              <w:tc>
                <w:tcPr>
                  <w:tcW w:w="1691" w:type="dxa"/>
                  <w:gridSpan w:val="2"/>
                  <w:shd w:val="clear" w:color="auto" w:fill="auto"/>
                  <w:noWrap/>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监测浓度范围</w:t>
                  </w:r>
                </w:p>
              </w:tc>
              <w:tc>
                <w:tcPr>
                  <w:tcW w:w="989" w:type="dxa"/>
                  <w:vMerge w:val="restart"/>
                  <w:shd w:val="clear" w:color="auto" w:fill="auto"/>
                  <w:noWrap/>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最大浓度占标%</w:t>
                  </w:r>
                </w:p>
              </w:tc>
              <w:tc>
                <w:tcPr>
                  <w:tcW w:w="725" w:type="dxa"/>
                  <w:vMerge w:val="restart"/>
                  <w:shd w:val="clear" w:color="auto" w:fill="auto"/>
                  <w:noWrap/>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超标率(%)</w:t>
                  </w:r>
                </w:p>
              </w:tc>
              <w:tc>
                <w:tcPr>
                  <w:tcW w:w="668" w:type="dxa"/>
                  <w:vMerge w:val="restart"/>
                  <w:shd w:val="clear" w:color="auto" w:fill="auto"/>
                  <w:noWrap/>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dxa"/>
                  <w:vMerge w:val="continue"/>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768" w:type="dxa"/>
                  <w:vAlign w:val="center"/>
                </w:tcPr>
                <w:p>
                  <w:pPr>
                    <w:pStyle w:val="141"/>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X</w:t>
                  </w:r>
                </w:p>
              </w:tc>
              <w:tc>
                <w:tcPr>
                  <w:tcW w:w="768" w:type="dxa"/>
                  <w:vAlign w:val="center"/>
                </w:tcPr>
                <w:p>
                  <w:pPr>
                    <w:pStyle w:val="141"/>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Y</w:t>
                  </w:r>
                </w:p>
              </w:tc>
              <w:tc>
                <w:tcPr>
                  <w:tcW w:w="781" w:type="dxa"/>
                  <w:vMerge w:val="continue"/>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668" w:type="dxa"/>
                  <w:vMerge w:val="continue"/>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1228" w:type="dxa"/>
                  <w:vMerge w:val="continue"/>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925" w:type="dxa"/>
                  <w:shd w:val="clear" w:color="auto" w:fill="auto"/>
                  <w:noWrap/>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最小值</w:t>
                  </w:r>
                </w:p>
              </w:tc>
              <w:tc>
                <w:tcPr>
                  <w:tcW w:w="766" w:type="dxa"/>
                  <w:shd w:val="clear" w:color="auto" w:fill="auto"/>
                  <w:noWrap/>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最大值</w:t>
                  </w:r>
                </w:p>
              </w:tc>
              <w:tc>
                <w:tcPr>
                  <w:tcW w:w="989" w:type="dxa"/>
                  <w:vMerge w:val="continue"/>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725" w:type="dxa"/>
                  <w:vMerge w:val="continue"/>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668" w:type="dxa"/>
                  <w:vMerge w:val="continue"/>
                  <w:vAlign w:val="center"/>
                </w:tcPr>
                <w:p>
                  <w:pPr>
                    <w:pStyle w:val="141"/>
                    <w:rPr>
                      <w:rFonts w:hint="default" w:ascii="Times New Roman" w:hAnsi="Times New Roman" w:cs="Times New Roman"/>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dxa"/>
                  <w:shd w:val="clear" w:color="auto" w:fill="auto"/>
                  <w:noWrap/>
                  <w:vAlign w:val="center"/>
                </w:tcPr>
                <w:p>
                  <w:pPr>
                    <w:pStyle w:val="141"/>
                    <w:rPr>
                      <w:rFonts w:hint="default" w:ascii="Times New Roman" w:hAnsi="Times New Roman" w:eastAsia="等线" w:cs="Times New Roman"/>
                      <w:color w:val="000000" w:themeColor="text1"/>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G1</w:t>
                  </w:r>
                </w:p>
              </w:tc>
              <w:tc>
                <w:tcPr>
                  <w:tcW w:w="768" w:type="dxa"/>
                  <w:shd w:val="clear" w:color="auto" w:fill="auto"/>
                  <w:vAlign w:val="center"/>
                </w:tcPr>
                <w:p>
                  <w:pPr>
                    <w:pStyle w:val="141"/>
                    <w:rPr>
                      <w:rFonts w:hint="eastAsia" w:ascii="Times New Roman" w:hAnsi="Times New Roman" w:eastAsia="等线" w:cs="Times New Roman"/>
                      <w:color w:val="000000" w:themeColor="text1"/>
                      <w:lang w:val="en-US" w:eastAsia="zh-CN"/>
                      <w14:textFill>
                        <w14:solidFill>
                          <w14:schemeClr w14:val="tx1"/>
                        </w14:solidFill>
                      </w14:textFill>
                    </w:rPr>
                  </w:pPr>
                  <w:r>
                    <w:rPr>
                      <w:rFonts w:hint="eastAsia" w:eastAsia="等线" w:cs="Times New Roman"/>
                      <w:color w:val="000000" w:themeColor="text1"/>
                      <w:lang w:val="en-US" w:eastAsia="zh-CN"/>
                      <w14:textFill>
                        <w14:solidFill>
                          <w14:schemeClr w14:val="tx1"/>
                        </w14:solidFill>
                      </w14:textFill>
                    </w:rPr>
                    <w:t>0</w:t>
                  </w:r>
                </w:p>
              </w:tc>
              <w:tc>
                <w:tcPr>
                  <w:tcW w:w="768" w:type="dxa"/>
                  <w:shd w:val="clear" w:color="auto" w:fill="auto"/>
                  <w:vAlign w:val="center"/>
                </w:tcPr>
                <w:p>
                  <w:pPr>
                    <w:pStyle w:val="141"/>
                    <w:rPr>
                      <w:rFonts w:hint="eastAsia" w:ascii="Times New Roman" w:hAnsi="Times New Roman" w:eastAsia="等线" w:cs="Times New Roman"/>
                      <w:color w:val="000000" w:themeColor="text1"/>
                      <w:lang w:val="en-US" w:eastAsia="zh-CN"/>
                      <w14:textFill>
                        <w14:solidFill>
                          <w14:schemeClr w14:val="tx1"/>
                        </w14:solidFill>
                      </w14:textFill>
                    </w:rPr>
                  </w:pPr>
                  <w:r>
                    <w:rPr>
                      <w:rFonts w:hint="eastAsia" w:eastAsia="等线" w:cs="Times New Roman"/>
                      <w:color w:val="000000" w:themeColor="text1"/>
                      <w:lang w:val="en-US" w:eastAsia="zh-CN"/>
                      <w14:textFill>
                        <w14:solidFill>
                          <w14:schemeClr w14:val="tx1"/>
                        </w14:solidFill>
                      </w14:textFill>
                    </w:rPr>
                    <w:t>0</w:t>
                  </w:r>
                </w:p>
              </w:tc>
              <w:tc>
                <w:tcPr>
                  <w:tcW w:w="781" w:type="dxa"/>
                  <w:shd w:val="clear" w:color="auto" w:fill="auto"/>
                  <w:noWrap/>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非甲烷总烃</w:t>
                  </w:r>
                </w:p>
              </w:tc>
              <w:tc>
                <w:tcPr>
                  <w:tcW w:w="668" w:type="dxa"/>
                  <w:shd w:val="clear" w:color="auto" w:fill="auto"/>
                  <w:noWrap/>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小时值</w:t>
                  </w:r>
                </w:p>
              </w:tc>
              <w:tc>
                <w:tcPr>
                  <w:tcW w:w="1228" w:type="dxa"/>
                  <w:shd w:val="clear" w:color="auto" w:fill="auto"/>
                  <w:noWrap/>
                  <w:vAlign w:val="center"/>
                </w:tcPr>
                <w:p>
                  <w:pPr>
                    <w:pStyle w:val="141"/>
                    <w:rPr>
                      <w:rFonts w:hint="default" w:ascii="Times New Roman" w:hAnsi="Times New Roman" w:eastAsia="等线" w:cs="Times New Roman"/>
                      <w:color w:val="000000" w:themeColor="text1"/>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2</w:t>
                  </w:r>
                </w:p>
              </w:tc>
              <w:tc>
                <w:tcPr>
                  <w:tcW w:w="925" w:type="dxa"/>
                  <w:shd w:val="clear" w:color="auto" w:fill="auto"/>
                  <w:noWrap/>
                  <w:vAlign w:val="center"/>
                </w:tcPr>
                <w:p>
                  <w:pPr>
                    <w:pStyle w:val="141"/>
                    <w:rPr>
                      <w:rFonts w:hint="default" w:ascii="Times New Roman" w:hAnsi="Times New Roman" w:eastAsia="等线" w:cs="Times New Roman"/>
                      <w:color w:val="000000" w:themeColor="text1"/>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ND（0.07）</w:t>
                  </w:r>
                </w:p>
              </w:tc>
              <w:tc>
                <w:tcPr>
                  <w:tcW w:w="766" w:type="dxa"/>
                  <w:shd w:val="clear" w:color="auto" w:fill="auto"/>
                  <w:noWrap/>
                  <w:vAlign w:val="center"/>
                </w:tcPr>
                <w:p>
                  <w:pPr>
                    <w:pStyle w:val="141"/>
                    <w:rPr>
                      <w:rFonts w:hint="default" w:ascii="Times New Roman" w:hAnsi="Times New Roman" w:eastAsia="等线" w:cs="Times New Roman"/>
                      <w:color w:val="000000" w:themeColor="text1"/>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0.17</w:t>
                  </w:r>
                </w:p>
              </w:tc>
              <w:tc>
                <w:tcPr>
                  <w:tcW w:w="989" w:type="dxa"/>
                  <w:shd w:val="clear" w:color="auto" w:fill="auto"/>
                  <w:noWrap/>
                  <w:vAlign w:val="center"/>
                </w:tcPr>
                <w:p>
                  <w:pPr>
                    <w:pStyle w:val="141"/>
                    <w:rPr>
                      <w:rFonts w:hint="default" w:ascii="Times New Roman" w:hAnsi="Times New Roman" w:eastAsia="等线" w:cs="Times New Roman"/>
                      <w:color w:val="000000" w:themeColor="text1"/>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8.5%</w:t>
                  </w:r>
                </w:p>
              </w:tc>
              <w:tc>
                <w:tcPr>
                  <w:tcW w:w="725" w:type="dxa"/>
                  <w:shd w:val="clear" w:color="auto" w:fill="auto"/>
                  <w:noWrap/>
                  <w:vAlign w:val="center"/>
                </w:tcPr>
                <w:p>
                  <w:pPr>
                    <w:pStyle w:val="141"/>
                    <w:rPr>
                      <w:rFonts w:hint="default" w:ascii="Times New Roman" w:hAnsi="Times New Roman" w:eastAsia="等线" w:cs="Times New Roman"/>
                      <w:color w:val="000000" w:themeColor="text1"/>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w:t>
                  </w:r>
                </w:p>
              </w:tc>
              <w:tc>
                <w:tcPr>
                  <w:tcW w:w="668" w:type="dxa"/>
                  <w:shd w:val="clear" w:color="auto" w:fill="auto"/>
                  <w:noWrap/>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达标</w:t>
                  </w:r>
                </w:p>
              </w:tc>
            </w:tr>
          </w:tbl>
          <w:p>
            <w:pPr>
              <w:pStyle w:val="137"/>
              <w:ind w:firstLine="480"/>
              <w:rPr>
                <w:rFonts w:hint="default" w:ascii="Times New Roman" w:hAnsi="Times New Roman" w:cs="Times New Roman"/>
                <w:color w:val="FF0000"/>
              </w:rPr>
            </w:pPr>
          </w:p>
          <w:p>
            <w:pPr>
              <w:pStyle w:val="137"/>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项目所在地空气环境质量满足《大气污染物综合排放标准详解》要求。</w:t>
            </w:r>
          </w:p>
          <w:p>
            <w:pPr>
              <w:pStyle w:val="137"/>
              <w:ind w:firstLine="480"/>
              <w:jc w:val="center"/>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58240" behindDoc="0" locked="0" layoutInCell="1" allowOverlap="1">
                  <wp:simplePos x="0" y="0"/>
                  <wp:positionH relativeFrom="column">
                    <wp:posOffset>4151630</wp:posOffset>
                  </wp:positionH>
                  <wp:positionV relativeFrom="paragraph">
                    <wp:posOffset>4445</wp:posOffset>
                  </wp:positionV>
                  <wp:extent cx="561975" cy="488950"/>
                  <wp:effectExtent l="0" t="0" r="0" b="6985"/>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61975" cy="488873"/>
                          </a:xfrm>
                          <a:prstGeom prst="rect">
                            <a:avLst/>
                          </a:prstGeom>
                          <a:noFill/>
                          <a:ln>
                            <a:noFill/>
                          </a:ln>
                        </pic:spPr>
                      </pic:pic>
                    </a:graphicData>
                  </a:graphic>
                </wp:anchor>
              </w:drawing>
            </w:r>
            <w:r>
              <w:rPr>
                <w:rFonts w:hint="default" w:ascii="Times New Roman" w:hAnsi="Times New Roman" w:cs="Times New Roman"/>
              </w:rPr>
              <w:drawing>
                <wp:inline distT="0" distB="0" distL="0" distR="0">
                  <wp:extent cx="3437255" cy="273685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0"/>
                          <a:stretch>
                            <a:fillRect/>
                          </a:stretch>
                        </pic:blipFill>
                        <pic:spPr>
                          <a:xfrm>
                            <a:off x="0" y="0"/>
                            <a:ext cx="3438005" cy="2737563"/>
                          </a:xfrm>
                          <a:prstGeom prst="rect">
                            <a:avLst/>
                          </a:prstGeom>
                        </pic:spPr>
                      </pic:pic>
                    </a:graphicData>
                  </a:graphic>
                </wp:inline>
              </w:drawing>
            </w:r>
          </w:p>
          <w:p>
            <w:pPr>
              <w:pStyle w:val="146"/>
              <w:spacing w:after="156"/>
              <w:rPr>
                <w:rFonts w:hint="default" w:ascii="Times New Roman" w:hAnsi="Times New Roman" w:cs="Times New Roman"/>
                <w:kern w:val="21"/>
              </w:rPr>
            </w:pPr>
            <w:bookmarkStart w:id="15" w:name="_Ref48424945"/>
            <w:r>
              <w:rPr>
                <w:rFonts w:hint="default" w:ascii="Times New Roman" w:hAnsi="Times New Roman" w:cs="Times New Roman"/>
              </w:rPr>
              <w:t>图</w:t>
            </w:r>
            <w:r>
              <w:rPr>
                <w:rFonts w:hint="eastAsia" w:cs="Times New Roman"/>
                <w:lang w:val="en-US" w:eastAsia="zh-CN"/>
              </w:rPr>
              <w:t>3-</w:t>
            </w:r>
            <w:r>
              <w:rPr>
                <w:rFonts w:hint="default" w:ascii="Times New Roman" w:hAnsi="Times New Roman" w:cs="Times New Roman"/>
              </w:rPr>
              <w:fldChar w:fldCharType="begin"/>
            </w:r>
            <w:r>
              <w:rPr>
                <w:rFonts w:hint="default" w:ascii="Times New Roman" w:hAnsi="Times New Roman" w:cs="Times New Roman"/>
              </w:rPr>
              <w:instrText xml:space="preserve"> SEQ 图 \* ARABIC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bookmarkEnd w:id="15"/>
            <w:r>
              <w:rPr>
                <w:rFonts w:hint="eastAsia" w:cs="Times New Roman"/>
                <w:lang w:val="en-US" w:eastAsia="zh-CN"/>
              </w:rPr>
              <w:t xml:space="preserve"> </w:t>
            </w:r>
            <w:r>
              <w:rPr>
                <w:rFonts w:hint="default" w:ascii="Times New Roman" w:hAnsi="Times New Roman" w:cs="Times New Roman"/>
                <w:kern w:val="21"/>
              </w:rPr>
              <w:t>监测点位分布图</w:t>
            </w:r>
          </w:p>
          <w:p>
            <w:pPr>
              <w:pStyle w:val="137"/>
              <w:numPr>
                <w:ilvl w:val="0"/>
                <w:numId w:val="3"/>
              </w:numPr>
              <w:ind w:firstLine="482"/>
              <w:rPr>
                <w:rFonts w:hint="default" w:ascii="Times New Roman" w:hAnsi="Times New Roman" w:cs="Times New Roman"/>
                <w:b/>
                <w:bCs/>
              </w:rPr>
            </w:pPr>
            <w:r>
              <w:rPr>
                <w:rFonts w:hint="default" w:ascii="Times New Roman" w:hAnsi="Times New Roman" w:cs="Times New Roman"/>
                <w:b/>
                <w:bCs/>
              </w:rPr>
              <w:t>地表水环境质量现状</w:t>
            </w:r>
          </w:p>
          <w:p>
            <w:pPr>
              <w:pStyle w:val="137"/>
              <w:ind w:firstLine="480"/>
              <w:rPr>
                <w:rFonts w:hint="default" w:ascii="Times New Roman" w:hAnsi="Times New Roman" w:cs="Times New Roman"/>
              </w:rPr>
            </w:pPr>
            <w:r>
              <w:rPr>
                <w:rFonts w:hint="default" w:ascii="Times New Roman" w:hAnsi="Times New Roman" w:cs="Times New Roman"/>
              </w:rPr>
              <w:t>本项目废水不外排。北侧南渡河属于Ⅲ类水功能区，执行国家《地表水环境质量标准》（GB3838-2002）中的Ⅲ类标准。本报告引用《2019年度湛江市环境质量年报简报》相关数据进行评价。</w:t>
            </w:r>
          </w:p>
          <w:p>
            <w:pPr>
              <w:pStyle w:val="137"/>
              <w:ind w:firstLine="480"/>
              <w:rPr>
                <w:rFonts w:hint="default" w:ascii="Times New Roman" w:hAnsi="Times New Roman" w:cs="Times New Roman"/>
              </w:rPr>
            </w:pPr>
            <w:r>
              <w:rPr>
                <w:rFonts w:hint="default" w:ascii="Times New Roman" w:hAnsi="Times New Roman" w:cs="Times New Roman"/>
              </w:rPr>
              <w:t>2019年湛江市8条主要江河的13个常规监测断面中，Ⅱ类水质断面1个，占总断面数的7.7%；Ⅲ类水质断面11个，占总断面数84.6%；Ⅳ类水质断面1个，占总断面数的7.7%。</w:t>
            </w:r>
          </w:p>
          <w:p>
            <w:pPr>
              <w:pStyle w:val="137"/>
              <w:ind w:firstLine="480"/>
              <w:rPr>
                <w:rFonts w:hint="default" w:ascii="Times New Roman" w:hAnsi="Times New Roman" w:cs="Times New Roman"/>
              </w:rPr>
            </w:pPr>
            <w:r>
              <w:rPr>
                <w:rFonts w:hint="default" w:ascii="Times New Roman" w:hAnsi="Times New Roman" w:cs="Times New Roman"/>
              </w:rPr>
              <w:t>各断面水质状况为：大水桥河文部村断面水质为优；鉴江江口门断面（茂湛交界）、鉴江黄坡断面、袂花江塘口断面（茂湛交界）、袂花江大山江断面、九洲江山角断面（桂粤交界）、九洲江石角断面（桂粤交界）、九洲江排里断面、九洲江营仔断面、雷州青年运河赤坎水厂（塘口取水口）断面、南渡河南渡河桥断面、遂溪河罗屋田桥断面水质均为良好；小东江石碧断面（茂湛交界）为轻度污染。</w:t>
            </w:r>
          </w:p>
          <w:p>
            <w:pPr>
              <w:pStyle w:val="137"/>
              <w:ind w:firstLine="482"/>
              <w:rPr>
                <w:rFonts w:hint="default" w:ascii="Times New Roman" w:hAnsi="Times New Roman" w:cs="Times New Roman"/>
                <w:b/>
                <w:bCs/>
              </w:rPr>
            </w:pPr>
            <w:r>
              <w:rPr>
                <w:rFonts w:hint="default" w:ascii="Times New Roman" w:hAnsi="Times New Roman" w:cs="Times New Roman"/>
                <w:b/>
                <w:bCs/>
              </w:rPr>
              <w:t>三、地下水环境质量现状</w:t>
            </w:r>
          </w:p>
          <w:p>
            <w:pPr>
              <w:pStyle w:val="137"/>
              <w:ind w:firstLine="48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本次评价引用《湛江市雷州市雷北加油站建设项目环境影响报告表》中的地下水监测数据，广东众惠环境检测有限公司于2019年11月08日对徐马村、卜里坡村、邦屋坡村的地下水进行了检测，检测结果如下：</w:t>
            </w:r>
          </w:p>
          <w:p>
            <w:pPr>
              <w:pStyle w:val="137"/>
              <w:ind w:firstLine="480"/>
              <w:jc w:val="center"/>
              <w:rPr>
                <w:rFonts w:hint="eastAsia" w:cs="Times New Roman"/>
                <w:b/>
                <w:bCs/>
                <w:color w:val="000000" w:themeColor="text1"/>
                <w:lang w:val="en-US" w:eastAsia="zh-CN"/>
                <w14:textFill>
                  <w14:solidFill>
                    <w14:schemeClr w14:val="tx1"/>
                  </w14:solidFill>
                </w14:textFill>
              </w:rPr>
            </w:pPr>
            <w:r>
              <w:rPr>
                <w:b/>
                <w:bCs/>
                <w:color w:val="000000" w:themeColor="text1"/>
                <w:sz w:val="24"/>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10160</wp:posOffset>
                      </wp:positionH>
                      <wp:positionV relativeFrom="paragraph">
                        <wp:posOffset>289560</wp:posOffset>
                      </wp:positionV>
                      <wp:extent cx="1108075" cy="510540"/>
                      <wp:effectExtent l="1905" t="4445" r="7620" b="5715"/>
                      <wp:wrapNone/>
                      <wp:docPr id="18" name="直接连接符 18"/>
                      <wp:cNvGraphicFramePr/>
                      <a:graphic xmlns:a="http://schemas.openxmlformats.org/drawingml/2006/main">
                        <a:graphicData uri="http://schemas.microsoft.com/office/word/2010/wordprocessingShape">
                          <wps:wsp>
                            <wps:cNvCnPr/>
                            <wps:spPr>
                              <a:xfrm>
                                <a:off x="982345" y="9178290"/>
                                <a:ext cx="1108075" cy="510540"/>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8pt;margin-top:22.8pt;height:40.2pt;width:87.25pt;z-index:251659264;mso-width-relative:page;mso-height-relative:page;" filled="f" stroked="t" coordsize="21600,21600" o:gfxdata="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dcfY3UAAAACAEAAA8AAAAAAAAAAQAgAAAAIgAAAGRycy9kb3ducmV2LnhtbFBLAQIUABQAAAAI&#10;AIdO4kAxdIbm8QEAAMADAAAOAAAAAAAAAAEAIAAAACMBAABkcnMvZTJvRG9jLnhtbFBLBQYAAAAA&#10;BgAGAFkBAACGBQAAAAA=&#10;">
                      <v:fill on="f" focussize="0,0"/>
                      <v:stroke weight="0pt" color="#000000 [3213]" miterlimit="8" joinstyle="miter"/>
                      <v:imagedata o:title=""/>
                      <o:lock v:ext="edit" aspectratio="f"/>
                    </v:line>
                  </w:pict>
                </mc:Fallback>
              </mc:AlternateContent>
            </w:r>
            <w:r>
              <w:rPr>
                <w:rFonts w:hint="eastAsia" w:cs="Times New Roman"/>
                <w:b/>
                <w:bCs/>
                <w:color w:val="000000" w:themeColor="text1"/>
                <w:lang w:val="en-US" w:eastAsia="zh-CN"/>
                <w14:textFill>
                  <w14:solidFill>
                    <w14:schemeClr w14:val="tx1"/>
                  </w14:solidFill>
                </w14:textFill>
              </w:rPr>
              <w:t>表3-4  地下水监测结果统计表（单位：mg/L，注明者除外）</w:t>
            </w:r>
          </w:p>
          <w:tbl>
            <w:tblPr>
              <w:tblStyle w:val="3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7"/>
              <w:gridCol w:w="1789"/>
              <w:gridCol w:w="1789"/>
              <w:gridCol w:w="1789"/>
              <w:gridCol w:w="1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检测点位</w:t>
                  </w:r>
                </w:p>
                <w:p>
                  <w:pPr>
                    <w:pStyle w:val="137"/>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检测项目</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D1徐马村</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D2卜里坡村</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D3邦屋坡村</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pH值（无量纲）</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6.54</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5.52</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5.90</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6.5</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eastAsia" w:cs="Times New Roman"/>
                      <w:color w:val="000000" w:themeColor="text1"/>
                      <w:sz w:val="21"/>
                      <w:szCs w:val="21"/>
                      <w:vertAlign w:val="baseline"/>
                      <w:lang w:val="en-US" w:eastAsia="zh-CN"/>
                      <w14:textFill>
                        <w14:solidFill>
                          <w14:schemeClr w14:val="tx1"/>
                        </w14:solidFill>
                      </w14:textFill>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溶解性总固体</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107</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90</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95</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氨氮</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0.028</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ND</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ND</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总硬度</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30.2</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48.2</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14.0</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亚硝酸盐</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ND</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0.003</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ND</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硝酸盐</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15.2</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16.4</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15.6</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铅</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ND</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ND</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ND</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石油类</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ND</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ND</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ND</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硫酸盐</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1.54</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20.9</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4.42</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氯化物</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13.0</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19.5</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21.2</w:t>
                  </w:r>
                </w:p>
              </w:tc>
              <w:tc>
                <w:tcPr>
                  <w:tcW w:w="1000" w:type="pct"/>
                  <w:vAlign w:val="center"/>
                </w:tcPr>
                <w:p>
                  <w:pPr>
                    <w:pStyle w:val="13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250</w:t>
                  </w:r>
                </w:p>
              </w:tc>
            </w:tr>
          </w:tbl>
          <w:p>
            <w:pPr>
              <w:pStyle w:val="137"/>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根据监测结果，各因子均满足《地下水质量标准》（GB/T14848－2017）Ⅲ类标准。</w:t>
            </w:r>
          </w:p>
          <w:p>
            <w:pPr>
              <w:pStyle w:val="137"/>
              <w:ind w:firstLine="482"/>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四、声环境质量质量现状</w:t>
            </w:r>
          </w:p>
          <w:p>
            <w:pPr>
              <w:pStyle w:val="13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建设单位委托</w:t>
            </w:r>
            <w:r>
              <w:rPr>
                <w:rFonts w:hint="default" w:ascii="Times New Roman" w:hAnsi="Times New Roman" w:cs="Times New Roman"/>
                <w:color w:val="000000" w:themeColor="text1"/>
                <w14:textFill>
                  <w14:solidFill>
                    <w14:schemeClr w14:val="tx1"/>
                  </w14:solidFill>
                </w14:textFill>
              </w:rPr>
              <w:t>阳江市人和检测技术有限公司</w:t>
            </w:r>
            <w:r>
              <w:rPr>
                <w:rFonts w:hint="default" w:ascii="Times New Roman" w:hAnsi="Times New Roman" w:cs="Times New Roman"/>
                <w:bCs/>
                <w:color w:val="000000" w:themeColor="text1"/>
                <w14:textFill>
                  <w14:solidFill>
                    <w14:schemeClr w14:val="tx1"/>
                  </w14:solidFill>
                </w14:textFill>
              </w:rPr>
              <w:t>于2020年8月26日~27日对项目场区四周噪声进行现场监测，</w:t>
            </w:r>
            <w:r>
              <w:rPr>
                <w:rFonts w:hint="default" w:ascii="Times New Roman" w:hAnsi="Times New Roman" w:cs="Times New Roman"/>
                <w:color w:val="000000" w:themeColor="text1"/>
                <w14:textFill>
                  <w14:solidFill>
                    <w14:schemeClr w14:val="tx1"/>
                  </w14:solidFill>
                </w14:textFill>
              </w:rPr>
              <w:t>监测结果见</w:t>
            </w:r>
            <w:r>
              <w:rPr>
                <w:rFonts w:hint="eastAsia" w:cs="Times New Roman"/>
                <w:color w:val="000000" w:themeColor="text1"/>
                <w:lang w:val="en-US" w:eastAsia="zh-CN"/>
                <w14:textFill>
                  <w14:solidFill>
                    <w14:schemeClr w14:val="tx1"/>
                  </w14:solidFill>
                </w14:textFill>
              </w:rPr>
              <w:t>表3-5</w:t>
            </w:r>
            <w:r>
              <w:rPr>
                <w:rFonts w:hint="default" w:ascii="Times New Roman" w:hAnsi="Times New Roman" w:cs="Times New Roman"/>
                <w:color w:val="000000" w:themeColor="text1"/>
                <w14:textFill>
                  <w14:solidFill>
                    <w14:schemeClr w14:val="tx1"/>
                  </w14:solidFill>
                </w14:textFill>
              </w:rPr>
              <w:t>，监测点位见</w:t>
            </w:r>
            <w:r>
              <w:rPr>
                <w:rFonts w:hint="eastAsia" w:cs="Times New Roman"/>
                <w:color w:val="000000" w:themeColor="text1"/>
                <w:lang w:val="en-US" w:eastAsia="zh-CN"/>
                <w14:textFill>
                  <w14:solidFill>
                    <w14:schemeClr w14:val="tx1"/>
                  </w14:solidFill>
                </w14:textFill>
              </w:rPr>
              <w:t>图3-1</w:t>
            </w:r>
            <w:r>
              <w:rPr>
                <w:rFonts w:hint="default" w:ascii="Times New Roman" w:hAnsi="Times New Roman" w:cs="Times New Roman"/>
                <w:color w:val="000000" w:themeColor="text1"/>
                <w14:textFill>
                  <w14:solidFill>
                    <w14:schemeClr w14:val="tx1"/>
                  </w14:solidFill>
                </w14:textFill>
              </w:rPr>
              <w:t>。</w:t>
            </w:r>
          </w:p>
          <w:p>
            <w:pPr>
              <w:pStyle w:val="143"/>
              <w:keepNext w:val="0"/>
              <w:keepLines w:val="0"/>
              <w:pageBreakBefore w:val="0"/>
              <w:widowControl w:val="0"/>
              <w:kinsoku/>
              <w:wordWrap/>
              <w:overflowPunct/>
              <w:topLinePunct w:val="0"/>
              <w:autoSpaceDE/>
              <w:autoSpaceDN/>
              <w:bidi w:val="0"/>
              <w:adjustRightInd/>
              <w:snapToGrid/>
              <w:spacing w:beforeLines="0"/>
              <w:textAlignment w:val="auto"/>
              <w:rPr>
                <w:rFonts w:hint="default" w:ascii="Times New Roman" w:hAnsi="Times New Roman" w:cs="Times New Roman"/>
                <w:color w:val="000000" w:themeColor="text1"/>
                <w:sz w:val="21"/>
                <w14:textFill>
                  <w14:solidFill>
                    <w14:schemeClr w14:val="tx1"/>
                  </w14:solidFill>
                </w14:textFill>
              </w:rPr>
            </w:pPr>
            <w:bookmarkStart w:id="16" w:name="_Ref48423982"/>
            <w:r>
              <w:rPr>
                <w:rFonts w:hint="default" w:ascii="Times New Roman" w:hAnsi="Times New Roman" w:cs="Times New Roman"/>
                <w:color w:val="000000" w:themeColor="text1"/>
                <w14:textFill>
                  <w14:solidFill>
                    <w14:schemeClr w14:val="tx1"/>
                  </w14:solidFill>
                </w14:textFill>
              </w:rPr>
              <w:t>表</w:t>
            </w:r>
            <w:bookmarkEnd w:id="16"/>
            <w:r>
              <w:rPr>
                <w:rFonts w:hint="eastAsia" w:cs="Times New Roman"/>
                <w:color w:val="000000" w:themeColor="text1"/>
                <w:lang w:val="en-US" w:eastAsia="zh-CN"/>
                <w14:textFill>
                  <w14:solidFill>
                    <w14:schemeClr w14:val="tx1"/>
                  </w14:solidFill>
                </w14:textFill>
              </w:rPr>
              <w:t>3-5</w:t>
            </w:r>
            <w:r>
              <w:rPr>
                <w:rFonts w:hint="default" w:ascii="Times New Roman" w:hAnsi="Times New Roman" w:cs="Times New Roman"/>
                <w:color w:val="000000" w:themeColor="text1"/>
                <w14:textFill>
                  <w14:solidFill>
                    <w14:schemeClr w14:val="tx1"/>
                  </w14:solidFill>
                </w14:textFill>
              </w:rPr>
              <w:t xml:space="preserve"> </w:t>
            </w:r>
            <w:r>
              <w:rPr>
                <w:rFonts w:hint="default" w:ascii="Times New Roman" w:hAnsi="Times New Roman" w:cs="Times New Roman"/>
                <w:color w:val="000000" w:themeColor="text1"/>
                <w:sz w:val="21"/>
                <w14:textFill>
                  <w14:solidFill>
                    <w14:schemeClr w14:val="tx1"/>
                  </w14:solidFill>
                </w14:textFill>
              </w:rPr>
              <w:t>噪声监测数据</w:t>
            </w:r>
          </w:p>
          <w:tbl>
            <w:tblPr>
              <w:tblStyle w:val="30"/>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99"/>
              <w:gridCol w:w="1777"/>
              <w:gridCol w:w="2810"/>
              <w:gridCol w:w="1432"/>
              <w:gridCol w:w="14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8" w:type="pct"/>
                  <w:vMerge w:val="restar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检测时间</w:t>
                  </w:r>
                </w:p>
              </w:tc>
              <w:tc>
                <w:tcPr>
                  <w:tcW w:w="993" w:type="pct"/>
                  <w:vMerge w:val="restar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检测点编号</w:t>
                  </w:r>
                </w:p>
              </w:tc>
              <w:tc>
                <w:tcPr>
                  <w:tcW w:w="1569" w:type="pct"/>
                  <w:vMerge w:val="restar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检测点位置</w:t>
                  </w:r>
                </w:p>
              </w:tc>
              <w:tc>
                <w:tcPr>
                  <w:tcW w:w="1599" w:type="pct"/>
                  <w:gridSpan w:val="2"/>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测量值 L</w:t>
                  </w:r>
                  <w:r>
                    <w:rPr>
                      <w:rFonts w:hint="default" w:ascii="Times New Roman" w:hAnsi="Times New Roman" w:cs="Times New Roman"/>
                      <w:color w:val="000000" w:themeColor="text1"/>
                      <w:sz w:val="16"/>
                      <w:szCs w:val="16"/>
                      <w:vertAlign w:val="subscript"/>
                      <w14:textFill>
                        <w14:solidFill>
                          <w14:schemeClr w14:val="tx1"/>
                        </w14:solidFill>
                      </w14:textFill>
                    </w:rPr>
                    <w:t>eq</w:t>
                  </w:r>
                  <w:r>
                    <w:rPr>
                      <w:rFonts w:hint="default" w:ascii="Times New Roman" w:hAnsi="Times New Roman" w:cs="Times New Roman"/>
                      <w:color w:val="000000" w:themeColor="text1"/>
                      <w14:textFill>
                        <w14:solidFill>
                          <w14:schemeClr w14:val="tx1"/>
                        </w14:solidFill>
                      </w14:textFill>
                    </w:rPr>
                    <w:t>【dB(A)】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8" w:type="pct"/>
                  <w:vMerge w:val="continue"/>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993" w:type="pct"/>
                  <w:vMerge w:val="continue"/>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1569" w:type="pct"/>
                  <w:vMerge w:val="continue"/>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800"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昼间</w:t>
                  </w:r>
                </w:p>
              </w:tc>
              <w:tc>
                <w:tcPr>
                  <w:tcW w:w="800"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8" w:type="pct"/>
                  <w:vMerge w:val="restar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2020/8/26</w:t>
                  </w:r>
                </w:p>
              </w:tc>
              <w:tc>
                <w:tcPr>
                  <w:tcW w:w="993"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N1</w:t>
                  </w:r>
                </w:p>
              </w:tc>
              <w:tc>
                <w:tcPr>
                  <w:tcW w:w="1569"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加油站西北面外1米</w:t>
                  </w:r>
                </w:p>
              </w:tc>
              <w:tc>
                <w:tcPr>
                  <w:tcW w:w="800"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53.2</w:t>
                  </w:r>
                </w:p>
              </w:tc>
              <w:tc>
                <w:tcPr>
                  <w:tcW w:w="800"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8" w:type="pct"/>
                  <w:vMerge w:val="continue"/>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993"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N2</w:t>
                  </w:r>
                </w:p>
              </w:tc>
              <w:tc>
                <w:tcPr>
                  <w:tcW w:w="1569"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加油站东北面外1米</w:t>
                  </w:r>
                </w:p>
              </w:tc>
              <w:tc>
                <w:tcPr>
                  <w:tcW w:w="800"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53.6</w:t>
                  </w:r>
                </w:p>
              </w:tc>
              <w:tc>
                <w:tcPr>
                  <w:tcW w:w="800"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8" w:type="pct"/>
                  <w:vMerge w:val="continue"/>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993"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N3</w:t>
                  </w:r>
                </w:p>
              </w:tc>
              <w:tc>
                <w:tcPr>
                  <w:tcW w:w="1569"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加油站西南面外1米</w:t>
                  </w:r>
                </w:p>
              </w:tc>
              <w:tc>
                <w:tcPr>
                  <w:tcW w:w="800"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59.4</w:t>
                  </w:r>
                </w:p>
              </w:tc>
              <w:tc>
                <w:tcPr>
                  <w:tcW w:w="800"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8" w:type="pct"/>
                  <w:vMerge w:val="continue"/>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993"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N4</w:t>
                  </w:r>
                </w:p>
              </w:tc>
              <w:tc>
                <w:tcPr>
                  <w:tcW w:w="1569"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加油站东南面外1米</w:t>
                  </w:r>
                </w:p>
              </w:tc>
              <w:tc>
                <w:tcPr>
                  <w:tcW w:w="800"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54.2</w:t>
                  </w:r>
                </w:p>
              </w:tc>
              <w:tc>
                <w:tcPr>
                  <w:tcW w:w="800"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8" w:type="pct"/>
                  <w:vMerge w:val="continue"/>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993"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N5</w:t>
                  </w:r>
                </w:p>
              </w:tc>
              <w:tc>
                <w:tcPr>
                  <w:tcW w:w="1569"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洗车场西北面外1米</w:t>
                  </w:r>
                </w:p>
              </w:tc>
              <w:tc>
                <w:tcPr>
                  <w:tcW w:w="800"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55.7</w:t>
                  </w:r>
                </w:p>
              </w:tc>
              <w:tc>
                <w:tcPr>
                  <w:tcW w:w="800"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8" w:type="pct"/>
                  <w:vMerge w:val="continue"/>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993"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N6</w:t>
                  </w:r>
                </w:p>
              </w:tc>
              <w:tc>
                <w:tcPr>
                  <w:tcW w:w="1569"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洗车场西南面外1米</w:t>
                  </w:r>
                </w:p>
              </w:tc>
              <w:tc>
                <w:tcPr>
                  <w:tcW w:w="800"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57.3</w:t>
                  </w:r>
                </w:p>
              </w:tc>
              <w:tc>
                <w:tcPr>
                  <w:tcW w:w="800"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8" w:type="pct"/>
                  <w:vMerge w:val="continue"/>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993"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N7</w:t>
                  </w:r>
                </w:p>
              </w:tc>
              <w:tc>
                <w:tcPr>
                  <w:tcW w:w="1569"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洗车场东南面外1米</w:t>
                  </w:r>
                </w:p>
              </w:tc>
              <w:tc>
                <w:tcPr>
                  <w:tcW w:w="800"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55.8</w:t>
                  </w:r>
                </w:p>
              </w:tc>
              <w:tc>
                <w:tcPr>
                  <w:tcW w:w="800"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8" w:type="pct"/>
                  <w:vMerge w:val="restar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2020/8/27</w:t>
                  </w:r>
                </w:p>
              </w:tc>
              <w:tc>
                <w:tcPr>
                  <w:tcW w:w="993"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N1</w:t>
                  </w:r>
                </w:p>
              </w:tc>
              <w:tc>
                <w:tcPr>
                  <w:tcW w:w="1569"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加油站西北面外1米</w:t>
                  </w:r>
                </w:p>
              </w:tc>
              <w:tc>
                <w:tcPr>
                  <w:tcW w:w="800"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53.5</w:t>
                  </w:r>
                </w:p>
              </w:tc>
              <w:tc>
                <w:tcPr>
                  <w:tcW w:w="800"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8" w:type="pct"/>
                  <w:vMerge w:val="continue"/>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993"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N2</w:t>
                  </w:r>
                </w:p>
              </w:tc>
              <w:tc>
                <w:tcPr>
                  <w:tcW w:w="1569"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加油站东北面外1米</w:t>
                  </w:r>
                </w:p>
              </w:tc>
              <w:tc>
                <w:tcPr>
                  <w:tcW w:w="800"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53.9</w:t>
                  </w:r>
                </w:p>
              </w:tc>
              <w:tc>
                <w:tcPr>
                  <w:tcW w:w="800"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8" w:type="pct"/>
                  <w:vMerge w:val="continue"/>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993"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N3</w:t>
                  </w:r>
                </w:p>
              </w:tc>
              <w:tc>
                <w:tcPr>
                  <w:tcW w:w="1569"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加油站西南面外1米</w:t>
                  </w:r>
                </w:p>
              </w:tc>
              <w:tc>
                <w:tcPr>
                  <w:tcW w:w="800"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59.8</w:t>
                  </w:r>
                </w:p>
              </w:tc>
              <w:tc>
                <w:tcPr>
                  <w:tcW w:w="800"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8" w:type="pct"/>
                  <w:vMerge w:val="continue"/>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993"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N4</w:t>
                  </w:r>
                </w:p>
              </w:tc>
              <w:tc>
                <w:tcPr>
                  <w:tcW w:w="1569"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加油站东南面外1米</w:t>
                  </w:r>
                </w:p>
              </w:tc>
              <w:tc>
                <w:tcPr>
                  <w:tcW w:w="800"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54.1</w:t>
                  </w:r>
                </w:p>
              </w:tc>
              <w:tc>
                <w:tcPr>
                  <w:tcW w:w="800"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8" w:type="pct"/>
                  <w:vMerge w:val="continue"/>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993"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N5</w:t>
                  </w:r>
                </w:p>
              </w:tc>
              <w:tc>
                <w:tcPr>
                  <w:tcW w:w="1569"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洗车场西北面外1米</w:t>
                  </w:r>
                </w:p>
              </w:tc>
              <w:tc>
                <w:tcPr>
                  <w:tcW w:w="800"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55.6</w:t>
                  </w:r>
                </w:p>
              </w:tc>
              <w:tc>
                <w:tcPr>
                  <w:tcW w:w="800"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8" w:type="pct"/>
                  <w:vMerge w:val="continue"/>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993"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N6</w:t>
                  </w:r>
                </w:p>
              </w:tc>
              <w:tc>
                <w:tcPr>
                  <w:tcW w:w="1569"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洗车场西南面外1米</w:t>
                  </w:r>
                </w:p>
              </w:tc>
              <w:tc>
                <w:tcPr>
                  <w:tcW w:w="800"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57.3</w:t>
                  </w:r>
                </w:p>
              </w:tc>
              <w:tc>
                <w:tcPr>
                  <w:tcW w:w="800"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38" w:type="pct"/>
                  <w:vMerge w:val="continue"/>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993"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N7</w:t>
                  </w:r>
                </w:p>
              </w:tc>
              <w:tc>
                <w:tcPr>
                  <w:tcW w:w="1569"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洗车场东南面外1米</w:t>
                  </w:r>
                </w:p>
              </w:tc>
              <w:tc>
                <w:tcPr>
                  <w:tcW w:w="800"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55</w:t>
                  </w:r>
                </w:p>
              </w:tc>
              <w:tc>
                <w:tcPr>
                  <w:tcW w:w="800"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401" w:type="pct"/>
                  <w:gridSpan w:val="3"/>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《声环境质量标准》(GB3096－2008)2类标准</w:t>
                  </w:r>
                </w:p>
              </w:tc>
              <w:tc>
                <w:tcPr>
                  <w:tcW w:w="800"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60</w:t>
                  </w:r>
                </w:p>
              </w:tc>
              <w:tc>
                <w:tcPr>
                  <w:tcW w:w="800"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50</w:t>
                  </w:r>
                </w:p>
              </w:tc>
            </w:tr>
          </w:tbl>
          <w:p>
            <w:pPr>
              <w:pStyle w:val="137"/>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由监测结果可知，项目各厂界均满足《声环境质量标准》（GB3096-2008）2类标准。</w:t>
            </w:r>
          </w:p>
          <w:p>
            <w:pPr>
              <w:pStyle w:val="137"/>
              <w:ind w:firstLine="480"/>
              <w:rPr>
                <w:rFonts w:hint="default" w:ascii="Times New Roman" w:hAnsi="Times New Roman" w:cs="Times New Roman"/>
                <w:color w:val="FF0000"/>
              </w:rPr>
            </w:pPr>
            <w:r>
              <w:rPr>
                <w:rFonts w:hint="default" w:ascii="Times New Roman" w:hAnsi="Times New Roman" w:cs="Times New Roman"/>
                <w:color w:val="FF0000"/>
              </w:rPr>
              <w:drawing>
                <wp:inline distT="0" distB="0" distL="0" distR="0">
                  <wp:extent cx="4685030" cy="5227955"/>
                  <wp:effectExtent l="0" t="0" r="127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rcRect t="1789"/>
                          <a:stretch>
                            <a:fillRect/>
                          </a:stretch>
                        </pic:blipFill>
                        <pic:spPr>
                          <a:xfrm>
                            <a:off x="0" y="0"/>
                            <a:ext cx="4685714" cy="5228548"/>
                          </a:xfrm>
                          <a:prstGeom prst="rect">
                            <a:avLst/>
                          </a:prstGeom>
                          <a:ln>
                            <a:noFill/>
                          </a:ln>
                        </pic:spPr>
                      </pic:pic>
                    </a:graphicData>
                  </a:graphic>
                </wp:inline>
              </w:drawing>
            </w:r>
          </w:p>
          <w:p>
            <w:pPr>
              <w:pStyle w:val="146"/>
              <w:spacing w:after="156"/>
              <w:rPr>
                <w:rFonts w:hint="default" w:ascii="Times New Roman" w:hAnsi="Times New Roman" w:cs="Times New Roman"/>
                <w:color w:val="000000" w:themeColor="text1"/>
                <w:kern w:val="21"/>
                <w14:textFill>
                  <w14:solidFill>
                    <w14:schemeClr w14:val="tx1"/>
                  </w14:solidFill>
                </w14:textFill>
              </w:rPr>
            </w:pPr>
            <w:bookmarkStart w:id="17" w:name="_Ref50634754"/>
            <w:r>
              <w:rPr>
                <w:rFonts w:hint="default" w:ascii="Times New Roman" w:hAnsi="Times New Roman" w:cs="Times New Roman"/>
                <w:color w:val="000000" w:themeColor="text1"/>
                <w14:textFill>
                  <w14:solidFill>
                    <w14:schemeClr w14:val="tx1"/>
                  </w14:solidFill>
                </w14:textFill>
              </w:rPr>
              <w:t>图</w:t>
            </w:r>
            <w:bookmarkEnd w:id="17"/>
            <w:r>
              <w:rPr>
                <w:rFonts w:hint="eastAsia" w:cs="Times New Roman"/>
                <w:color w:val="000000" w:themeColor="text1"/>
                <w:lang w:val="en-US" w:eastAsia="zh-CN"/>
                <w14:textFill>
                  <w14:solidFill>
                    <w14:schemeClr w14:val="tx1"/>
                  </w14:solidFill>
                </w14:textFill>
              </w:rPr>
              <w:t xml:space="preserve">3-1  </w:t>
            </w:r>
            <w:r>
              <w:rPr>
                <w:rFonts w:hint="default" w:ascii="Times New Roman" w:hAnsi="Times New Roman" w:cs="Times New Roman"/>
                <w:color w:val="000000" w:themeColor="text1"/>
                <w14:textFill>
                  <w14:solidFill>
                    <w14:schemeClr w14:val="tx1"/>
                  </w14:solidFill>
                </w14:textFill>
              </w:rPr>
              <w:t>噪声</w:t>
            </w:r>
            <w:r>
              <w:rPr>
                <w:rFonts w:hint="default" w:ascii="Times New Roman" w:hAnsi="Times New Roman" w:cs="Times New Roman"/>
                <w:color w:val="000000" w:themeColor="text1"/>
                <w:kern w:val="21"/>
                <w14:textFill>
                  <w14:solidFill>
                    <w14:schemeClr w14:val="tx1"/>
                  </w14:solidFill>
                </w14:textFill>
              </w:rPr>
              <w:t>监测点位分布图</w:t>
            </w:r>
          </w:p>
          <w:p>
            <w:pPr>
              <w:pStyle w:val="137"/>
              <w:ind w:firstLine="480"/>
              <w:rPr>
                <w:rFonts w:hint="default" w:ascii="Times New Roman" w:hAnsi="Times New Roman" w:cs="Times New Roman"/>
              </w:rPr>
            </w:pPr>
          </w:p>
          <w:p>
            <w:pPr>
              <w:pStyle w:val="137"/>
              <w:ind w:firstLine="482"/>
              <w:rPr>
                <w:rFonts w:hint="default" w:ascii="Times New Roman" w:hAnsi="Times New Roman" w:cs="Times New Roman"/>
                <w:b/>
                <w:bCs/>
              </w:rPr>
            </w:pPr>
            <w:r>
              <w:rPr>
                <w:rFonts w:hint="default" w:ascii="Times New Roman" w:hAnsi="Times New Roman" w:cs="Times New Roman"/>
                <w:b/>
                <w:bCs/>
              </w:rPr>
              <w:t>五、生态环境质量现状</w:t>
            </w:r>
          </w:p>
          <w:p>
            <w:pPr>
              <w:pStyle w:val="137"/>
              <w:ind w:firstLine="480"/>
              <w:rPr>
                <w:rFonts w:hint="default" w:ascii="Times New Roman" w:hAnsi="Times New Roman" w:cs="Times New Roman"/>
              </w:rPr>
            </w:pPr>
            <w:r>
              <w:rPr>
                <w:rFonts w:hint="default" w:ascii="Times New Roman" w:hAnsi="Times New Roman" w:cs="Times New Roman"/>
              </w:rPr>
              <w:t>项目所在评价区域及周边200m范围内无风景名胜区、自然保护区及文化遗产等特殊保护目标，生态环境不属于敏感区。</w:t>
            </w:r>
          </w:p>
          <w:p>
            <w:pPr>
              <w:snapToGrid w:val="0"/>
              <w:spacing w:line="336" w:lineRule="auto"/>
              <w:ind w:firstLine="420" w:firstLineChars="200"/>
              <w:jc w:val="center"/>
              <w:rPr>
                <w:rFonts w:hint="default" w:ascii="Times New Roman" w:hAnsi="Times New Roman" w:cs="Times New Roman"/>
                <w:sz w:val="24"/>
              </w:rPr>
            </w:pPr>
            <w:r>
              <w:rPr>
                <w:rFonts w:hint="default" w:ascii="Times New Roman" w:hAnsi="Times New Roman" w:cs="Times New Roman"/>
              </w:rPr>
              <w:drawing>
                <wp:inline distT="0" distB="0" distL="0" distR="0">
                  <wp:extent cx="4819650" cy="6448425"/>
                  <wp:effectExtent l="0" t="0" r="0"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2" cstate="print">
                            <a:extLst>
                              <a:ext uri="{28A0092B-C50C-407E-A947-70E740481C1C}">
                                <a14:useLocalDpi xmlns:a14="http://schemas.microsoft.com/office/drawing/2010/main" val="0"/>
                              </a:ext>
                            </a:extLst>
                          </a:blip>
                          <a:srcRect l="6865" t="3565" r="8406" b="3628"/>
                          <a:stretch>
                            <a:fillRect/>
                          </a:stretch>
                        </pic:blipFill>
                        <pic:spPr>
                          <a:xfrm>
                            <a:off x="0" y="0"/>
                            <a:ext cx="4819650" cy="6448425"/>
                          </a:xfrm>
                          <a:prstGeom prst="rect">
                            <a:avLst/>
                          </a:prstGeom>
                          <a:noFill/>
                          <a:ln>
                            <a:noFill/>
                          </a:ln>
                        </pic:spPr>
                      </pic:pic>
                    </a:graphicData>
                  </a:graphic>
                </wp:inline>
              </w:drawing>
            </w:r>
          </w:p>
          <w:p>
            <w:pPr>
              <w:pStyle w:val="146"/>
              <w:spacing w:after="156"/>
              <w:rPr>
                <w:rFonts w:hint="default" w:ascii="Times New Roman" w:hAnsi="Times New Roman" w:cs="Times New Roman"/>
              </w:rPr>
            </w:pPr>
            <w:r>
              <w:rPr>
                <w:rFonts w:hint="default" w:ascii="Times New Roman" w:hAnsi="Times New Roman" w:cs="Times New Roman"/>
              </w:rPr>
              <w:t>图</w:t>
            </w:r>
            <w:r>
              <w:rPr>
                <w:rFonts w:hint="eastAsia" w:cs="Times New Roman"/>
                <w:lang w:val="en-US" w:eastAsia="zh-CN"/>
              </w:rPr>
              <w:t xml:space="preserve">3-2 </w:t>
            </w:r>
            <w:r>
              <w:rPr>
                <w:rFonts w:hint="default" w:ascii="Times New Roman" w:hAnsi="Times New Roman" w:cs="Times New Roman"/>
              </w:rPr>
              <w:t xml:space="preserve"> </w:t>
            </w:r>
            <w:r>
              <w:rPr>
                <w:rFonts w:hint="default" w:ascii="Times New Roman" w:hAnsi="Times New Roman" w:cs="Times New Roman"/>
                <w:bCs/>
              </w:rPr>
              <w:t xml:space="preserve">  湛江市浅层地下水功能区划图</w:t>
            </w:r>
          </w:p>
          <w:p>
            <w:pPr>
              <w:adjustRightInd/>
              <w:spacing w:line="360" w:lineRule="auto"/>
              <w:ind w:firstLine="480" w:firstLineChars="200"/>
              <w:rPr>
                <w:rFonts w:hint="default" w:ascii="Times New Roman" w:hAnsi="Times New Roman" w:cs="Times New Roman"/>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776" w:hRule="atLeast"/>
        </w:trPr>
        <w:tc>
          <w:tcPr>
            <w:tcW w:w="5000" w:type="pct"/>
            <w:tcBorders>
              <w:tl2br w:val="nil"/>
              <w:tr2bl w:val="nil"/>
            </w:tcBorders>
          </w:tcPr>
          <w:p>
            <w:pPr>
              <w:tabs>
                <w:tab w:val="left" w:pos="0"/>
              </w:tabs>
              <w:adjustRightInd/>
              <w:spacing w:line="360" w:lineRule="auto"/>
              <w:jc w:val="left"/>
              <w:rPr>
                <w:rFonts w:hint="default" w:ascii="Times New Roman" w:hAnsi="Times New Roman" w:cs="Times New Roman"/>
                <w:b/>
                <w:sz w:val="28"/>
              </w:rPr>
            </w:pPr>
            <w:r>
              <w:rPr>
                <w:rFonts w:hint="default" w:ascii="Times New Roman" w:hAnsi="Times New Roman" w:cs="Times New Roman"/>
                <w:b/>
                <w:sz w:val="28"/>
                <w:szCs w:val="28"/>
              </w:rPr>
              <w:t>主要环境保护目标（列出名单及保护级别）</w:t>
            </w:r>
          </w:p>
          <w:p>
            <w:pPr>
              <w:tabs>
                <w:tab w:val="left" w:pos="72"/>
              </w:tabs>
              <w:snapToGrid w:val="0"/>
              <w:spacing w:line="360" w:lineRule="auto"/>
              <w:ind w:left="6" w:firstLine="426"/>
              <w:rPr>
                <w:rFonts w:hint="default" w:ascii="Times New Roman" w:hAnsi="Times New Roman" w:cs="Times New Roman"/>
                <w:sz w:val="24"/>
              </w:rPr>
            </w:pPr>
            <w:r>
              <w:rPr>
                <w:rFonts w:hint="default" w:ascii="Times New Roman" w:hAnsi="Times New Roman" w:cs="Times New Roman"/>
                <w:sz w:val="24"/>
              </w:rPr>
              <w:t>项目的主要环境保护目标，是保护好项目所在地附近周围评价区域环境质量。要采取有效的环保措施，使该项目的建设和生产运行中保持项目所在地区域原有的环境空气质量、水环境质量和声环境质量。</w:t>
            </w:r>
          </w:p>
          <w:p>
            <w:pPr>
              <w:tabs>
                <w:tab w:val="left" w:pos="72"/>
              </w:tabs>
              <w:snapToGrid w:val="0"/>
              <w:spacing w:line="360" w:lineRule="auto"/>
              <w:ind w:left="6" w:firstLine="426"/>
              <w:rPr>
                <w:rFonts w:hint="default" w:ascii="Times New Roman" w:hAnsi="Times New Roman" w:cs="Times New Roman"/>
                <w:sz w:val="24"/>
              </w:rPr>
            </w:pPr>
            <w:r>
              <w:rPr>
                <w:rFonts w:hint="default" w:ascii="Times New Roman" w:hAnsi="Times New Roman" w:cs="Times New Roman"/>
                <w:sz w:val="24"/>
              </w:rPr>
              <w:t>1、保护南渡河水环境质量符合</w:t>
            </w:r>
            <w:r>
              <w:rPr>
                <w:rFonts w:hint="default" w:ascii="Times New Roman" w:hAnsi="Times New Roman" w:cs="Times New Roman"/>
                <w:sz w:val="24"/>
                <w:szCs w:val="24"/>
              </w:rPr>
              <w:t>《地表水环境质量标准》（GB3838-2002）</w:t>
            </w:r>
            <w:r>
              <w:rPr>
                <w:rFonts w:hint="default" w:ascii="Times New Roman" w:hAnsi="Times New Roman" w:cs="Times New Roman"/>
              </w:rPr>
              <w:t>Ⅲ</w:t>
            </w:r>
            <w:r>
              <w:rPr>
                <w:rFonts w:hint="default" w:ascii="Times New Roman" w:hAnsi="Times New Roman" w:cs="Times New Roman"/>
                <w:sz w:val="24"/>
                <w:szCs w:val="24"/>
              </w:rPr>
              <w:t>类标准</w:t>
            </w:r>
            <w:r>
              <w:rPr>
                <w:rFonts w:hint="default" w:ascii="Times New Roman" w:hAnsi="Times New Roman" w:cs="Times New Roman"/>
                <w:sz w:val="24"/>
              </w:rPr>
              <w:t>。</w:t>
            </w:r>
          </w:p>
          <w:p>
            <w:pPr>
              <w:tabs>
                <w:tab w:val="left" w:pos="72"/>
              </w:tabs>
              <w:snapToGrid w:val="0"/>
              <w:spacing w:line="360" w:lineRule="auto"/>
              <w:ind w:left="6" w:firstLine="426"/>
              <w:rPr>
                <w:rFonts w:hint="default" w:ascii="Times New Roman" w:hAnsi="Times New Roman" w:cs="Times New Roman"/>
                <w:sz w:val="24"/>
              </w:rPr>
            </w:pPr>
            <w:r>
              <w:rPr>
                <w:rFonts w:hint="default" w:ascii="Times New Roman" w:hAnsi="Times New Roman" w:cs="Times New Roman"/>
                <w:sz w:val="24"/>
              </w:rPr>
              <w:t>2、控制本项目主要外排大气污染物的排放，保护评价区内的环境空气质量达到《环境空气质量标准》(GB3095-2012)二级标准，使项目所在区域不因该项目而受到明显影响。</w:t>
            </w:r>
          </w:p>
          <w:p>
            <w:pPr>
              <w:tabs>
                <w:tab w:val="left" w:pos="72"/>
              </w:tabs>
              <w:snapToGrid w:val="0"/>
              <w:spacing w:line="360" w:lineRule="auto"/>
              <w:ind w:left="6" w:firstLine="426"/>
              <w:rPr>
                <w:rFonts w:hint="default" w:ascii="Times New Roman" w:hAnsi="Times New Roman" w:cs="Times New Roman"/>
                <w:sz w:val="24"/>
              </w:rPr>
            </w:pPr>
            <w:r>
              <w:rPr>
                <w:rFonts w:hint="default" w:ascii="Times New Roman" w:hAnsi="Times New Roman" w:cs="Times New Roman"/>
                <w:sz w:val="24"/>
              </w:rPr>
              <w:t>3、保护评价区内声环境符合《声环境质量标准》（GB3096-2008）中的2类标准要求。</w:t>
            </w:r>
          </w:p>
          <w:p>
            <w:pPr>
              <w:tabs>
                <w:tab w:val="left" w:pos="72"/>
              </w:tabs>
              <w:snapToGrid w:val="0"/>
              <w:spacing w:line="360" w:lineRule="auto"/>
              <w:ind w:left="6" w:firstLine="426"/>
              <w:rPr>
                <w:rFonts w:hint="default" w:ascii="Times New Roman" w:hAnsi="Times New Roman" w:cs="Times New Roman"/>
                <w:sz w:val="24"/>
              </w:rPr>
            </w:pPr>
            <w:r>
              <w:rPr>
                <w:rFonts w:hint="default" w:ascii="Times New Roman" w:hAnsi="Times New Roman" w:cs="Times New Roman"/>
                <w:sz w:val="24"/>
              </w:rPr>
              <w:t>4、保护该项目建设地块的生态环境，使其能实现生态环境的良性循环，不对现有的生态环境造成大面积的破坏。</w:t>
            </w:r>
          </w:p>
          <w:p>
            <w:pPr>
              <w:tabs>
                <w:tab w:val="left" w:pos="72"/>
              </w:tabs>
              <w:snapToGrid w:val="0"/>
              <w:spacing w:line="360" w:lineRule="auto"/>
              <w:ind w:left="6" w:firstLine="426"/>
              <w:rPr>
                <w:rFonts w:hint="default" w:ascii="Times New Roman" w:hAnsi="Times New Roman" w:cs="Times New Roman"/>
                <w:sz w:val="24"/>
              </w:rPr>
            </w:pPr>
            <w:r>
              <w:rPr>
                <w:rFonts w:hint="default" w:ascii="Times New Roman" w:hAnsi="Times New Roman" w:cs="Times New Roman"/>
                <w:sz w:val="24"/>
              </w:rPr>
              <w:t>5、项目环境敏感点</w:t>
            </w:r>
          </w:p>
          <w:p>
            <w:pPr>
              <w:pStyle w:val="171"/>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auto"/>
              </w:rPr>
            </w:pPr>
            <w:r>
              <w:rPr>
                <w:rFonts w:hint="default" w:ascii="Times New Roman" w:hAnsi="Times New Roman" w:cs="Times New Roman"/>
                <w:color w:val="auto"/>
              </w:rPr>
              <w:t>项目位于雷州市雷高镇雷调公路东侧（N 20°48'43.89"，E 110°11'25.75"）。</w:t>
            </w:r>
            <w:r>
              <w:rPr>
                <w:rFonts w:hint="default" w:ascii="Times New Roman" w:hAnsi="Times New Roman" w:cs="Times New Roman"/>
                <w:color w:val="auto"/>
                <w:szCs w:val="28"/>
              </w:rPr>
              <w:t>项目北侧为驾校和林地，西侧为</w:t>
            </w:r>
            <w:r>
              <w:rPr>
                <w:rFonts w:hint="default" w:ascii="Times New Roman" w:hAnsi="Times New Roman" w:cs="Times New Roman"/>
                <w:color w:val="auto"/>
              </w:rPr>
              <w:t>雷调公路，南侧为空地，东侧为树林和农田。，距离项目最近的敏感点为西北侧的肖家村。项目所在地2500米范围内没有特别需要保护的文物古迹、风景名胜等环境敏感点，主要环境保护目标具体情况见</w:t>
            </w:r>
            <w:r>
              <w:rPr>
                <w:rFonts w:hint="eastAsia" w:cs="Times New Roman"/>
                <w:color w:val="auto"/>
                <w:lang w:val="en-US" w:eastAsia="zh-CN"/>
              </w:rPr>
              <w:t>表3-6</w:t>
            </w:r>
            <w:r>
              <w:rPr>
                <w:rFonts w:hint="default" w:ascii="Times New Roman" w:hAnsi="Times New Roman" w:cs="Times New Roman"/>
                <w:color w:val="auto"/>
              </w:rPr>
              <w:t>。</w:t>
            </w:r>
          </w:p>
          <w:p>
            <w:pPr>
              <w:pStyle w:val="143"/>
              <w:keepNext w:val="0"/>
              <w:keepLines w:val="0"/>
              <w:pageBreakBefore w:val="0"/>
              <w:widowControl w:val="0"/>
              <w:kinsoku/>
              <w:wordWrap/>
              <w:overflowPunct/>
              <w:topLinePunct w:val="0"/>
              <w:autoSpaceDE/>
              <w:autoSpaceDN/>
              <w:bidi w:val="0"/>
              <w:adjustRightInd/>
              <w:snapToGrid/>
              <w:spacing w:beforeLines="0"/>
              <w:textAlignment w:val="auto"/>
              <w:rPr>
                <w:rFonts w:hint="default" w:ascii="Times New Roman" w:hAnsi="Times New Roman" w:cs="Times New Roman"/>
              </w:rPr>
            </w:pPr>
            <w:bookmarkStart w:id="18" w:name="_Ref45475851"/>
            <w:r>
              <w:rPr>
                <w:rFonts w:hint="default" w:ascii="Times New Roman" w:hAnsi="Times New Roman" w:cs="Times New Roman"/>
              </w:rPr>
              <w:t>表</w:t>
            </w:r>
            <w:bookmarkEnd w:id="18"/>
            <w:r>
              <w:rPr>
                <w:rFonts w:hint="eastAsia" w:cs="Times New Roman"/>
                <w:lang w:val="en-US" w:eastAsia="zh-CN"/>
              </w:rPr>
              <w:t>3-6</w:t>
            </w:r>
            <w:r>
              <w:rPr>
                <w:rFonts w:hint="default" w:ascii="Times New Roman" w:hAnsi="Times New Roman" w:cs="Times New Roman"/>
              </w:rPr>
              <w:t xml:space="preserve">  主要环境保护目标</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176"/>
              <w:gridCol w:w="1825"/>
              <w:gridCol w:w="931"/>
              <w:gridCol w:w="741"/>
              <w:gridCol w:w="2126"/>
              <w:gridCol w:w="720"/>
              <w:gridCol w:w="1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blHeader/>
              </w:trPr>
              <w:tc>
                <w:tcPr>
                  <w:tcW w:w="427" w:type="dxa"/>
                  <w:vAlign w:val="center"/>
                </w:tcPr>
                <w:p>
                  <w:pPr>
                    <w:tabs>
                      <w:tab w:val="left" w:pos="180"/>
                    </w:tabs>
                    <w:snapToGrid w:val="0"/>
                    <w:jc w:val="center"/>
                    <w:rPr>
                      <w:rFonts w:hint="default" w:ascii="Times New Roman" w:hAnsi="Times New Roman" w:cs="Times New Roman"/>
                      <w:szCs w:val="21"/>
                    </w:rPr>
                  </w:pPr>
                  <w:r>
                    <w:rPr>
                      <w:rFonts w:hint="default" w:ascii="Times New Roman" w:hAnsi="Times New Roman" w:cs="Times New Roman"/>
                      <w:szCs w:val="21"/>
                    </w:rPr>
                    <w:t>序号</w:t>
                  </w:r>
                </w:p>
              </w:tc>
              <w:tc>
                <w:tcPr>
                  <w:tcW w:w="1176" w:type="dxa"/>
                  <w:vAlign w:val="center"/>
                </w:tcPr>
                <w:p>
                  <w:pPr>
                    <w:tabs>
                      <w:tab w:val="left" w:pos="180"/>
                    </w:tabs>
                    <w:snapToGrid w:val="0"/>
                    <w:jc w:val="center"/>
                    <w:rPr>
                      <w:rFonts w:hint="default" w:ascii="Times New Roman" w:hAnsi="Times New Roman" w:cs="Times New Roman"/>
                      <w:szCs w:val="21"/>
                    </w:rPr>
                  </w:pPr>
                  <w:r>
                    <w:rPr>
                      <w:rFonts w:hint="default" w:ascii="Times New Roman" w:hAnsi="Times New Roman" w:cs="Times New Roman"/>
                      <w:szCs w:val="21"/>
                    </w:rPr>
                    <w:t>名称</w:t>
                  </w:r>
                </w:p>
              </w:tc>
              <w:tc>
                <w:tcPr>
                  <w:tcW w:w="1825" w:type="dxa"/>
                  <w:vAlign w:val="center"/>
                </w:tcPr>
                <w:p>
                  <w:pPr>
                    <w:tabs>
                      <w:tab w:val="left" w:pos="180"/>
                    </w:tabs>
                    <w:snapToGrid w:val="0"/>
                    <w:jc w:val="center"/>
                    <w:rPr>
                      <w:rFonts w:hint="default" w:ascii="Times New Roman" w:hAnsi="Times New Roman" w:cs="Times New Roman"/>
                      <w:szCs w:val="21"/>
                    </w:rPr>
                  </w:pPr>
                  <w:r>
                    <w:rPr>
                      <w:rFonts w:hint="default" w:ascii="Times New Roman" w:hAnsi="Times New Roman" w:cs="Times New Roman"/>
                      <w:szCs w:val="21"/>
                    </w:rPr>
                    <w:t>坐标</w:t>
                  </w:r>
                </w:p>
              </w:tc>
              <w:tc>
                <w:tcPr>
                  <w:tcW w:w="931" w:type="dxa"/>
                  <w:vAlign w:val="center"/>
                </w:tcPr>
                <w:p>
                  <w:pPr>
                    <w:tabs>
                      <w:tab w:val="left" w:pos="180"/>
                    </w:tabs>
                    <w:snapToGrid w:val="0"/>
                    <w:jc w:val="center"/>
                    <w:rPr>
                      <w:rFonts w:hint="default" w:ascii="Times New Roman" w:hAnsi="Times New Roman" w:cs="Times New Roman"/>
                      <w:szCs w:val="21"/>
                    </w:rPr>
                  </w:pPr>
                  <w:r>
                    <w:rPr>
                      <w:rFonts w:hint="default" w:ascii="Times New Roman" w:hAnsi="Times New Roman" w:cs="Times New Roman"/>
                      <w:szCs w:val="21"/>
                    </w:rPr>
                    <w:t>保护对象</w:t>
                  </w:r>
                </w:p>
              </w:tc>
              <w:tc>
                <w:tcPr>
                  <w:tcW w:w="741" w:type="dxa"/>
                  <w:vAlign w:val="center"/>
                </w:tcPr>
                <w:p>
                  <w:pPr>
                    <w:tabs>
                      <w:tab w:val="left" w:pos="180"/>
                    </w:tabs>
                    <w:snapToGrid w:val="0"/>
                    <w:jc w:val="center"/>
                    <w:rPr>
                      <w:rFonts w:hint="default" w:ascii="Times New Roman" w:hAnsi="Times New Roman" w:cs="Times New Roman"/>
                      <w:szCs w:val="21"/>
                    </w:rPr>
                  </w:pPr>
                  <w:r>
                    <w:rPr>
                      <w:rFonts w:hint="default" w:ascii="Times New Roman" w:hAnsi="Times New Roman" w:cs="Times New Roman"/>
                      <w:szCs w:val="21"/>
                    </w:rPr>
                    <w:t>保护内容</w:t>
                  </w:r>
                </w:p>
              </w:tc>
              <w:tc>
                <w:tcPr>
                  <w:tcW w:w="2126" w:type="dxa"/>
                  <w:vAlign w:val="center"/>
                </w:tcPr>
                <w:p>
                  <w:pPr>
                    <w:tabs>
                      <w:tab w:val="left" w:pos="180"/>
                    </w:tabs>
                    <w:snapToGrid w:val="0"/>
                    <w:jc w:val="center"/>
                    <w:rPr>
                      <w:rFonts w:hint="default" w:ascii="Times New Roman" w:hAnsi="Times New Roman" w:cs="Times New Roman"/>
                      <w:szCs w:val="21"/>
                    </w:rPr>
                  </w:pPr>
                  <w:r>
                    <w:rPr>
                      <w:rFonts w:hint="default" w:ascii="Times New Roman" w:hAnsi="Times New Roman" w:cs="Times New Roman"/>
                      <w:szCs w:val="21"/>
                    </w:rPr>
                    <w:t>环境功能区</w:t>
                  </w:r>
                </w:p>
              </w:tc>
              <w:tc>
                <w:tcPr>
                  <w:tcW w:w="720" w:type="dxa"/>
                  <w:vAlign w:val="center"/>
                </w:tcPr>
                <w:p>
                  <w:pPr>
                    <w:tabs>
                      <w:tab w:val="left" w:pos="180"/>
                    </w:tabs>
                    <w:snapToGrid w:val="0"/>
                    <w:jc w:val="center"/>
                    <w:rPr>
                      <w:rFonts w:hint="default" w:ascii="Times New Roman" w:hAnsi="Times New Roman" w:cs="Times New Roman"/>
                      <w:szCs w:val="21"/>
                    </w:rPr>
                  </w:pPr>
                  <w:r>
                    <w:rPr>
                      <w:rFonts w:hint="default" w:ascii="Times New Roman" w:hAnsi="Times New Roman" w:cs="Times New Roman"/>
                      <w:szCs w:val="21"/>
                    </w:rPr>
                    <w:t>相对厂址方位</w:t>
                  </w:r>
                </w:p>
              </w:tc>
              <w:tc>
                <w:tcPr>
                  <w:tcW w:w="1002" w:type="dxa"/>
                  <w:vAlign w:val="center"/>
                </w:tcPr>
                <w:p>
                  <w:pPr>
                    <w:tabs>
                      <w:tab w:val="left" w:pos="180"/>
                    </w:tabs>
                    <w:snapToGrid w:val="0"/>
                    <w:jc w:val="center"/>
                    <w:rPr>
                      <w:rFonts w:hint="default" w:ascii="Times New Roman" w:hAnsi="Times New Roman" w:cs="Times New Roman"/>
                      <w:szCs w:val="21"/>
                    </w:rPr>
                  </w:pPr>
                  <w:r>
                    <w:rPr>
                      <w:rFonts w:hint="default" w:ascii="Times New Roman" w:hAnsi="Times New Roman" w:cs="Times New Roman"/>
                      <w:szCs w:val="21"/>
                    </w:rPr>
                    <w:t>距离项目红线距离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27" w:type="dxa"/>
                  <w:vAlign w:val="center"/>
                </w:tcPr>
                <w:p>
                  <w:pPr>
                    <w:tabs>
                      <w:tab w:val="left" w:pos="180"/>
                    </w:tabs>
                    <w:snapToGrid w:val="0"/>
                    <w:jc w:val="center"/>
                    <w:rPr>
                      <w:rFonts w:hint="default" w:ascii="Times New Roman" w:hAnsi="Times New Roman" w:cs="Times New Roman"/>
                      <w:szCs w:val="21"/>
                    </w:rPr>
                  </w:pPr>
                  <w:r>
                    <w:rPr>
                      <w:rFonts w:hint="default" w:ascii="Times New Roman" w:hAnsi="Times New Roman" w:cs="Times New Roman"/>
                      <w:szCs w:val="21"/>
                    </w:rPr>
                    <w:t>1</w:t>
                  </w:r>
                </w:p>
              </w:tc>
              <w:tc>
                <w:tcPr>
                  <w:tcW w:w="1176" w:type="dxa"/>
                  <w:vAlign w:val="center"/>
                </w:tcPr>
                <w:p>
                  <w:pPr>
                    <w:tabs>
                      <w:tab w:val="left" w:pos="180"/>
                    </w:tabs>
                    <w:snapToGrid w:val="0"/>
                    <w:jc w:val="center"/>
                    <w:rPr>
                      <w:rFonts w:hint="default" w:ascii="Times New Roman" w:hAnsi="Times New Roman" w:cs="Times New Roman"/>
                      <w:szCs w:val="21"/>
                    </w:rPr>
                  </w:pPr>
                  <w:r>
                    <w:rPr>
                      <w:rFonts w:hint="default" w:ascii="Times New Roman" w:hAnsi="Times New Roman" w:cs="Times New Roman"/>
                      <w:szCs w:val="21"/>
                    </w:rPr>
                    <w:t>肖家村</w:t>
                  </w:r>
                </w:p>
              </w:tc>
              <w:tc>
                <w:tcPr>
                  <w:tcW w:w="1825" w:type="dxa"/>
                  <w:vAlign w:val="center"/>
                </w:tcPr>
                <w:p>
                  <w:pPr>
                    <w:tabs>
                      <w:tab w:val="left" w:pos="180"/>
                    </w:tabs>
                    <w:snapToGrid w:val="0"/>
                    <w:jc w:val="center"/>
                    <w:rPr>
                      <w:rFonts w:hint="default" w:ascii="Times New Roman" w:hAnsi="Times New Roman" w:cs="Times New Roman"/>
                      <w:szCs w:val="21"/>
                    </w:rPr>
                  </w:pPr>
                  <w:r>
                    <w:rPr>
                      <w:rFonts w:hint="eastAsia" w:cs="Times New Roman"/>
                      <w:szCs w:val="21"/>
                      <w:lang w:val="en-US" w:eastAsia="zh-CN"/>
                    </w:rPr>
                    <w:t>N</w:t>
                  </w:r>
                  <w:r>
                    <w:rPr>
                      <w:rFonts w:hint="default" w:ascii="Times New Roman" w:hAnsi="Times New Roman" w:cs="Times New Roman"/>
                      <w:szCs w:val="21"/>
                    </w:rPr>
                    <w:t>20°49'9.87"，</w:t>
                  </w:r>
                  <w:r>
                    <w:rPr>
                      <w:rFonts w:hint="eastAsia" w:cs="Times New Roman"/>
                      <w:szCs w:val="21"/>
                      <w:lang w:val="en-US" w:eastAsia="zh-CN"/>
                    </w:rPr>
                    <w:t>E</w:t>
                  </w:r>
                  <w:r>
                    <w:rPr>
                      <w:rFonts w:hint="default" w:ascii="Times New Roman" w:hAnsi="Times New Roman" w:cs="Times New Roman"/>
                      <w:szCs w:val="21"/>
                    </w:rPr>
                    <w:t>110°11'9.07"</w:t>
                  </w:r>
                </w:p>
              </w:tc>
              <w:tc>
                <w:tcPr>
                  <w:tcW w:w="931" w:type="dxa"/>
                  <w:vAlign w:val="center"/>
                </w:tcPr>
                <w:p>
                  <w:pPr>
                    <w:tabs>
                      <w:tab w:val="left" w:pos="180"/>
                    </w:tabs>
                    <w:snapToGrid w:val="0"/>
                    <w:jc w:val="center"/>
                    <w:rPr>
                      <w:rFonts w:hint="default" w:ascii="Times New Roman" w:hAnsi="Times New Roman" w:cs="Times New Roman"/>
                      <w:szCs w:val="21"/>
                    </w:rPr>
                  </w:pPr>
                  <w:r>
                    <w:rPr>
                      <w:rFonts w:hint="default" w:ascii="Times New Roman" w:hAnsi="Times New Roman" w:cs="Times New Roman"/>
                      <w:szCs w:val="21"/>
                    </w:rPr>
                    <w:t>居民点</w:t>
                  </w:r>
                </w:p>
              </w:tc>
              <w:tc>
                <w:tcPr>
                  <w:tcW w:w="741" w:type="dxa"/>
                  <w:vAlign w:val="center"/>
                </w:tcPr>
                <w:p>
                  <w:pPr>
                    <w:tabs>
                      <w:tab w:val="left" w:pos="180"/>
                    </w:tabs>
                    <w:snapToGrid w:val="0"/>
                    <w:jc w:val="center"/>
                    <w:rPr>
                      <w:rFonts w:hint="default" w:ascii="Times New Roman" w:hAnsi="Times New Roman" w:cs="Times New Roman"/>
                      <w:szCs w:val="21"/>
                    </w:rPr>
                  </w:pPr>
                  <w:r>
                    <w:rPr>
                      <w:rFonts w:hint="default" w:ascii="Times New Roman" w:hAnsi="Times New Roman" w:cs="Times New Roman"/>
                      <w:szCs w:val="21"/>
                    </w:rPr>
                    <w:t>5000人</w:t>
                  </w:r>
                </w:p>
              </w:tc>
              <w:tc>
                <w:tcPr>
                  <w:tcW w:w="2126" w:type="dxa"/>
                  <w:vAlign w:val="center"/>
                </w:tcPr>
                <w:p>
                  <w:pPr>
                    <w:tabs>
                      <w:tab w:val="left" w:pos="180"/>
                    </w:tabs>
                    <w:snapToGrid w:val="0"/>
                    <w:jc w:val="center"/>
                    <w:rPr>
                      <w:rFonts w:hint="default" w:ascii="Times New Roman" w:hAnsi="Times New Roman" w:cs="Times New Roman"/>
                      <w:szCs w:val="21"/>
                    </w:rPr>
                  </w:pPr>
                  <w:r>
                    <w:rPr>
                      <w:rFonts w:hint="default" w:ascii="Times New Roman" w:hAnsi="Times New Roman" w:cs="Times New Roman"/>
                      <w:szCs w:val="21"/>
                    </w:rPr>
                    <w:t>《环境空气质量标准》（GB3095-2012）2类，声功能2类区标准。</w:t>
                  </w:r>
                </w:p>
              </w:tc>
              <w:tc>
                <w:tcPr>
                  <w:tcW w:w="720" w:type="dxa"/>
                  <w:vAlign w:val="center"/>
                </w:tcPr>
                <w:p>
                  <w:pPr>
                    <w:tabs>
                      <w:tab w:val="left" w:pos="180"/>
                    </w:tabs>
                    <w:snapToGrid w:val="0"/>
                    <w:jc w:val="center"/>
                    <w:rPr>
                      <w:rFonts w:hint="default" w:ascii="Times New Roman" w:hAnsi="Times New Roman" w:cs="Times New Roman"/>
                      <w:szCs w:val="21"/>
                    </w:rPr>
                  </w:pPr>
                  <w:r>
                    <w:rPr>
                      <w:rFonts w:hint="default" w:ascii="Times New Roman" w:hAnsi="Times New Roman" w:cs="Times New Roman"/>
                      <w:szCs w:val="21"/>
                    </w:rPr>
                    <w:t>NW</w:t>
                  </w:r>
                </w:p>
              </w:tc>
              <w:tc>
                <w:tcPr>
                  <w:tcW w:w="1002" w:type="dxa"/>
                  <w:vAlign w:val="center"/>
                </w:tcPr>
                <w:p>
                  <w:pPr>
                    <w:tabs>
                      <w:tab w:val="left" w:pos="180"/>
                    </w:tabs>
                    <w:snapToGrid w:val="0"/>
                    <w:jc w:val="center"/>
                    <w:rPr>
                      <w:rFonts w:hint="default" w:ascii="Times New Roman" w:hAnsi="Times New Roman" w:cs="Times New Roman"/>
                      <w:szCs w:val="21"/>
                    </w:rPr>
                  </w:pPr>
                  <w:r>
                    <w:rPr>
                      <w:rFonts w:hint="default" w:ascii="Times New Roman" w:hAnsi="Times New Roman" w:cs="Times New Roman"/>
                      <w:szCs w:val="21"/>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27" w:type="dxa"/>
                  <w:vAlign w:val="center"/>
                </w:tcPr>
                <w:p>
                  <w:pPr>
                    <w:tabs>
                      <w:tab w:val="left" w:pos="180"/>
                    </w:tabs>
                    <w:snapToGrid w:val="0"/>
                    <w:jc w:val="center"/>
                    <w:rPr>
                      <w:rFonts w:hint="default" w:ascii="Times New Roman" w:hAnsi="Times New Roman" w:cs="Times New Roman"/>
                      <w:szCs w:val="21"/>
                    </w:rPr>
                  </w:pPr>
                  <w:r>
                    <w:rPr>
                      <w:rFonts w:hint="default" w:ascii="Times New Roman" w:hAnsi="Times New Roman" w:cs="Times New Roman"/>
                      <w:szCs w:val="21"/>
                    </w:rPr>
                    <w:t>2</w:t>
                  </w:r>
                </w:p>
              </w:tc>
              <w:tc>
                <w:tcPr>
                  <w:tcW w:w="1176" w:type="dxa"/>
                  <w:vAlign w:val="center"/>
                </w:tcPr>
                <w:p>
                  <w:pPr>
                    <w:tabs>
                      <w:tab w:val="left" w:pos="180"/>
                    </w:tabs>
                    <w:snapToGrid w:val="0"/>
                    <w:jc w:val="center"/>
                    <w:rPr>
                      <w:rFonts w:hint="default" w:ascii="Times New Roman" w:hAnsi="Times New Roman" w:cs="Times New Roman"/>
                      <w:szCs w:val="21"/>
                    </w:rPr>
                  </w:pPr>
                  <w:r>
                    <w:rPr>
                      <w:rFonts w:hint="default" w:ascii="Times New Roman" w:hAnsi="Times New Roman" w:cs="Times New Roman"/>
                      <w:szCs w:val="21"/>
                    </w:rPr>
                    <w:t>雷高镇</w:t>
                  </w:r>
                </w:p>
              </w:tc>
              <w:tc>
                <w:tcPr>
                  <w:tcW w:w="1825" w:type="dxa"/>
                  <w:vAlign w:val="center"/>
                </w:tcPr>
                <w:p>
                  <w:pPr>
                    <w:tabs>
                      <w:tab w:val="left" w:pos="180"/>
                    </w:tabs>
                    <w:snapToGrid w:val="0"/>
                    <w:jc w:val="center"/>
                    <w:rPr>
                      <w:rFonts w:hint="default" w:ascii="Times New Roman" w:hAnsi="Times New Roman" w:cs="Times New Roman"/>
                      <w:szCs w:val="21"/>
                    </w:rPr>
                  </w:pPr>
                  <w:r>
                    <w:rPr>
                      <w:rFonts w:hint="eastAsia" w:cs="Times New Roman"/>
                      <w:szCs w:val="21"/>
                      <w:lang w:val="en-US" w:eastAsia="zh-CN"/>
                    </w:rPr>
                    <w:t>N</w:t>
                  </w:r>
                  <w:r>
                    <w:rPr>
                      <w:rFonts w:hint="default" w:ascii="Times New Roman" w:hAnsi="Times New Roman" w:cs="Times New Roman"/>
                      <w:szCs w:val="21"/>
                    </w:rPr>
                    <w:t>20°48'42.25"，</w:t>
                  </w:r>
                  <w:r>
                    <w:rPr>
                      <w:rFonts w:hint="eastAsia" w:cs="Times New Roman"/>
                      <w:szCs w:val="21"/>
                      <w:lang w:val="en-US" w:eastAsia="zh-CN"/>
                    </w:rPr>
                    <w:t>E</w:t>
                  </w:r>
                  <w:r>
                    <w:rPr>
                      <w:rFonts w:hint="default" w:ascii="Times New Roman" w:hAnsi="Times New Roman" w:cs="Times New Roman"/>
                      <w:szCs w:val="21"/>
                    </w:rPr>
                    <w:t>110°10'46.47"</w:t>
                  </w:r>
                </w:p>
              </w:tc>
              <w:tc>
                <w:tcPr>
                  <w:tcW w:w="931" w:type="dxa"/>
                  <w:vAlign w:val="center"/>
                </w:tcPr>
                <w:p>
                  <w:pPr>
                    <w:tabs>
                      <w:tab w:val="left" w:pos="180"/>
                    </w:tabs>
                    <w:snapToGrid w:val="0"/>
                    <w:jc w:val="center"/>
                    <w:rPr>
                      <w:rFonts w:hint="default" w:ascii="Times New Roman" w:hAnsi="Times New Roman" w:cs="Times New Roman"/>
                      <w:szCs w:val="21"/>
                    </w:rPr>
                  </w:pPr>
                  <w:r>
                    <w:rPr>
                      <w:rFonts w:hint="default" w:ascii="Times New Roman" w:hAnsi="Times New Roman" w:cs="Times New Roman"/>
                      <w:szCs w:val="21"/>
                    </w:rPr>
                    <w:t>居民点</w:t>
                  </w:r>
                </w:p>
              </w:tc>
              <w:tc>
                <w:tcPr>
                  <w:tcW w:w="741" w:type="dxa"/>
                  <w:vAlign w:val="center"/>
                </w:tcPr>
                <w:p>
                  <w:pPr>
                    <w:tabs>
                      <w:tab w:val="left" w:pos="180"/>
                    </w:tabs>
                    <w:snapToGrid w:val="0"/>
                    <w:jc w:val="center"/>
                    <w:rPr>
                      <w:rFonts w:hint="default" w:ascii="Times New Roman" w:hAnsi="Times New Roman" w:cs="Times New Roman"/>
                      <w:szCs w:val="21"/>
                    </w:rPr>
                  </w:pPr>
                  <w:r>
                    <w:rPr>
                      <w:rFonts w:hint="default" w:ascii="Times New Roman" w:hAnsi="Times New Roman" w:cs="Times New Roman"/>
                      <w:szCs w:val="21"/>
                    </w:rPr>
                    <w:t>10000人</w:t>
                  </w:r>
                </w:p>
              </w:tc>
              <w:tc>
                <w:tcPr>
                  <w:tcW w:w="2126" w:type="dxa"/>
                  <w:vMerge w:val="restart"/>
                  <w:vAlign w:val="center"/>
                </w:tcPr>
                <w:p>
                  <w:pPr>
                    <w:tabs>
                      <w:tab w:val="left" w:pos="180"/>
                    </w:tabs>
                    <w:snapToGrid w:val="0"/>
                    <w:jc w:val="center"/>
                    <w:rPr>
                      <w:rFonts w:hint="default" w:ascii="Times New Roman" w:hAnsi="Times New Roman" w:cs="Times New Roman"/>
                      <w:szCs w:val="21"/>
                    </w:rPr>
                  </w:pPr>
                  <w:r>
                    <w:rPr>
                      <w:rFonts w:hint="default" w:ascii="Times New Roman" w:hAnsi="Times New Roman" w:cs="Times New Roman"/>
                      <w:szCs w:val="21"/>
                    </w:rPr>
                    <w:t>《环境空气质量标准》（GB3095-2012）2类区</w:t>
                  </w:r>
                </w:p>
              </w:tc>
              <w:tc>
                <w:tcPr>
                  <w:tcW w:w="720" w:type="dxa"/>
                  <w:vAlign w:val="center"/>
                </w:tcPr>
                <w:p>
                  <w:pPr>
                    <w:tabs>
                      <w:tab w:val="left" w:pos="180"/>
                    </w:tabs>
                    <w:snapToGrid w:val="0"/>
                    <w:jc w:val="center"/>
                    <w:rPr>
                      <w:rFonts w:hint="default" w:ascii="Times New Roman" w:hAnsi="Times New Roman" w:cs="Times New Roman"/>
                      <w:szCs w:val="21"/>
                    </w:rPr>
                  </w:pPr>
                  <w:r>
                    <w:rPr>
                      <w:rFonts w:hint="default" w:ascii="Times New Roman" w:hAnsi="Times New Roman" w:cs="Times New Roman"/>
                      <w:szCs w:val="21"/>
                    </w:rPr>
                    <w:t>W</w:t>
                  </w:r>
                </w:p>
              </w:tc>
              <w:tc>
                <w:tcPr>
                  <w:tcW w:w="1002" w:type="dxa"/>
                  <w:vAlign w:val="center"/>
                </w:tcPr>
                <w:p>
                  <w:pPr>
                    <w:tabs>
                      <w:tab w:val="left" w:pos="180"/>
                    </w:tabs>
                    <w:snapToGrid w:val="0"/>
                    <w:jc w:val="center"/>
                    <w:rPr>
                      <w:rFonts w:hint="default" w:ascii="Times New Roman" w:hAnsi="Times New Roman" w:cs="Times New Roman"/>
                      <w:szCs w:val="21"/>
                    </w:rPr>
                  </w:pPr>
                  <w:r>
                    <w:rPr>
                      <w:rFonts w:hint="default" w:ascii="Times New Roman" w:hAnsi="Times New Roman" w:cs="Times New Roman"/>
                      <w:szCs w:val="21"/>
                    </w:rPr>
                    <w:t>376m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27" w:type="dxa"/>
                  <w:vAlign w:val="center"/>
                </w:tcPr>
                <w:p>
                  <w:pPr>
                    <w:tabs>
                      <w:tab w:val="left" w:pos="180"/>
                    </w:tabs>
                    <w:snapToGrid w:val="0"/>
                    <w:jc w:val="center"/>
                    <w:rPr>
                      <w:rFonts w:hint="default" w:ascii="Times New Roman" w:hAnsi="Times New Roman" w:cs="Times New Roman"/>
                      <w:szCs w:val="21"/>
                    </w:rPr>
                  </w:pPr>
                  <w:r>
                    <w:rPr>
                      <w:rFonts w:hint="default" w:ascii="Times New Roman" w:hAnsi="Times New Roman" w:cs="Times New Roman"/>
                      <w:szCs w:val="21"/>
                    </w:rPr>
                    <w:t>3</w:t>
                  </w:r>
                </w:p>
              </w:tc>
              <w:tc>
                <w:tcPr>
                  <w:tcW w:w="1176" w:type="dxa"/>
                  <w:vAlign w:val="center"/>
                </w:tcPr>
                <w:p>
                  <w:pPr>
                    <w:tabs>
                      <w:tab w:val="left" w:pos="180"/>
                    </w:tabs>
                    <w:snapToGrid w:val="0"/>
                    <w:jc w:val="center"/>
                    <w:rPr>
                      <w:rFonts w:hint="default" w:ascii="Times New Roman" w:hAnsi="Times New Roman" w:cs="Times New Roman"/>
                      <w:szCs w:val="21"/>
                    </w:rPr>
                  </w:pPr>
                  <w:r>
                    <w:rPr>
                      <w:rFonts w:hint="default" w:ascii="Times New Roman" w:hAnsi="Times New Roman" w:cs="Times New Roman"/>
                      <w:szCs w:val="21"/>
                    </w:rPr>
                    <w:t>梨陈村</w:t>
                  </w:r>
                </w:p>
              </w:tc>
              <w:tc>
                <w:tcPr>
                  <w:tcW w:w="1825" w:type="dxa"/>
                  <w:vAlign w:val="center"/>
                </w:tcPr>
                <w:p>
                  <w:pPr>
                    <w:tabs>
                      <w:tab w:val="left" w:pos="180"/>
                    </w:tabs>
                    <w:snapToGrid w:val="0"/>
                    <w:jc w:val="center"/>
                    <w:rPr>
                      <w:rFonts w:hint="default" w:ascii="Times New Roman" w:hAnsi="Times New Roman" w:cs="Times New Roman"/>
                      <w:szCs w:val="21"/>
                    </w:rPr>
                  </w:pPr>
                  <w:r>
                    <w:rPr>
                      <w:rFonts w:hint="eastAsia" w:cs="Times New Roman"/>
                      <w:szCs w:val="21"/>
                      <w:lang w:val="en-US" w:eastAsia="zh-CN"/>
                    </w:rPr>
                    <w:t>N</w:t>
                  </w:r>
                  <w:r>
                    <w:rPr>
                      <w:rFonts w:hint="default" w:ascii="Times New Roman" w:hAnsi="Times New Roman" w:cs="Times New Roman"/>
                      <w:szCs w:val="21"/>
                    </w:rPr>
                    <w:t>20°49'4.80"，</w:t>
                  </w:r>
                  <w:r>
                    <w:rPr>
                      <w:rFonts w:hint="eastAsia" w:cs="Times New Roman"/>
                      <w:szCs w:val="21"/>
                      <w:lang w:val="en-US" w:eastAsia="zh-CN"/>
                    </w:rPr>
                    <w:t>E</w:t>
                  </w:r>
                  <w:r>
                    <w:rPr>
                      <w:rFonts w:hint="default" w:ascii="Times New Roman" w:hAnsi="Times New Roman" w:cs="Times New Roman"/>
                      <w:szCs w:val="21"/>
                    </w:rPr>
                    <w:t>110°10'31.01"</w:t>
                  </w:r>
                </w:p>
              </w:tc>
              <w:tc>
                <w:tcPr>
                  <w:tcW w:w="931" w:type="dxa"/>
                  <w:vAlign w:val="center"/>
                </w:tcPr>
                <w:p>
                  <w:pPr>
                    <w:tabs>
                      <w:tab w:val="left" w:pos="180"/>
                    </w:tabs>
                    <w:snapToGrid w:val="0"/>
                    <w:jc w:val="center"/>
                    <w:rPr>
                      <w:rFonts w:hint="default" w:ascii="Times New Roman" w:hAnsi="Times New Roman" w:cs="Times New Roman"/>
                      <w:szCs w:val="21"/>
                    </w:rPr>
                  </w:pPr>
                  <w:r>
                    <w:rPr>
                      <w:rFonts w:hint="default" w:ascii="Times New Roman" w:hAnsi="Times New Roman" w:cs="Times New Roman"/>
                      <w:szCs w:val="21"/>
                    </w:rPr>
                    <w:t>居民点</w:t>
                  </w:r>
                </w:p>
              </w:tc>
              <w:tc>
                <w:tcPr>
                  <w:tcW w:w="741" w:type="dxa"/>
                  <w:vAlign w:val="center"/>
                </w:tcPr>
                <w:p>
                  <w:pPr>
                    <w:tabs>
                      <w:tab w:val="left" w:pos="180"/>
                    </w:tabs>
                    <w:snapToGrid w:val="0"/>
                    <w:jc w:val="center"/>
                    <w:rPr>
                      <w:rFonts w:hint="default" w:ascii="Times New Roman" w:hAnsi="Times New Roman" w:cs="Times New Roman"/>
                      <w:szCs w:val="21"/>
                    </w:rPr>
                  </w:pPr>
                  <w:r>
                    <w:rPr>
                      <w:rFonts w:hint="default" w:ascii="Times New Roman" w:hAnsi="Times New Roman" w:cs="Times New Roman"/>
                      <w:szCs w:val="21"/>
                    </w:rPr>
                    <w:t>4000人</w:t>
                  </w:r>
                </w:p>
              </w:tc>
              <w:tc>
                <w:tcPr>
                  <w:tcW w:w="2126" w:type="dxa"/>
                  <w:vMerge w:val="continue"/>
                  <w:vAlign w:val="center"/>
                </w:tcPr>
                <w:p>
                  <w:pPr>
                    <w:tabs>
                      <w:tab w:val="left" w:pos="180"/>
                    </w:tabs>
                    <w:snapToGrid w:val="0"/>
                    <w:jc w:val="center"/>
                    <w:rPr>
                      <w:rFonts w:hint="default" w:ascii="Times New Roman" w:hAnsi="Times New Roman" w:cs="Times New Roman"/>
                      <w:szCs w:val="21"/>
                    </w:rPr>
                  </w:pPr>
                </w:p>
              </w:tc>
              <w:tc>
                <w:tcPr>
                  <w:tcW w:w="720" w:type="dxa"/>
                  <w:vAlign w:val="center"/>
                </w:tcPr>
                <w:p>
                  <w:pPr>
                    <w:tabs>
                      <w:tab w:val="left" w:pos="180"/>
                    </w:tabs>
                    <w:snapToGrid w:val="0"/>
                    <w:jc w:val="center"/>
                    <w:rPr>
                      <w:rFonts w:hint="default" w:ascii="Times New Roman" w:hAnsi="Times New Roman" w:cs="Times New Roman"/>
                      <w:szCs w:val="21"/>
                    </w:rPr>
                  </w:pPr>
                  <w:r>
                    <w:rPr>
                      <w:rFonts w:hint="default" w:ascii="Times New Roman" w:hAnsi="Times New Roman" w:cs="Times New Roman"/>
                      <w:szCs w:val="21"/>
                    </w:rPr>
                    <w:t>NW</w:t>
                  </w:r>
                </w:p>
              </w:tc>
              <w:tc>
                <w:tcPr>
                  <w:tcW w:w="1002" w:type="dxa"/>
                  <w:vAlign w:val="center"/>
                </w:tcPr>
                <w:p>
                  <w:pPr>
                    <w:tabs>
                      <w:tab w:val="left" w:pos="180"/>
                    </w:tabs>
                    <w:snapToGrid w:val="0"/>
                    <w:jc w:val="center"/>
                    <w:rPr>
                      <w:rFonts w:hint="default" w:ascii="Times New Roman" w:hAnsi="Times New Roman" w:cs="Times New Roman"/>
                      <w:szCs w:val="21"/>
                    </w:rPr>
                  </w:pPr>
                  <w:r>
                    <w:rPr>
                      <w:rFonts w:hint="default" w:ascii="Times New Roman" w:hAnsi="Times New Roman" w:cs="Times New Roman"/>
                      <w:szCs w:val="21"/>
                    </w:rPr>
                    <w:t>1450</w:t>
                  </w:r>
                </w:p>
              </w:tc>
            </w:tr>
          </w:tbl>
          <w:p>
            <w:pPr>
              <w:pStyle w:val="148"/>
              <w:rPr>
                <w:rFonts w:hint="default" w:ascii="Times New Roman" w:hAnsi="Times New Roman" w:cs="Times New Roman"/>
              </w:rPr>
            </w:pPr>
          </w:p>
        </w:tc>
      </w:tr>
    </w:tbl>
    <w:p>
      <w:pPr>
        <w:snapToGrid w:val="0"/>
        <w:spacing w:line="240" w:lineRule="auto"/>
        <w:outlineLvl w:val="0"/>
        <w:rPr>
          <w:rFonts w:hAnsi="宋体"/>
          <w:b/>
          <w:kern w:val="21"/>
          <w:sz w:val="30"/>
        </w:rPr>
      </w:pPr>
      <w:bookmarkStart w:id="19" w:name="_Toc7217"/>
      <w:r>
        <w:rPr>
          <w:rFonts w:hAnsi="宋体"/>
          <w:b/>
          <w:kern w:val="21"/>
          <w:sz w:val="30"/>
        </w:rPr>
        <w:t>评价适用标准</w:t>
      </w:r>
      <w:bookmarkEnd w:id="19"/>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86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1" w:type="pct"/>
            <w:tcBorders>
              <w:tl2br w:val="nil"/>
              <w:tr2bl w:val="nil"/>
            </w:tcBorders>
            <w:shd w:val="clear" w:color="auto" w:fill="auto"/>
            <w:vAlign w:val="center"/>
          </w:tcPr>
          <w:p>
            <w:pPr>
              <w:adjustRightInd/>
              <w:spacing w:line="240" w:lineRule="auto"/>
              <w:jc w:val="center"/>
              <w:rPr>
                <w:b/>
                <w:kern w:val="21"/>
                <w:sz w:val="28"/>
              </w:rPr>
            </w:pPr>
            <w:r>
              <w:rPr>
                <w:rFonts w:hAnsi="宋体"/>
                <w:b/>
                <w:kern w:val="21"/>
                <w:sz w:val="28"/>
              </w:rPr>
              <w:t>环</w:t>
            </w:r>
          </w:p>
          <w:p>
            <w:pPr>
              <w:adjustRightInd/>
              <w:spacing w:line="240" w:lineRule="auto"/>
              <w:jc w:val="center"/>
              <w:rPr>
                <w:b/>
                <w:kern w:val="21"/>
                <w:sz w:val="28"/>
              </w:rPr>
            </w:pPr>
            <w:r>
              <w:rPr>
                <w:rFonts w:hAnsi="宋体"/>
                <w:b/>
                <w:kern w:val="21"/>
                <w:sz w:val="28"/>
              </w:rPr>
              <w:t>境</w:t>
            </w:r>
          </w:p>
          <w:p>
            <w:pPr>
              <w:adjustRightInd/>
              <w:spacing w:line="240" w:lineRule="auto"/>
              <w:jc w:val="center"/>
              <w:rPr>
                <w:b/>
                <w:kern w:val="21"/>
                <w:sz w:val="28"/>
              </w:rPr>
            </w:pPr>
            <w:r>
              <w:rPr>
                <w:rFonts w:hAnsi="宋体"/>
                <w:b/>
                <w:kern w:val="21"/>
                <w:sz w:val="28"/>
              </w:rPr>
              <w:t>质</w:t>
            </w:r>
          </w:p>
          <w:p>
            <w:pPr>
              <w:adjustRightInd/>
              <w:spacing w:line="240" w:lineRule="auto"/>
              <w:jc w:val="center"/>
              <w:rPr>
                <w:b/>
                <w:kern w:val="21"/>
                <w:sz w:val="28"/>
              </w:rPr>
            </w:pPr>
            <w:r>
              <w:rPr>
                <w:rFonts w:hAnsi="宋体"/>
                <w:b/>
                <w:kern w:val="21"/>
                <w:sz w:val="28"/>
              </w:rPr>
              <w:t>量</w:t>
            </w:r>
          </w:p>
          <w:p>
            <w:pPr>
              <w:adjustRightInd/>
              <w:spacing w:line="240" w:lineRule="auto"/>
              <w:jc w:val="center"/>
              <w:rPr>
                <w:b/>
                <w:kern w:val="21"/>
                <w:sz w:val="28"/>
              </w:rPr>
            </w:pPr>
            <w:r>
              <w:rPr>
                <w:rFonts w:hAnsi="宋体"/>
                <w:b/>
                <w:kern w:val="21"/>
                <w:sz w:val="28"/>
              </w:rPr>
              <w:t>标</w:t>
            </w:r>
          </w:p>
          <w:p>
            <w:pPr>
              <w:adjustRightInd/>
              <w:spacing w:line="240" w:lineRule="auto"/>
              <w:jc w:val="center"/>
              <w:rPr>
                <w:b/>
                <w:kern w:val="21"/>
                <w:sz w:val="28"/>
              </w:rPr>
            </w:pPr>
            <w:r>
              <w:rPr>
                <w:rFonts w:hAnsi="宋体"/>
                <w:b/>
                <w:kern w:val="21"/>
                <w:sz w:val="28"/>
              </w:rPr>
              <w:t>准</w:t>
            </w:r>
          </w:p>
        </w:tc>
        <w:tc>
          <w:tcPr>
            <w:tcW w:w="4709" w:type="pct"/>
            <w:tcBorders>
              <w:tl2br w:val="nil"/>
              <w:tr2bl w:val="nil"/>
            </w:tcBorders>
            <w:shd w:val="clear" w:color="auto" w:fill="auto"/>
            <w:vAlign w:val="center"/>
          </w:tcPr>
          <w:p>
            <w:pPr>
              <w:pStyle w:val="137"/>
              <w:ind w:firstLine="480"/>
            </w:pPr>
            <w:r>
              <w:rPr>
                <w:rFonts w:hint="eastAsia"/>
              </w:rPr>
              <w:t>1、环境</w:t>
            </w:r>
            <w:r>
              <w:t>空气环境质量标准</w:t>
            </w:r>
          </w:p>
          <w:p>
            <w:pPr>
              <w:pStyle w:val="137"/>
              <w:keepNext w:val="0"/>
              <w:keepLines w:val="0"/>
              <w:pageBreakBefore w:val="0"/>
              <w:widowControl w:val="0"/>
              <w:kinsoku/>
              <w:wordWrap/>
              <w:overflowPunct/>
              <w:topLinePunct w:val="0"/>
              <w:autoSpaceDE/>
              <w:autoSpaceDN/>
              <w:bidi w:val="0"/>
              <w:adjustRightInd/>
              <w:snapToGrid/>
              <w:ind w:firstLine="480"/>
              <w:textAlignment w:val="auto"/>
            </w:pPr>
            <w:r>
              <w:rPr>
                <w:rFonts w:hint="eastAsia"/>
              </w:rPr>
              <w:t>项目区域环境空气质量执行《环境空气质量标准》（GB3095-2012）及2018年修改单二级标准；非甲烷总烃参照执行《大气污染物综合排放标准详解》（国家环境保护局科技标准司）中推荐值非甲烷总烃1小时均值≤2.0mg/m</w:t>
            </w:r>
            <w:r>
              <w:rPr>
                <w:rFonts w:hint="eastAsia"/>
                <w:vertAlign w:val="superscript"/>
              </w:rPr>
              <w:t>3</w:t>
            </w:r>
            <w:r>
              <w:rPr>
                <w:rFonts w:hint="eastAsia"/>
              </w:rPr>
              <w:t>。</w:t>
            </w:r>
          </w:p>
          <w:p>
            <w:pPr>
              <w:pStyle w:val="143"/>
              <w:keepNext w:val="0"/>
              <w:keepLines w:val="0"/>
              <w:pageBreakBefore w:val="0"/>
              <w:widowControl w:val="0"/>
              <w:kinsoku/>
              <w:wordWrap/>
              <w:overflowPunct/>
              <w:topLinePunct w:val="0"/>
              <w:autoSpaceDE/>
              <w:autoSpaceDN/>
              <w:bidi w:val="0"/>
              <w:adjustRightInd/>
              <w:snapToGrid/>
              <w:spacing w:beforeLines="0"/>
              <w:textAlignment w:val="auto"/>
            </w:pPr>
            <w:r>
              <w:rPr>
                <w:rFonts w:hint="eastAsia"/>
              </w:rPr>
              <w:t>表</w:t>
            </w:r>
            <w:r>
              <w:rPr>
                <w:rFonts w:hint="eastAsia"/>
                <w:lang w:val="en-US" w:eastAsia="zh-CN"/>
              </w:rPr>
              <w:t xml:space="preserve">4-1 </w:t>
            </w:r>
            <w:r>
              <w:t xml:space="preserve"> 环境空气质量标准</w:t>
            </w:r>
          </w:p>
          <w:tbl>
            <w:tblPr>
              <w:tblStyle w:val="1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3" w:type="dxa"/>
                <w:left w:w="211" w:type="dxa"/>
                <w:bottom w:w="0" w:type="dxa"/>
                <w:right w:w="115" w:type="dxa"/>
              </w:tblCellMar>
            </w:tblPr>
            <w:tblGrid>
              <w:gridCol w:w="799"/>
              <w:gridCol w:w="2477"/>
              <w:gridCol w:w="2089"/>
              <w:gridCol w:w="1923"/>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3" w:type="dxa"/>
                  <w:left w:w="211" w:type="dxa"/>
                  <w:bottom w:w="0" w:type="dxa"/>
                  <w:right w:w="115" w:type="dxa"/>
                </w:tblCellMar>
              </w:tblPrEx>
              <w:trPr>
                <w:jc w:val="center"/>
              </w:trPr>
              <w:tc>
                <w:tcPr>
                  <w:tcW w:w="799" w:type="dxa"/>
                  <w:vAlign w:val="center"/>
                </w:tcPr>
                <w:p>
                  <w:pPr>
                    <w:pStyle w:val="141"/>
                  </w:pPr>
                  <w:r>
                    <w:t>序号</w:t>
                  </w:r>
                </w:p>
              </w:tc>
              <w:tc>
                <w:tcPr>
                  <w:tcW w:w="2477" w:type="dxa"/>
                  <w:vAlign w:val="center"/>
                </w:tcPr>
                <w:p>
                  <w:pPr>
                    <w:pStyle w:val="141"/>
                  </w:pPr>
                  <w:r>
                    <w:t>污染物项目</w:t>
                  </w:r>
                </w:p>
              </w:tc>
              <w:tc>
                <w:tcPr>
                  <w:tcW w:w="2089" w:type="dxa"/>
                  <w:vAlign w:val="center"/>
                </w:tcPr>
                <w:p>
                  <w:pPr>
                    <w:pStyle w:val="141"/>
                  </w:pPr>
                  <w:r>
                    <w:t>平均时间</w:t>
                  </w:r>
                </w:p>
              </w:tc>
              <w:tc>
                <w:tcPr>
                  <w:tcW w:w="1923" w:type="dxa"/>
                  <w:vAlign w:val="center"/>
                </w:tcPr>
                <w:p>
                  <w:pPr>
                    <w:pStyle w:val="141"/>
                  </w:pPr>
                  <w:r>
                    <w:t>浓度限值（二级）</w:t>
                  </w:r>
                </w:p>
              </w:tc>
              <w:tc>
                <w:tcPr>
                  <w:tcW w:w="1121" w:type="dxa"/>
                  <w:vAlign w:val="center"/>
                </w:tcPr>
                <w:p>
                  <w:pPr>
                    <w:pStyle w:val="141"/>
                  </w:pPr>
                  <w: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3" w:type="dxa"/>
                  <w:left w:w="211" w:type="dxa"/>
                  <w:bottom w:w="0" w:type="dxa"/>
                  <w:right w:w="115" w:type="dxa"/>
                </w:tblCellMar>
              </w:tblPrEx>
              <w:trPr>
                <w:jc w:val="center"/>
              </w:trPr>
              <w:tc>
                <w:tcPr>
                  <w:tcW w:w="799" w:type="dxa"/>
                  <w:vMerge w:val="restart"/>
                  <w:vAlign w:val="center"/>
                </w:tcPr>
                <w:p>
                  <w:pPr>
                    <w:pStyle w:val="141"/>
                  </w:pPr>
                  <w:r>
                    <w:t>1</w:t>
                  </w:r>
                </w:p>
              </w:tc>
              <w:tc>
                <w:tcPr>
                  <w:tcW w:w="2477" w:type="dxa"/>
                  <w:vMerge w:val="restart"/>
                  <w:vAlign w:val="center"/>
                </w:tcPr>
                <w:p>
                  <w:pPr>
                    <w:pStyle w:val="141"/>
                  </w:pPr>
                  <w:r>
                    <w:t>二氧化硫（SO</w:t>
                  </w:r>
                  <w:r>
                    <w:rPr>
                      <w:vertAlign w:val="subscript"/>
                    </w:rPr>
                    <w:t>2</w:t>
                  </w:r>
                  <w:r>
                    <w:t>）</w:t>
                  </w:r>
                </w:p>
              </w:tc>
              <w:tc>
                <w:tcPr>
                  <w:tcW w:w="2089" w:type="dxa"/>
                  <w:vAlign w:val="center"/>
                </w:tcPr>
                <w:p>
                  <w:pPr>
                    <w:pStyle w:val="141"/>
                  </w:pPr>
                  <w:r>
                    <w:t>年平均</w:t>
                  </w:r>
                </w:p>
              </w:tc>
              <w:tc>
                <w:tcPr>
                  <w:tcW w:w="1923" w:type="dxa"/>
                  <w:vAlign w:val="center"/>
                </w:tcPr>
                <w:p>
                  <w:pPr>
                    <w:pStyle w:val="141"/>
                  </w:pPr>
                  <w:r>
                    <w:t>60</w:t>
                  </w:r>
                </w:p>
              </w:tc>
              <w:tc>
                <w:tcPr>
                  <w:tcW w:w="1121" w:type="dxa"/>
                  <w:vMerge w:val="restart"/>
                  <w:vAlign w:val="center"/>
                </w:tcPr>
                <w:p>
                  <w:pPr>
                    <w:pStyle w:val="141"/>
                  </w:pPr>
                  <w:r>
                    <w:t>μg/m</w:t>
                  </w:r>
                  <w:r>
                    <w:rPr>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3" w:type="dxa"/>
                  <w:left w:w="211" w:type="dxa"/>
                  <w:bottom w:w="0" w:type="dxa"/>
                  <w:right w:w="115" w:type="dxa"/>
                </w:tblCellMar>
              </w:tblPrEx>
              <w:trPr>
                <w:jc w:val="center"/>
              </w:trPr>
              <w:tc>
                <w:tcPr>
                  <w:tcW w:w="799" w:type="dxa"/>
                  <w:vMerge w:val="continue"/>
                  <w:vAlign w:val="center"/>
                </w:tcPr>
                <w:p>
                  <w:pPr>
                    <w:pStyle w:val="141"/>
                  </w:pPr>
                </w:p>
              </w:tc>
              <w:tc>
                <w:tcPr>
                  <w:tcW w:w="2477" w:type="dxa"/>
                  <w:vMerge w:val="continue"/>
                  <w:vAlign w:val="center"/>
                </w:tcPr>
                <w:p>
                  <w:pPr>
                    <w:pStyle w:val="141"/>
                  </w:pPr>
                </w:p>
              </w:tc>
              <w:tc>
                <w:tcPr>
                  <w:tcW w:w="2089" w:type="dxa"/>
                  <w:vAlign w:val="center"/>
                </w:tcPr>
                <w:p>
                  <w:pPr>
                    <w:pStyle w:val="141"/>
                  </w:pPr>
                  <w:r>
                    <w:t>24小时平均</w:t>
                  </w:r>
                </w:p>
              </w:tc>
              <w:tc>
                <w:tcPr>
                  <w:tcW w:w="1923" w:type="dxa"/>
                  <w:vAlign w:val="center"/>
                </w:tcPr>
                <w:p>
                  <w:pPr>
                    <w:pStyle w:val="141"/>
                  </w:pPr>
                  <w:r>
                    <w:t>150</w:t>
                  </w:r>
                </w:p>
              </w:tc>
              <w:tc>
                <w:tcPr>
                  <w:tcW w:w="1121" w:type="dxa"/>
                  <w:vMerge w:val="continue"/>
                  <w:vAlign w:val="center"/>
                </w:tcPr>
                <w:p>
                  <w:pPr>
                    <w:pStyle w:val="14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3" w:type="dxa"/>
                  <w:left w:w="211" w:type="dxa"/>
                  <w:bottom w:w="0" w:type="dxa"/>
                  <w:right w:w="115" w:type="dxa"/>
                </w:tblCellMar>
              </w:tblPrEx>
              <w:trPr>
                <w:jc w:val="center"/>
              </w:trPr>
              <w:tc>
                <w:tcPr>
                  <w:tcW w:w="799" w:type="dxa"/>
                  <w:vMerge w:val="continue"/>
                  <w:vAlign w:val="center"/>
                </w:tcPr>
                <w:p>
                  <w:pPr>
                    <w:pStyle w:val="141"/>
                  </w:pPr>
                </w:p>
              </w:tc>
              <w:tc>
                <w:tcPr>
                  <w:tcW w:w="2477" w:type="dxa"/>
                  <w:vMerge w:val="continue"/>
                  <w:vAlign w:val="center"/>
                </w:tcPr>
                <w:p>
                  <w:pPr>
                    <w:pStyle w:val="141"/>
                  </w:pPr>
                </w:p>
              </w:tc>
              <w:tc>
                <w:tcPr>
                  <w:tcW w:w="2089" w:type="dxa"/>
                  <w:vAlign w:val="center"/>
                </w:tcPr>
                <w:p>
                  <w:pPr>
                    <w:pStyle w:val="141"/>
                  </w:pPr>
                  <w:r>
                    <w:t>1小时平均</w:t>
                  </w:r>
                </w:p>
              </w:tc>
              <w:tc>
                <w:tcPr>
                  <w:tcW w:w="1923" w:type="dxa"/>
                  <w:vAlign w:val="center"/>
                </w:tcPr>
                <w:p>
                  <w:pPr>
                    <w:pStyle w:val="141"/>
                  </w:pPr>
                  <w:r>
                    <w:t>500</w:t>
                  </w:r>
                </w:p>
              </w:tc>
              <w:tc>
                <w:tcPr>
                  <w:tcW w:w="1121" w:type="dxa"/>
                  <w:vMerge w:val="continue"/>
                  <w:vAlign w:val="center"/>
                </w:tcPr>
                <w:p>
                  <w:pPr>
                    <w:pStyle w:val="14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3" w:type="dxa"/>
                  <w:left w:w="211" w:type="dxa"/>
                  <w:bottom w:w="0" w:type="dxa"/>
                  <w:right w:w="115" w:type="dxa"/>
                </w:tblCellMar>
              </w:tblPrEx>
              <w:trPr>
                <w:jc w:val="center"/>
              </w:trPr>
              <w:tc>
                <w:tcPr>
                  <w:tcW w:w="799" w:type="dxa"/>
                  <w:vMerge w:val="restart"/>
                  <w:vAlign w:val="center"/>
                </w:tcPr>
                <w:p>
                  <w:pPr>
                    <w:pStyle w:val="141"/>
                  </w:pPr>
                  <w:r>
                    <w:t>2</w:t>
                  </w:r>
                </w:p>
              </w:tc>
              <w:tc>
                <w:tcPr>
                  <w:tcW w:w="2477" w:type="dxa"/>
                  <w:vMerge w:val="restart"/>
                  <w:vAlign w:val="center"/>
                </w:tcPr>
                <w:p>
                  <w:pPr>
                    <w:pStyle w:val="141"/>
                  </w:pPr>
                  <w:r>
                    <w:t>二氧化氮（NO</w:t>
                  </w:r>
                  <w:r>
                    <w:rPr>
                      <w:vertAlign w:val="subscript"/>
                    </w:rPr>
                    <w:t>2</w:t>
                  </w:r>
                  <w:r>
                    <w:t>）</w:t>
                  </w:r>
                </w:p>
              </w:tc>
              <w:tc>
                <w:tcPr>
                  <w:tcW w:w="2089" w:type="dxa"/>
                  <w:vAlign w:val="center"/>
                </w:tcPr>
                <w:p>
                  <w:pPr>
                    <w:pStyle w:val="141"/>
                  </w:pPr>
                  <w:r>
                    <w:t>年平均</w:t>
                  </w:r>
                </w:p>
              </w:tc>
              <w:tc>
                <w:tcPr>
                  <w:tcW w:w="1923" w:type="dxa"/>
                  <w:vAlign w:val="center"/>
                </w:tcPr>
                <w:p>
                  <w:pPr>
                    <w:pStyle w:val="141"/>
                  </w:pPr>
                  <w:r>
                    <w:t>40</w:t>
                  </w:r>
                </w:p>
              </w:tc>
              <w:tc>
                <w:tcPr>
                  <w:tcW w:w="1121" w:type="dxa"/>
                  <w:vMerge w:val="continue"/>
                  <w:vAlign w:val="center"/>
                </w:tcPr>
                <w:p>
                  <w:pPr>
                    <w:pStyle w:val="14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3" w:type="dxa"/>
                  <w:left w:w="211" w:type="dxa"/>
                  <w:bottom w:w="0" w:type="dxa"/>
                  <w:right w:w="115" w:type="dxa"/>
                </w:tblCellMar>
              </w:tblPrEx>
              <w:trPr>
                <w:jc w:val="center"/>
              </w:trPr>
              <w:tc>
                <w:tcPr>
                  <w:tcW w:w="799" w:type="dxa"/>
                  <w:vMerge w:val="continue"/>
                  <w:vAlign w:val="center"/>
                </w:tcPr>
                <w:p>
                  <w:pPr>
                    <w:pStyle w:val="141"/>
                  </w:pPr>
                </w:p>
              </w:tc>
              <w:tc>
                <w:tcPr>
                  <w:tcW w:w="2477" w:type="dxa"/>
                  <w:vMerge w:val="continue"/>
                  <w:vAlign w:val="center"/>
                </w:tcPr>
                <w:p>
                  <w:pPr>
                    <w:pStyle w:val="141"/>
                  </w:pPr>
                </w:p>
              </w:tc>
              <w:tc>
                <w:tcPr>
                  <w:tcW w:w="2089" w:type="dxa"/>
                  <w:vAlign w:val="center"/>
                </w:tcPr>
                <w:p>
                  <w:pPr>
                    <w:pStyle w:val="141"/>
                  </w:pPr>
                  <w:r>
                    <w:t>24小时平均</w:t>
                  </w:r>
                </w:p>
              </w:tc>
              <w:tc>
                <w:tcPr>
                  <w:tcW w:w="1923" w:type="dxa"/>
                  <w:vAlign w:val="center"/>
                </w:tcPr>
                <w:p>
                  <w:pPr>
                    <w:pStyle w:val="141"/>
                  </w:pPr>
                  <w:r>
                    <w:t>80</w:t>
                  </w:r>
                </w:p>
              </w:tc>
              <w:tc>
                <w:tcPr>
                  <w:tcW w:w="1121" w:type="dxa"/>
                  <w:vMerge w:val="continue"/>
                  <w:vAlign w:val="center"/>
                </w:tcPr>
                <w:p>
                  <w:pPr>
                    <w:pStyle w:val="14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3" w:type="dxa"/>
                  <w:left w:w="211" w:type="dxa"/>
                  <w:bottom w:w="0" w:type="dxa"/>
                  <w:right w:w="115" w:type="dxa"/>
                </w:tblCellMar>
              </w:tblPrEx>
              <w:trPr>
                <w:jc w:val="center"/>
              </w:trPr>
              <w:tc>
                <w:tcPr>
                  <w:tcW w:w="799" w:type="dxa"/>
                  <w:vMerge w:val="continue"/>
                  <w:vAlign w:val="center"/>
                </w:tcPr>
                <w:p>
                  <w:pPr>
                    <w:pStyle w:val="141"/>
                  </w:pPr>
                </w:p>
              </w:tc>
              <w:tc>
                <w:tcPr>
                  <w:tcW w:w="2477" w:type="dxa"/>
                  <w:vMerge w:val="continue"/>
                  <w:vAlign w:val="center"/>
                </w:tcPr>
                <w:p>
                  <w:pPr>
                    <w:pStyle w:val="141"/>
                  </w:pPr>
                </w:p>
              </w:tc>
              <w:tc>
                <w:tcPr>
                  <w:tcW w:w="2089" w:type="dxa"/>
                  <w:vAlign w:val="center"/>
                </w:tcPr>
                <w:p>
                  <w:pPr>
                    <w:pStyle w:val="141"/>
                  </w:pPr>
                  <w:r>
                    <w:t>1小时平均</w:t>
                  </w:r>
                </w:p>
              </w:tc>
              <w:tc>
                <w:tcPr>
                  <w:tcW w:w="1923" w:type="dxa"/>
                  <w:vAlign w:val="center"/>
                </w:tcPr>
                <w:p>
                  <w:pPr>
                    <w:pStyle w:val="141"/>
                  </w:pPr>
                  <w:r>
                    <w:t>200</w:t>
                  </w:r>
                </w:p>
              </w:tc>
              <w:tc>
                <w:tcPr>
                  <w:tcW w:w="1121" w:type="dxa"/>
                  <w:vMerge w:val="continue"/>
                  <w:vAlign w:val="center"/>
                </w:tcPr>
                <w:p>
                  <w:pPr>
                    <w:pStyle w:val="14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3" w:type="dxa"/>
                  <w:left w:w="211" w:type="dxa"/>
                  <w:bottom w:w="0" w:type="dxa"/>
                  <w:right w:w="115" w:type="dxa"/>
                </w:tblCellMar>
              </w:tblPrEx>
              <w:trPr>
                <w:jc w:val="center"/>
              </w:trPr>
              <w:tc>
                <w:tcPr>
                  <w:tcW w:w="799" w:type="dxa"/>
                  <w:vMerge w:val="restart"/>
                  <w:vAlign w:val="center"/>
                </w:tcPr>
                <w:p>
                  <w:pPr>
                    <w:pStyle w:val="141"/>
                  </w:pPr>
                  <w:r>
                    <w:t>3</w:t>
                  </w:r>
                </w:p>
              </w:tc>
              <w:tc>
                <w:tcPr>
                  <w:tcW w:w="2477" w:type="dxa"/>
                  <w:vMerge w:val="restart"/>
                  <w:vAlign w:val="center"/>
                </w:tcPr>
                <w:p>
                  <w:pPr>
                    <w:pStyle w:val="141"/>
                  </w:pPr>
                  <w:r>
                    <w:t>一氧化碳（CO）</w:t>
                  </w:r>
                </w:p>
              </w:tc>
              <w:tc>
                <w:tcPr>
                  <w:tcW w:w="2089" w:type="dxa"/>
                  <w:vAlign w:val="center"/>
                </w:tcPr>
                <w:p>
                  <w:pPr>
                    <w:pStyle w:val="141"/>
                  </w:pPr>
                  <w:r>
                    <w:t>24小时平均</w:t>
                  </w:r>
                </w:p>
              </w:tc>
              <w:tc>
                <w:tcPr>
                  <w:tcW w:w="1923" w:type="dxa"/>
                  <w:vAlign w:val="center"/>
                </w:tcPr>
                <w:p>
                  <w:pPr>
                    <w:pStyle w:val="141"/>
                  </w:pPr>
                  <w:r>
                    <w:t>4</w:t>
                  </w:r>
                </w:p>
              </w:tc>
              <w:tc>
                <w:tcPr>
                  <w:tcW w:w="1121" w:type="dxa"/>
                  <w:vMerge w:val="restart"/>
                  <w:vAlign w:val="center"/>
                </w:tcPr>
                <w:p>
                  <w:pPr>
                    <w:pStyle w:val="141"/>
                  </w:pPr>
                  <w:r>
                    <w:t>mg/m</w:t>
                  </w:r>
                  <w:r>
                    <w:rPr>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3" w:type="dxa"/>
                  <w:left w:w="211" w:type="dxa"/>
                  <w:bottom w:w="0" w:type="dxa"/>
                  <w:right w:w="115" w:type="dxa"/>
                </w:tblCellMar>
              </w:tblPrEx>
              <w:trPr>
                <w:jc w:val="center"/>
              </w:trPr>
              <w:tc>
                <w:tcPr>
                  <w:tcW w:w="799" w:type="dxa"/>
                  <w:vMerge w:val="continue"/>
                  <w:vAlign w:val="center"/>
                </w:tcPr>
                <w:p>
                  <w:pPr>
                    <w:pStyle w:val="141"/>
                  </w:pPr>
                </w:p>
              </w:tc>
              <w:tc>
                <w:tcPr>
                  <w:tcW w:w="2477" w:type="dxa"/>
                  <w:vMerge w:val="continue"/>
                  <w:vAlign w:val="center"/>
                </w:tcPr>
                <w:p>
                  <w:pPr>
                    <w:pStyle w:val="141"/>
                  </w:pPr>
                </w:p>
              </w:tc>
              <w:tc>
                <w:tcPr>
                  <w:tcW w:w="2089" w:type="dxa"/>
                  <w:vAlign w:val="center"/>
                </w:tcPr>
                <w:p>
                  <w:pPr>
                    <w:pStyle w:val="141"/>
                  </w:pPr>
                  <w:r>
                    <w:t>1小时平均</w:t>
                  </w:r>
                </w:p>
              </w:tc>
              <w:tc>
                <w:tcPr>
                  <w:tcW w:w="1923" w:type="dxa"/>
                  <w:vAlign w:val="center"/>
                </w:tcPr>
                <w:p>
                  <w:pPr>
                    <w:pStyle w:val="141"/>
                  </w:pPr>
                  <w:r>
                    <w:t>10</w:t>
                  </w:r>
                </w:p>
              </w:tc>
              <w:tc>
                <w:tcPr>
                  <w:tcW w:w="1121" w:type="dxa"/>
                  <w:vMerge w:val="continue"/>
                  <w:vAlign w:val="center"/>
                </w:tcPr>
                <w:p>
                  <w:pPr>
                    <w:pStyle w:val="14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3" w:type="dxa"/>
                  <w:left w:w="211" w:type="dxa"/>
                  <w:bottom w:w="0" w:type="dxa"/>
                  <w:right w:w="115" w:type="dxa"/>
                </w:tblCellMar>
              </w:tblPrEx>
              <w:trPr>
                <w:jc w:val="center"/>
              </w:trPr>
              <w:tc>
                <w:tcPr>
                  <w:tcW w:w="799" w:type="dxa"/>
                  <w:vMerge w:val="restart"/>
                  <w:vAlign w:val="center"/>
                </w:tcPr>
                <w:p>
                  <w:pPr>
                    <w:pStyle w:val="141"/>
                  </w:pPr>
                  <w:r>
                    <w:t>4</w:t>
                  </w:r>
                </w:p>
              </w:tc>
              <w:tc>
                <w:tcPr>
                  <w:tcW w:w="2477" w:type="dxa"/>
                  <w:vMerge w:val="restart"/>
                  <w:vAlign w:val="center"/>
                </w:tcPr>
                <w:p>
                  <w:pPr>
                    <w:pStyle w:val="141"/>
                  </w:pPr>
                  <w:r>
                    <w:t>臭氧（O3）</w:t>
                  </w:r>
                </w:p>
              </w:tc>
              <w:tc>
                <w:tcPr>
                  <w:tcW w:w="2089" w:type="dxa"/>
                  <w:vAlign w:val="center"/>
                </w:tcPr>
                <w:p>
                  <w:pPr>
                    <w:pStyle w:val="141"/>
                  </w:pPr>
                  <w:r>
                    <w:t>日最大8小时平均</w:t>
                  </w:r>
                </w:p>
              </w:tc>
              <w:tc>
                <w:tcPr>
                  <w:tcW w:w="1923" w:type="dxa"/>
                  <w:vAlign w:val="center"/>
                </w:tcPr>
                <w:p>
                  <w:pPr>
                    <w:pStyle w:val="141"/>
                  </w:pPr>
                  <w:r>
                    <w:t>160</w:t>
                  </w:r>
                </w:p>
              </w:tc>
              <w:tc>
                <w:tcPr>
                  <w:tcW w:w="1121" w:type="dxa"/>
                  <w:vMerge w:val="restart"/>
                  <w:vAlign w:val="center"/>
                </w:tcPr>
                <w:p>
                  <w:pPr>
                    <w:pStyle w:val="141"/>
                  </w:pPr>
                  <w:r>
                    <w:t>μg/m</w:t>
                  </w:r>
                  <w:r>
                    <w:rPr>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3" w:type="dxa"/>
                  <w:left w:w="211" w:type="dxa"/>
                  <w:bottom w:w="0" w:type="dxa"/>
                  <w:right w:w="115" w:type="dxa"/>
                </w:tblCellMar>
              </w:tblPrEx>
              <w:trPr>
                <w:jc w:val="center"/>
              </w:trPr>
              <w:tc>
                <w:tcPr>
                  <w:tcW w:w="799" w:type="dxa"/>
                  <w:vMerge w:val="continue"/>
                  <w:vAlign w:val="center"/>
                </w:tcPr>
                <w:p>
                  <w:pPr>
                    <w:pStyle w:val="141"/>
                  </w:pPr>
                </w:p>
              </w:tc>
              <w:tc>
                <w:tcPr>
                  <w:tcW w:w="2477" w:type="dxa"/>
                  <w:vMerge w:val="continue"/>
                  <w:vAlign w:val="center"/>
                </w:tcPr>
                <w:p>
                  <w:pPr>
                    <w:pStyle w:val="141"/>
                  </w:pPr>
                </w:p>
              </w:tc>
              <w:tc>
                <w:tcPr>
                  <w:tcW w:w="2089" w:type="dxa"/>
                  <w:vAlign w:val="center"/>
                </w:tcPr>
                <w:p>
                  <w:pPr>
                    <w:pStyle w:val="141"/>
                  </w:pPr>
                  <w:r>
                    <w:t>1小时平均</w:t>
                  </w:r>
                </w:p>
              </w:tc>
              <w:tc>
                <w:tcPr>
                  <w:tcW w:w="1923" w:type="dxa"/>
                  <w:vAlign w:val="center"/>
                </w:tcPr>
                <w:p>
                  <w:pPr>
                    <w:pStyle w:val="141"/>
                  </w:pPr>
                  <w:r>
                    <w:t>200</w:t>
                  </w:r>
                </w:p>
              </w:tc>
              <w:tc>
                <w:tcPr>
                  <w:tcW w:w="1121" w:type="dxa"/>
                  <w:vMerge w:val="continue"/>
                  <w:vAlign w:val="center"/>
                </w:tcPr>
                <w:p>
                  <w:pPr>
                    <w:pStyle w:val="14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3" w:type="dxa"/>
                  <w:left w:w="211" w:type="dxa"/>
                  <w:bottom w:w="0" w:type="dxa"/>
                  <w:right w:w="115" w:type="dxa"/>
                </w:tblCellMar>
              </w:tblPrEx>
              <w:trPr>
                <w:jc w:val="center"/>
              </w:trPr>
              <w:tc>
                <w:tcPr>
                  <w:tcW w:w="799" w:type="dxa"/>
                  <w:vMerge w:val="restart"/>
                  <w:vAlign w:val="center"/>
                </w:tcPr>
                <w:p>
                  <w:pPr>
                    <w:pStyle w:val="141"/>
                  </w:pPr>
                  <w:r>
                    <w:t>5</w:t>
                  </w:r>
                </w:p>
              </w:tc>
              <w:tc>
                <w:tcPr>
                  <w:tcW w:w="2477" w:type="dxa"/>
                  <w:vMerge w:val="restart"/>
                  <w:vAlign w:val="center"/>
                </w:tcPr>
                <w:p>
                  <w:pPr>
                    <w:pStyle w:val="141"/>
                  </w:pPr>
                  <w:r>
                    <w:t>颗粒物（粒径小于等于10μm）</w:t>
                  </w:r>
                </w:p>
              </w:tc>
              <w:tc>
                <w:tcPr>
                  <w:tcW w:w="2089" w:type="dxa"/>
                  <w:vAlign w:val="center"/>
                </w:tcPr>
                <w:p>
                  <w:pPr>
                    <w:pStyle w:val="141"/>
                  </w:pPr>
                  <w:r>
                    <w:t>年平均</w:t>
                  </w:r>
                </w:p>
              </w:tc>
              <w:tc>
                <w:tcPr>
                  <w:tcW w:w="1923" w:type="dxa"/>
                  <w:vAlign w:val="center"/>
                </w:tcPr>
                <w:p>
                  <w:pPr>
                    <w:pStyle w:val="141"/>
                  </w:pPr>
                  <w:r>
                    <w:t>70</w:t>
                  </w:r>
                </w:p>
              </w:tc>
              <w:tc>
                <w:tcPr>
                  <w:tcW w:w="1121" w:type="dxa"/>
                  <w:vMerge w:val="continue"/>
                  <w:vAlign w:val="center"/>
                </w:tcPr>
                <w:p>
                  <w:pPr>
                    <w:pStyle w:val="14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3" w:type="dxa"/>
                  <w:left w:w="211" w:type="dxa"/>
                  <w:bottom w:w="0" w:type="dxa"/>
                  <w:right w:w="115" w:type="dxa"/>
                </w:tblCellMar>
              </w:tblPrEx>
              <w:trPr>
                <w:jc w:val="center"/>
              </w:trPr>
              <w:tc>
                <w:tcPr>
                  <w:tcW w:w="799" w:type="dxa"/>
                  <w:vMerge w:val="continue"/>
                  <w:vAlign w:val="center"/>
                </w:tcPr>
                <w:p>
                  <w:pPr>
                    <w:pStyle w:val="141"/>
                  </w:pPr>
                </w:p>
              </w:tc>
              <w:tc>
                <w:tcPr>
                  <w:tcW w:w="2477" w:type="dxa"/>
                  <w:vMerge w:val="continue"/>
                  <w:vAlign w:val="center"/>
                </w:tcPr>
                <w:p>
                  <w:pPr>
                    <w:pStyle w:val="141"/>
                  </w:pPr>
                </w:p>
              </w:tc>
              <w:tc>
                <w:tcPr>
                  <w:tcW w:w="2089" w:type="dxa"/>
                  <w:vAlign w:val="center"/>
                </w:tcPr>
                <w:p>
                  <w:pPr>
                    <w:pStyle w:val="141"/>
                  </w:pPr>
                  <w:r>
                    <w:t>24小时平均</w:t>
                  </w:r>
                </w:p>
              </w:tc>
              <w:tc>
                <w:tcPr>
                  <w:tcW w:w="1923" w:type="dxa"/>
                  <w:vAlign w:val="center"/>
                </w:tcPr>
                <w:p>
                  <w:pPr>
                    <w:pStyle w:val="141"/>
                  </w:pPr>
                  <w:r>
                    <w:t>150</w:t>
                  </w:r>
                </w:p>
              </w:tc>
              <w:tc>
                <w:tcPr>
                  <w:tcW w:w="1121" w:type="dxa"/>
                  <w:vMerge w:val="continue"/>
                  <w:vAlign w:val="center"/>
                </w:tcPr>
                <w:p>
                  <w:pPr>
                    <w:pStyle w:val="14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3" w:type="dxa"/>
                  <w:left w:w="211" w:type="dxa"/>
                  <w:bottom w:w="0" w:type="dxa"/>
                  <w:right w:w="115" w:type="dxa"/>
                </w:tblCellMar>
              </w:tblPrEx>
              <w:trPr>
                <w:jc w:val="center"/>
              </w:trPr>
              <w:tc>
                <w:tcPr>
                  <w:tcW w:w="799" w:type="dxa"/>
                  <w:vMerge w:val="restart"/>
                  <w:vAlign w:val="center"/>
                </w:tcPr>
                <w:p>
                  <w:pPr>
                    <w:pStyle w:val="141"/>
                  </w:pPr>
                  <w:r>
                    <w:t>6</w:t>
                  </w:r>
                </w:p>
              </w:tc>
              <w:tc>
                <w:tcPr>
                  <w:tcW w:w="2477" w:type="dxa"/>
                  <w:vMerge w:val="restart"/>
                  <w:vAlign w:val="center"/>
                </w:tcPr>
                <w:p>
                  <w:pPr>
                    <w:pStyle w:val="141"/>
                  </w:pPr>
                  <w:r>
                    <w:t>颗粒物（粒径小于等于2.5μm）</w:t>
                  </w:r>
                </w:p>
              </w:tc>
              <w:tc>
                <w:tcPr>
                  <w:tcW w:w="2089" w:type="dxa"/>
                  <w:vAlign w:val="center"/>
                </w:tcPr>
                <w:p>
                  <w:pPr>
                    <w:pStyle w:val="141"/>
                  </w:pPr>
                  <w:r>
                    <w:t>年平均</w:t>
                  </w:r>
                </w:p>
              </w:tc>
              <w:tc>
                <w:tcPr>
                  <w:tcW w:w="1923" w:type="dxa"/>
                  <w:vAlign w:val="center"/>
                </w:tcPr>
                <w:p>
                  <w:pPr>
                    <w:pStyle w:val="141"/>
                  </w:pPr>
                  <w:r>
                    <w:t>35</w:t>
                  </w:r>
                </w:p>
              </w:tc>
              <w:tc>
                <w:tcPr>
                  <w:tcW w:w="1121" w:type="dxa"/>
                  <w:vMerge w:val="continue"/>
                  <w:vAlign w:val="center"/>
                </w:tcPr>
                <w:p>
                  <w:pPr>
                    <w:pStyle w:val="14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3" w:type="dxa"/>
                  <w:left w:w="211" w:type="dxa"/>
                  <w:bottom w:w="0" w:type="dxa"/>
                  <w:right w:w="115" w:type="dxa"/>
                </w:tblCellMar>
              </w:tblPrEx>
              <w:trPr>
                <w:jc w:val="center"/>
              </w:trPr>
              <w:tc>
                <w:tcPr>
                  <w:tcW w:w="799" w:type="dxa"/>
                  <w:vMerge w:val="continue"/>
                  <w:vAlign w:val="center"/>
                </w:tcPr>
                <w:p>
                  <w:pPr>
                    <w:pStyle w:val="141"/>
                  </w:pPr>
                </w:p>
              </w:tc>
              <w:tc>
                <w:tcPr>
                  <w:tcW w:w="2477" w:type="dxa"/>
                  <w:vMerge w:val="continue"/>
                  <w:vAlign w:val="center"/>
                </w:tcPr>
                <w:p>
                  <w:pPr>
                    <w:pStyle w:val="141"/>
                  </w:pPr>
                </w:p>
              </w:tc>
              <w:tc>
                <w:tcPr>
                  <w:tcW w:w="2089" w:type="dxa"/>
                  <w:vAlign w:val="center"/>
                </w:tcPr>
                <w:p>
                  <w:pPr>
                    <w:pStyle w:val="141"/>
                  </w:pPr>
                  <w:r>
                    <w:t>24小时平均</w:t>
                  </w:r>
                </w:p>
              </w:tc>
              <w:tc>
                <w:tcPr>
                  <w:tcW w:w="1923" w:type="dxa"/>
                  <w:vAlign w:val="center"/>
                </w:tcPr>
                <w:p>
                  <w:pPr>
                    <w:pStyle w:val="141"/>
                  </w:pPr>
                  <w:r>
                    <w:t>75</w:t>
                  </w:r>
                </w:p>
              </w:tc>
              <w:tc>
                <w:tcPr>
                  <w:tcW w:w="1121" w:type="dxa"/>
                  <w:vMerge w:val="continue"/>
                  <w:vAlign w:val="center"/>
                </w:tcPr>
                <w:p>
                  <w:pPr>
                    <w:pStyle w:val="14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3" w:type="dxa"/>
                  <w:left w:w="211" w:type="dxa"/>
                  <w:bottom w:w="0" w:type="dxa"/>
                  <w:right w:w="115" w:type="dxa"/>
                </w:tblCellMar>
              </w:tblPrEx>
              <w:trPr>
                <w:jc w:val="center"/>
              </w:trPr>
              <w:tc>
                <w:tcPr>
                  <w:tcW w:w="799" w:type="dxa"/>
                  <w:vAlign w:val="center"/>
                </w:tcPr>
                <w:p>
                  <w:pPr>
                    <w:pStyle w:val="141"/>
                  </w:pPr>
                  <w:r>
                    <w:t>7</w:t>
                  </w:r>
                </w:p>
              </w:tc>
              <w:tc>
                <w:tcPr>
                  <w:tcW w:w="2477" w:type="dxa"/>
                  <w:vAlign w:val="center"/>
                </w:tcPr>
                <w:p>
                  <w:pPr>
                    <w:pStyle w:val="141"/>
                  </w:pPr>
                  <w:r>
                    <w:t>非甲烷总烃</w:t>
                  </w:r>
                </w:p>
              </w:tc>
              <w:tc>
                <w:tcPr>
                  <w:tcW w:w="2089" w:type="dxa"/>
                  <w:vAlign w:val="center"/>
                </w:tcPr>
                <w:p>
                  <w:pPr>
                    <w:pStyle w:val="141"/>
                  </w:pPr>
                  <w:r>
                    <w:t>1小时平均</w:t>
                  </w:r>
                </w:p>
              </w:tc>
              <w:tc>
                <w:tcPr>
                  <w:tcW w:w="1923" w:type="dxa"/>
                  <w:vAlign w:val="center"/>
                </w:tcPr>
                <w:p>
                  <w:pPr>
                    <w:pStyle w:val="141"/>
                  </w:pPr>
                  <w:r>
                    <w:t>2</w:t>
                  </w:r>
                </w:p>
              </w:tc>
              <w:tc>
                <w:tcPr>
                  <w:tcW w:w="1121" w:type="dxa"/>
                  <w:vAlign w:val="center"/>
                </w:tcPr>
                <w:p>
                  <w:pPr>
                    <w:pStyle w:val="141"/>
                  </w:pPr>
                  <w:r>
                    <w:t>mg/m</w:t>
                  </w:r>
                  <w:r>
                    <w:rPr>
                      <w:vertAlign w:val="superscript"/>
                    </w:rPr>
                    <w:t>3</w:t>
                  </w:r>
                </w:p>
              </w:tc>
            </w:tr>
          </w:tbl>
          <w:p>
            <w:pPr>
              <w:pStyle w:val="137"/>
              <w:ind w:left="420" w:leftChars="200" w:firstLine="0" w:firstLineChars="0"/>
            </w:pPr>
            <w:r>
              <w:rPr>
                <w:rFonts w:hint="eastAsia"/>
              </w:rPr>
              <w:t>2、地表水环境质量标准</w:t>
            </w:r>
          </w:p>
          <w:p>
            <w:pPr>
              <w:pStyle w:val="137"/>
              <w:ind w:left="420" w:leftChars="200" w:firstLine="0" w:firstLineChars="0"/>
            </w:pPr>
            <w:r>
              <w:rPr>
                <w:rFonts w:hint="eastAsia"/>
              </w:rPr>
              <w:t>南渡河执行《地表水环境质量标准》GB3838-2002中Ⅲ类标准。</w:t>
            </w:r>
          </w:p>
          <w:p>
            <w:pPr>
              <w:pStyle w:val="143"/>
              <w:keepNext w:val="0"/>
              <w:keepLines w:val="0"/>
              <w:pageBreakBefore w:val="0"/>
              <w:widowControl w:val="0"/>
              <w:kinsoku/>
              <w:wordWrap/>
              <w:overflowPunct/>
              <w:topLinePunct w:val="0"/>
              <w:autoSpaceDE/>
              <w:autoSpaceDN/>
              <w:bidi w:val="0"/>
              <w:adjustRightInd/>
              <w:snapToGrid/>
              <w:spacing w:beforeLines="0"/>
              <w:textAlignment w:val="auto"/>
            </w:pPr>
            <w:r>
              <w:rPr>
                <w:rFonts w:hint="eastAsia"/>
              </w:rPr>
              <w:t>表</w:t>
            </w:r>
            <w:r>
              <w:rPr>
                <w:rFonts w:hint="eastAsia"/>
                <w:lang w:val="en-US" w:eastAsia="zh-CN"/>
              </w:rPr>
              <w:t>4-2</w:t>
            </w:r>
            <w:r>
              <w:rPr>
                <w:rFonts w:hint="eastAsia"/>
              </w:rPr>
              <w:t xml:space="preserve">   </w:t>
            </w:r>
            <w:r>
              <w:t xml:space="preserve"> </w:t>
            </w:r>
            <w:r>
              <w:rPr>
                <w:rFonts w:hint="eastAsia"/>
              </w:rPr>
              <w:t>地表水环境</w:t>
            </w:r>
            <w:r>
              <w:t>质量标准  单位：mg/</w:t>
            </w:r>
            <w:r>
              <w:rPr>
                <w:rFonts w:hint="eastAsia"/>
              </w:rPr>
              <w:t>L</w:t>
            </w:r>
          </w:p>
          <w:tbl>
            <w:tblPr>
              <w:tblStyle w:val="3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58"/>
              <w:gridCol w:w="1052"/>
              <w:gridCol w:w="1048"/>
              <w:gridCol w:w="1052"/>
              <w:gridCol w:w="1048"/>
              <w:gridCol w:w="1052"/>
              <w:gridCol w:w="1052"/>
              <w:gridCol w:w="10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4" w:hRule="atLeast"/>
              </w:trPr>
              <w:tc>
                <w:tcPr>
                  <w:tcW w:w="629" w:type="pct"/>
                  <w:tcBorders>
                    <w:tl2br w:val="single" w:color="auto" w:sz="4" w:space="0"/>
                  </w:tcBorders>
                  <w:vAlign w:val="center"/>
                </w:tcPr>
                <w:p>
                  <w:pPr>
                    <w:pStyle w:val="141"/>
                  </w:pPr>
                  <w:r>
                    <w:rPr>
                      <w:rFonts w:hint="eastAsia"/>
                    </w:rPr>
                    <w:t>项目</w:t>
                  </w:r>
                </w:p>
                <w:p>
                  <w:pPr>
                    <w:pStyle w:val="141"/>
                  </w:pPr>
                </w:p>
                <w:p>
                  <w:pPr>
                    <w:pStyle w:val="141"/>
                  </w:pPr>
                  <w:r>
                    <w:rPr>
                      <w:rFonts w:hint="eastAsia"/>
                    </w:rPr>
                    <w:t>标准</w:t>
                  </w:r>
                </w:p>
              </w:tc>
              <w:tc>
                <w:tcPr>
                  <w:tcW w:w="625" w:type="pct"/>
                  <w:vAlign w:val="center"/>
                </w:tcPr>
                <w:p>
                  <w:pPr>
                    <w:pStyle w:val="141"/>
                  </w:pPr>
                  <w:r>
                    <w:rPr>
                      <w:rFonts w:hint="eastAsia"/>
                    </w:rPr>
                    <w:t>PH</w:t>
                  </w:r>
                </w:p>
              </w:tc>
              <w:tc>
                <w:tcPr>
                  <w:tcW w:w="623" w:type="pct"/>
                  <w:vAlign w:val="center"/>
                </w:tcPr>
                <w:p>
                  <w:pPr>
                    <w:pStyle w:val="141"/>
                  </w:pPr>
                  <w:r>
                    <w:rPr>
                      <w:rFonts w:hint="eastAsia"/>
                    </w:rPr>
                    <w:t>溶解氧</w:t>
                  </w:r>
                </w:p>
              </w:tc>
              <w:tc>
                <w:tcPr>
                  <w:tcW w:w="625" w:type="pct"/>
                  <w:vAlign w:val="center"/>
                </w:tcPr>
                <w:p>
                  <w:pPr>
                    <w:pStyle w:val="141"/>
                  </w:pPr>
                  <w:r>
                    <w:rPr>
                      <w:rFonts w:hint="eastAsia"/>
                    </w:rPr>
                    <w:t>化学需氧量</w:t>
                  </w:r>
                </w:p>
              </w:tc>
              <w:tc>
                <w:tcPr>
                  <w:tcW w:w="623" w:type="pct"/>
                  <w:vAlign w:val="center"/>
                </w:tcPr>
                <w:p>
                  <w:pPr>
                    <w:pStyle w:val="141"/>
                  </w:pPr>
                  <w:r>
                    <w:rPr>
                      <w:rFonts w:hint="eastAsia"/>
                    </w:rPr>
                    <w:t>高锰酸盐指数</w:t>
                  </w:r>
                </w:p>
              </w:tc>
              <w:tc>
                <w:tcPr>
                  <w:tcW w:w="625" w:type="pct"/>
                  <w:vAlign w:val="center"/>
                </w:tcPr>
                <w:p>
                  <w:pPr>
                    <w:pStyle w:val="141"/>
                  </w:pPr>
                  <w:r>
                    <w:rPr>
                      <w:rFonts w:hint="eastAsia"/>
                    </w:rPr>
                    <w:t>氨氮</w:t>
                  </w:r>
                </w:p>
              </w:tc>
              <w:tc>
                <w:tcPr>
                  <w:tcW w:w="625" w:type="pct"/>
                  <w:vAlign w:val="center"/>
                </w:tcPr>
                <w:p>
                  <w:pPr>
                    <w:pStyle w:val="141"/>
                  </w:pPr>
                  <w:r>
                    <w:rPr>
                      <w:rFonts w:hint="eastAsia"/>
                    </w:rPr>
                    <w:t>总氮</w:t>
                  </w:r>
                </w:p>
              </w:tc>
              <w:tc>
                <w:tcPr>
                  <w:tcW w:w="625" w:type="pct"/>
                  <w:vAlign w:val="center"/>
                </w:tcPr>
                <w:p>
                  <w:pPr>
                    <w:pStyle w:val="141"/>
                  </w:pPr>
                  <w:r>
                    <w:rPr>
                      <w:rFonts w:hint="eastAsia"/>
                    </w:rPr>
                    <w:t>总磷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5" w:hRule="atLeast"/>
              </w:trPr>
              <w:tc>
                <w:tcPr>
                  <w:tcW w:w="629" w:type="pct"/>
                  <w:vAlign w:val="center"/>
                </w:tcPr>
                <w:p>
                  <w:pPr>
                    <w:pStyle w:val="141"/>
                  </w:pPr>
                  <w:r>
                    <w:rPr>
                      <w:rFonts w:hint="eastAsia"/>
                    </w:rPr>
                    <w:t>标准</w:t>
                  </w:r>
                </w:p>
              </w:tc>
              <w:tc>
                <w:tcPr>
                  <w:tcW w:w="625" w:type="pct"/>
                  <w:vAlign w:val="center"/>
                </w:tcPr>
                <w:p>
                  <w:pPr>
                    <w:pStyle w:val="141"/>
                  </w:pPr>
                  <w:r>
                    <w:rPr>
                      <w:rFonts w:hint="eastAsia"/>
                    </w:rPr>
                    <w:t>6</w:t>
                  </w:r>
                  <w:r>
                    <w:t>~9</w:t>
                  </w:r>
                </w:p>
              </w:tc>
              <w:tc>
                <w:tcPr>
                  <w:tcW w:w="623" w:type="pct"/>
                  <w:vAlign w:val="center"/>
                </w:tcPr>
                <w:p>
                  <w:pPr>
                    <w:pStyle w:val="141"/>
                  </w:pPr>
                  <w:r>
                    <w:rPr>
                      <w:rFonts w:hint="eastAsia"/>
                    </w:rPr>
                    <w:t>5</w:t>
                  </w:r>
                </w:p>
              </w:tc>
              <w:tc>
                <w:tcPr>
                  <w:tcW w:w="625" w:type="pct"/>
                  <w:vAlign w:val="center"/>
                </w:tcPr>
                <w:p>
                  <w:pPr>
                    <w:pStyle w:val="141"/>
                  </w:pPr>
                  <w:r>
                    <w:t>20</w:t>
                  </w:r>
                </w:p>
              </w:tc>
              <w:tc>
                <w:tcPr>
                  <w:tcW w:w="623" w:type="pct"/>
                  <w:vAlign w:val="center"/>
                </w:tcPr>
                <w:p>
                  <w:pPr>
                    <w:pStyle w:val="141"/>
                  </w:pPr>
                  <w:r>
                    <w:rPr>
                      <w:rFonts w:hint="eastAsia"/>
                    </w:rPr>
                    <w:t>6</w:t>
                  </w:r>
                </w:p>
              </w:tc>
              <w:tc>
                <w:tcPr>
                  <w:tcW w:w="625" w:type="pct"/>
                  <w:vAlign w:val="center"/>
                </w:tcPr>
                <w:p>
                  <w:pPr>
                    <w:pStyle w:val="141"/>
                  </w:pPr>
                  <w:r>
                    <w:rPr>
                      <w:rFonts w:hint="eastAsia"/>
                    </w:rPr>
                    <w:t>1</w:t>
                  </w:r>
                  <w:r>
                    <w:t>.0</w:t>
                  </w:r>
                </w:p>
              </w:tc>
              <w:tc>
                <w:tcPr>
                  <w:tcW w:w="625" w:type="pct"/>
                  <w:vAlign w:val="center"/>
                </w:tcPr>
                <w:p>
                  <w:pPr>
                    <w:pStyle w:val="141"/>
                  </w:pPr>
                  <w:r>
                    <w:rPr>
                      <w:rFonts w:hint="eastAsia"/>
                    </w:rPr>
                    <w:t>1</w:t>
                  </w:r>
                  <w:r>
                    <w:t>.0</w:t>
                  </w:r>
                </w:p>
              </w:tc>
              <w:tc>
                <w:tcPr>
                  <w:tcW w:w="625" w:type="pct"/>
                  <w:vAlign w:val="center"/>
                </w:tcPr>
                <w:p>
                  <w:pPr>
                    <w:pStyle w:val="141"/>
                  </w:pPr>
                  <w:r>
                    <w:rPr>
                      <w:rFonts w:hint="eastAsia"/>
                    </w:rPr>
                    <w:t>0</w:t>
                  </w:r>
                  <w:r>
                    <w:t>.2</w:t>
                  </w:r>
                </w:p>
              </w:tc>
            </w:tr>
          </w:tbl>
          <w:p>
            <w:pPr>
              <w:tabs>
                <w:tab w:val="left" w:pos="0"/>
              </w:tabs>
              <w:snapToGrid w:val="0"/>
              <w:spacing w:before="156" w:beforeLines="50" w:line="360" w:lineRule="auto"/>
              <w:ind w:firstLine="482" w:firstLineChars="200"/>
              <w:rPr>
                <w:b/>
                <w:bCs/>
                <w:sz w:val="24"/>
                <w:szCs w:val="24"/>
              </w:rPr>
            </w:pPr>
            <w:r>
              <w:rPr>
                <w:rFonts w:hint="eastAsia"/>
                <w:b/>
                <w:bCs/>
                <w:sz w:val="24"/>
                <w:szCs w:val="24"/>
              </w:rPr>
              <w:t>3、</w:t>
            </w:r>
            <w:r>
              <w:rPr>
                <w:b/>
                <w:bCs/>
                <w:sz w:val="24"/>
                <w:szCs w:val="24"/>
              </w:rPr>
              <w:t>声环境质量</w:t>
            </w:r>
            <w:r>
              <w:rPr>
                <w:rFonts w:hint="eastAsia"/>
                <w:b/>
                <w:bCs/>
                <w:sz w:val="24"/>
                <w:szCs w:val="24"/>
              </w:rPr>
              <w:t>标准</w:t>
            </w:r>
          </w:p>
          <w:p>
            <w:pPr>
              <w:tabs>
                <w:tab w:val="left" w:pos="0"/>
              </w:tabs>
              <w:spacing w:line="360" w:lineRule="auto"/>
              <w:ind w:firstLine="480" w:firstLineChars="200"/>
              <w:rPr>
                <w:sz w:val="24"/>
                <w:szCs w:val="24"/>
              </w:rPr>
            </w:pPr>
            <w:r>
              <w:rPr>
                <w:rFonts w:hint="eastAsia"/>
                <w:sz w:val="24"/>
                <w:szCs w:val="24"/>
              </w:rPr>
              <w:t>项目所在区域声功能区划类别为</w:t>
            </w:r>
            <w:r>
              <w:rPr>
                <w:sz w:val="24"/>
                <w:szCs w:val="24"/>
              </w:rPr>
              <w:t>2</w:t>
            </w:r>
            <w:r>
              <w:rPr>
                <w:rFonts w:hint="eastAsia"/>
                <w:sz w:val="24"/>
                <w:szCs w:val="24"/>
              </w:rPr>
              <w:t>类功能区，</w:t>
            </w:r>
            <w:r>
              <w:rPr>
                <w:sz w:val="24"/>
                <w:szCs w:val="24"/>
              </w:rPr>
              <w:t>标准如下：</w:t>
            </w:r>
          </w:p>
          <w:p>
            <w:pPr>
              <w:pStyle w:val="143"/>
              <w:keepNext w:val="0"/>
              <w:keepLines w:val="0"/>
              <w:pageBreakBefore w:val="0"/>
              <w:widowControl w:val="0"/>
              <w:kinsoku/>
              <w:wordWrap/>
              <w:overflowPunct/>
              <w:topLinePunct w:val="0"/>
              <w:autoSpaceDE/>
              <w:autoSpaceDN/>
              <w:bidi w:val="0"/>
              <w:adjustRightInd/>
              <w:snapToGrid/>
              <w:spacing w:beforeLines="0"/>
              <w:textAlignment w:val="auto"/>
            </w:pPr>
            <w:r>
              <w:rPr>
                <w:rFonts w:hint="eastAsia"/>
              </w:rPr>
              <w:t>表</w:t>
            </w:r>
            <w:r>
              <w:rPr>
                <w:rFonts w:hint="eastAsia"/>
                <w:lang w:val="en-US" w:eastAsia="zh-CN"/>
              </w:rPr>
              <w:t xml:space="preserve">4-3 </w:t>
            </w:r>
            <w:r>
              <w:t xml:space="preserve"> 声环境质量标准  单位：dB（A）</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19"/>
              <w:gridCol w:w="2025"/>
              <w:gridCol w:w="3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1912" w:type="pct"/>
                  <w:vAlign w:val="center"/>
                </w:tcPr>
                <w:p>
                  <w:pPr>
                    <w:pStyle w:val="141"/>
                  </w:pPr>
                  <w:r>
                    <w:t>类别</w:t>
                  </w:r>
                </w:p>
              </w:tc>
              <w:tc>
                <w:tcPr>
                  <w:tcW w:w="1203" w:type="pct"/>
                  <w:vAlign w:val="center"/>
                </w:tcPr>
                <w:p>
                  <w:pPr>
                    <w:pStyle w:val="141"/>
                  </w:pPr>
                  <w:r>
                    <w:t>昼间</w:t>
                  </w:r>
                </w:p>
              </w:tc>
              <w:tc>
                <w:tcPr>
                  <w:tcW w:w="1883" w:type="pct"/>
                  <w:vAlign w:val="center"/>
                </w:tcPr>
                <w:p>
                  <w:pPr>
                    <w:pStyle w:val="141"/>
                  </w:pPr>
                  <w: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912" w:type="pct"/>
                  <w:vAlign w:val="center"/>
                </w:tcPr>
                <w:p>
                  <w:pPr>
                    <w:pStyle w:val="141"/>
                  </w:pPr>
                  <w:r>
                    <w:rPr>
                      <w:rFonts w:hint="eastAsia"/>
                    </w:rPr>
                    <w:t>2</w:t>
                  </w:r>
                  <w:r>
                    <w:t>类</w:t>
                  </w:r>
                </w:p>
              </w:tc>
              <w:tc>
                <w:tcPr>
                  <w:tcW w:w="1203" w:type="pct"/>
                  <w:vAlign w:val="center"/>
                </w:tcPr>
                <w:p>
                  <w:pPr>
                    <w:pStyle w:val="141"/>
                  </w:pPr>
                  <w:r>
                    <w:t>60</w:t>
                  </w:r>
                </w:p>
              </w:tc>
              <w:tc>
                <w:tcPr>
                  <w:tcW w:w="1883" w:type="pct"/>
                  <w:vAlign w:val="center"/>
                </w:tcPr>
                <w:p>
                  <w:pPr>
                    <w:pStyle w:val="141"/>
                  </w:pPr>
                  <w:r>
                    <w:t>50</w:t>
                  </w:r>
                </w:p>
              </w:tc>
            </w:tr>
          </w:tbl>
          <w:p>
            <w:pPr>
              <w:adjustRightInd/>
              <w:spacing w:line="240" w:lineRule="auto"/>
              <w:jc w:val="left"/>
            </w:pPr>
          </w:p>
          <w:p>
            <w:pPr>
              <w:pStyle w:val="2"/>
              <w:spacing w:line="360" w:lineRule="auto"/>
              <w:ind w:left="420" w:leftChars="200"/>
              <w:rPr>
                <w:b/>
                <w:bCs/>
              </w:rPr>
            </w:pPr>
            <w:r>
              <w:rPr>
                <w:rFonts w:hint="eastAsia"/>
                <w:b/>
                <w:bCs/>
              </w:rPr>
              <w:t>4、地下水环境质量标准</w:t>
            </w:r>
          </w:p>
          <w:p>
            <w:pPr>
              <w:pStyle w:val="2"/>
              <w:spacing w:line="360" w:lineRule="auto"/>
              <w:ind w:firstLine="480" w:firstLineChars="200"/>
              <w:rPr>
                <w:rFonts w:ascii="Times New Roman" w:cs="Times New Roman"/>
              </w:rPr>
            </w:pPr>
            <w:r>
              <w:rPr>
                <w:rFonts w:ascii="Times New Roman" w:cs="Times New Roman"/>
              </w:rPr>
              <w:t>地下水环境执行《地下水质量标准》（GB/T14848-2017）中Ⅲ类标准，详见表</w:t>
            </w:r>
            <w:r>
              <w:rPr>
                <w:rFonts w:hint="eastAsia" w:ascii="Times New Roman" w:cs="Times New Roman"/>
                <w:lang w:val="en-US" w:eastAsia="zh-CN"/>
              </w:rPr>
              <w:t>4-4</w:t>
            </w:r>
            <w:r>
              <w:rPr>
                <w:rFonts w:ascii="Times New Roman" w:cs="Times New Roman"/>
              </w:rPr>
              <w:t>。</w:t>
            </w:r>
          </w:p>
          <w:p>
            <w:pPr>
              <w:pStyle w:val="13"/>
              <w:tabs>
                <w:tab w:val="left" w:pos="-2793"/>
              </w:tabs>
              <w:snapToGrid w:val="0"/>
              <w:spacing w:before="156" w:beforeLines="50" w:after="0" w:line="360" w:lineRule="auto"/>
              <w:ind w:firstLine="482" w:firstLineChars="200"/>
              <w:contextualSpacing/>
              <w:jc w:val="center"/>
              <w:rPr>
                <w:b/>
                <w:sz w:val="24"/>
              </w:rPr>
            </w:pPr>
            <w:r>
              <w:rPr>
                <w:rFonts w:hint="eastAsia"/>
                <w:b/>
                <w:sz w:val="24"/>
              </w:rPr>
              <w:t>表</w:t>
            </w:r>
            <w:r>
              <w:rPr>
                <w:rFonts w:hint="eastAsia"/>
                <w:b/>
                <w:sz w:val="24"/>
                <w:lang w:val="en-US" w:eastAsia="zh-CN"/>
              </w:rPr>
              <w:t xml:space="preserve">4-4 </w:t>
            </w:r>
            <w:r>
              <w:rPr>
                <w:rFonts w:hint="eastAsia"/>
                <w:b/>
                <w:sz w:val="24"/>
              </w:rPr>
              <w:t xml:space="preserve"> 《地下水质量标准》（GB/T14848-2017）（单位：mg/L）</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036"/>
              <w:gridCol w:w="1050"/>
              <w:gridCol w:w="1169"/>
              <w:gridCol w:w="833"/>
              <w:gridCol w:w="1334"/>
              <w:gridCol w:w="836"/>
              <w:gridCol w:w="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9" w:type="dxa"/>
                  <w:tcBorders>
                    <w:tl2br w:val="nil"/>
                    <w:tr2bl w:val="nil"/>
                  </w:tcBorders>
                  <w:vAlign w:val="center"/>
                </w:tcPr>
                <w:p>
                  <w:pPr>
                    <w:pStyle w:val="13"/>
                    <w:tabs>
                      <w:tab w:val="left" w:pos="-2793"/>
                    </w:tabs>
                    <w:spacing w:after="0"/>
                    <w:jc w:val="center"/>
                    <w:rPr>
                      <w:b/>
                      <w:szCs w:val="21"/>
                    </w:rPr>
                  </w:pPr>
                  <w:r>
                    <w:rPr>
                      <w:rFonts w:hint="eastAsia"/>
                      <w:b/>
                      <w:szCs w:val="21"/>
                    </w:rPr>
                    <w:t>项目</w:t>
                  </w:r>
                </w:p>
              </w:tc>
              <w:tc>
                <w:tcPr>
                  <w:tcW w:w="938" w:type="dxa"/>
                  <w:tcBorders>
                    <w:tl2br w:val="nil"/>
                    <w:tr2bl w:val="nil"/>
                  </w:tcBorders>
                  <w:vAlign w:val="center"/>
                </w:tcPr>
                <w:p>
                  <w:pPr>
                    <w:pStyle w:val="13"/>
                    <w:tabs>
                      <w:tab w:val="left" w:pos="-2793"/>
                    </w:tabs>
                    <w:spacing w:after="0"/>
                    <w:jc w:val="center"/>
                    <w:rPr>
                      <w:b/>
                      <w:szCs w:val="21"/>
                    </w:rPr>
                  </w:pPr>
                  <w:r>
                    <w:rPr>
                      <w:rFonts w:hint="eastAsia"/>
                      <w:b/>
                      <w:szCs w:val="21"/>
                    </w:rPr>
                    <w:t>pH</w:t>
                  </w:r>
                </w:p>
              </w:tc>
              <w:tc>
                <w:tcPr>
                  <w:tcW w:w="950" w:type="dxa"/>
                  <w:tcBorders>
                    <w:tl2br w:val="nil"/>
                    <w:tr2bl w:val="nil"/>
                  </w:tcBorders>
                  <w:vAlign w:val="center"/>
                </w:tcPr>
                <w:p>
                  <w:pPr>
                    <w:pStyle w:val="13"/>
                    <w:tabs>
                      <w:tab w:val="left" w:pos="-2793"/>
                    </w:tabs>
                    <w:spacing w:after="0"/>
                    <w:jc w:val="center"/>
                    <w:rPr>
                      <w:b/>
                      <w:szCs w:val="21"/>
                    </w:rPr>
                  </w:pPr>
                  <w:r>
                    <w:rPr>
                      <w:rFonts w:hint="eastAsia"/>
                      <w:b/>
                      <w:szCs w:val="21"/>
                    </w:rPr>
                    <w:t>总硬度</w:t>
                  </w:r>
                </w:p>
              </w:tc>
              <w:tc>
                <w:tcPr>
                  <w:tcW w:w="1058" w:type="dxa"/>
                  <w:tcBorders>
                    <w:tl2br w:val="nil"/>
                    <w:tr2bl w:val="nil"/>
                  </w:tcBorders>
                  <w:vAlign w:val="center"/>
                </w:tcPr>
                <w:p>
                  <w:pPr>
                    <w:pStyle w:val="13"/>
                    <w:tabs>
                      <w:tab w:val="left" w:pos="-2793"/>
                    </w:tabs>
                    <w:spacing w:after="0"/>
                    <w:jc w:val="center"/>
                    <w:rPr>
                      <w:b/>
                      <w:szCs w:val="21"/>
                    </w:rPr>
                  </w:pPr>
                  <w:r>
                    <w:rPr>
                      <w:rFonts w:hint="eastAsia"/>
                      <w:b/>
                      <w:szCs w:val="21"/>
                    </w:rPr>
                    <w:t>硫酸盐</w:t>
                  </w:r>
                </w:p>
              </w:tc>
              <w:tc>
                <w:tcPr>
                  <w:tcW w:w="754" w:type="dxa"/>
                  <w:tcBorders>
                    <w:tl2br w:val="nil"/>
                    <w:tr2bl w:val="nil"/>
                  </w:tcBorders>
                  <w:vAlign w:val="center"/>
                </w:tcPr>
                <w:p>
                  <w:pPr>
                    <w:pStyle w:val="13"/>
                    <w:tabs>
                      <w:tab w:val="left" w:pos="-2793"/>
                    </w:tabs>
                    <w:spacing w:after="0"/>
                    <w:jc w:val="center"/>
                    <w:rPr>
                      <w:b/>
                      <w:szCs w:val="21"/>
                    </w:rPr>
                  </w:pPr>
                  <w:r>
                    <w:rPr>
                      <w:rFonts w:hint="eastAsia"/>
                      <w:b/>
                      <w:szCs w:val="21"/>
                    </w:rPr>
                    <w:t>氯化物</w:t>
                  </w:r>
                </w:p>
              </w:tc>
              <w:tc>
                <w:tcPr>
                  <w:tcW w:w="1207" w:type="dxa"/>
                  <w:tcBorders>
                    <w:tl2br w:val="nil"/>
                    <w:tr2bl w:val="nil"/>
                  </w:tcBorders>
                  <w:vAlign w:val="center"/>
                </w:tcPr>
                <w:p>
                  <w:pPr>
                    <w:pStyle w:val="13"/>
                    <w:tabs>
                      <w:tab w:val="left" w:pos="-2793"/>
                    </w:tabs>
                    <w:spacing w:after="0"/>
                    <w:jc w:val="center"/>
                    <w:rPr>
                      <w:b/>
                      <w:szCs w:val="21"/>
                    </w:rPr>
                  </w:pPr>
                  <w:r>
                    <w:rPr>
                      <w:rFonts w:hint="eastAsia"/>
                      <w:b/>
                      <w:szCs w:val="21"/>
                    </w:rPr>
                    <w:t>阴离子表面活性剂</w:t>
                  </w:r>
                </w:p>
              </w:tc>
              <w:tc>
                <w:tcPr>
                  <w:tcW w:w="757" w:type="dxa"/>
                  <w:tcBorders>
                    <w:tl2br w:val="nil"/>
                    <w:tr2bl w:val="nil"/>
                  </w:tcBorders>
                  <w:vAlign w:val="center"/>
                </w:tcPr>
                <w:p>
                  <w:pPr>
                    <w:pStyle w:val="13"/>
                    <w:tabs>
                      <w:tab w:val="left" w:pos="-2793"/>
                    </w:tabs>
                    <w:spacing w:after="0"/>
                    <w:jc w:val="center"/>
                    <w:rPr>
                      <w:b/>
                      <w:szCs w:val="21"/>
                    </w:rPr>
                  </w:pPr>
                  <w:r>
                    <w:rPr>
                      <w:rFonts w:hint="eastAsia"/>
                      <w:b/>
                      <w:szCs w:val="21"/>
                    </w:rPr>
                    <w:t>挥发性酚</w:t>
                  </w:r>
                </w:p>
              </w:tc>
              <w:tc>
                <w:tcPr>
                  <w:tcW w:w="852" w:type="dxa"/>
                  <w:tcBorders>
                    <w:tl2br w:val="nil"/>
                    <w:tr2bl w:val="nil"/>
                  </w:tcBorders>
                  <w:vAlign w:val="center"/>
                </w:tcPr>
                <w:p>
                  <w:pPr>
                    <w:pStyle w:val="13"/>
                    <w:tabs>
                      <w:tab w:val="left" w:pos="-2793"/>
                    </w:tabs>
                    <w:spacing w:after="0"/>
                    <w:jc w:val="center"/>
                    <w:rPr>
                      <w:b/>
                      <w:szCs w:val="21"/>
                    </w:rPr>
                  </w:pPr>
                  <w:r>
                    <w:rPr>
                      <w:rFonts w:hint="eastAsia"/>
                      <w:b/>
                      <w:szCs w:val="21"/>
                    </w:rPr>
                    <w:t>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9" w:type="dxa"/>
                  <w:tcBorders>
                    <w:tl2br w:val="nil"/>
                    <w:tr2bl w:val="nil"/>
                  </w:tcBorders>
                  <w:vAlign w:val="center"/>
                </w:tcPr>
                <w:p>
                  <w:pPr>
                    <w:pStyle w:val="13"/>
                    <w:tabs>
                      <w:tab w:val="left" w:pos="-2793"/>
                    </w:tabs>
                    <w:spacing w:after="0"/>
                    <w:jc w:val="center"/>
                    <w:rPr>
                      <w:szCs w:val="21"/>
                    </w:rPr>
                  </w:pPr>
                  <w:r>
                    <w:rPr>
                      <w:rFonts w:hint="eastAsia" w:ascii="宋体" w:hAnsi="宋体" w:cs="宋体"/>
                      <w:szCs w:val="21"/>
                    </w:rPr>
                    <w:t>Ⅲ</w:t>
                  </w:r>
                  <w:r>
                    <w:rPr>
                      <w:rFonts w:hint="eastAsia"/>
                      <w:szCs w:val="21"/>
                    </w:rPr>
                    <w:t>类标准值</w:t>
                  </w:r>
                </w:p>
              </w:tc>
              <w:tc>
                <w:tcPr>
                  <w:tcW w:w="938" w:type="dxa"/>
                  <w:tcBorders>
                    <w:tl2br w:val="nil"/>
                    <w:tr2bl w:val="nil"/>
                  </w:tcBorders>
                  <w:vAlign w:val="center"/>
                </w:tcPr>
                <w:p>
                  <w:pPr>
                    <w:pStyle w:val="13"/>
                    <w:tabs>
                      <w:tab w:val="left" w:pos="-2793"/>
                    </w:tabs>
                    <w:spacing w:after="0"/>
                    <w:jc w:val="center"/>
                    <w:rPr>
                      <w:szCs w:val="21"/>
                    </w:rPr>
                  </w:pPr>
                  <w:r>
                    <w:rPr>
                      <w:rFonts w:hint="eastAsia"/>
                      <w:szCs w:val="21"/>
                    </w:rPr>
                    <w:t>6.5~8.5</w:t>
                  </w:r>
                </w:p>
              </w:tc>
              <w:tc>
                <w:tcPr>
                  <w:tcW w:w="950" w:type="dxa"/>
                  <w:tcBorders>
                    <w:tl2br w:val="nil"/>
                    <w:tr2bl w:val="nil"/>
                  </w:tcBorders>
                  <w:vAlign w:val="center"/>
                </w:tcPr>
                <w:p>
                  <w:pPr>
                    <w:pStyle w:val="13"/>
                    <w:tabs>
                      <w:tab w:val="left" w:pos="-2793"/>
                    </w:tabs>
                    <w:spacing w:after="0"/>
                    <w:jc w:val="center"/>
                    <w:rPr>
                      <w:szCs w:val="21"/>
                    </w:rPr>
                  </w:pPr>
                  <w:r>
                    <w:rPr>
                      <w:rFonts w:hint="eastAsia"/>
                      <w:szCs w:val="21"/>
                    </w:rPr>
                    <w:t>≤450</w:t>
                  </w:r>
                </w:p>
              </w:tc>
              <w:tc>
                <w:tcPr>
                  <w:tcW w:w="1058" w:type="dxa"/>
                  <w:tcBorders>
                    <w:tl2br w:val="nil"/>
                    <w:tr2bl w:val="nil"/>
                  </w:tcBorders>
                  <w:vAlign w:val="center"/>
                </w:tcPr>
                <w:p>
                  <w:pPr>
                    <w:pStyle w:val="13"/>
                    <w:tabs>
                      <w:tab w:val="left" w:pos="-2793"/>
                    </w:tabs>
                    <w:spacing w:after="0"/>
                    <w:jc w:val="center"/>
                    <w:rPr>
                      <w:szCs w:val="21"/>
                    </w:rPr>
                  </w:pPr>
                  <w:r>
                    <w:rPr>
                      <w:rFonts w:hint="eastAsia"/>
                      <w:szCs w:val="21"/>
                    </w:rPr>
                    <w:t>≤250</w:t>
                  </w:r>
                </w:p>
              </w:tc>
              <w:tc>
                <w:tcPr>
                  <w:tcW w:w="754" w:type="dxa"/>
                  <w:tcBorders>
                    <w:tl2br w:val="nil"/>
                    <w:tr2bl w:val="nil"/>
                  </w:tcBorders>
                  <w:vAlign w:val="center"/>
                </w:tcPr>
                <w:p>
                  <w:pPr>
                    <w:pStyle w:val="13"/>
                    <w:tabs>
                      <w:tab w:val="left" w:pos="-2793"/>
                    </w:tabs>
                    <w:spacing w:after="0"/>
                    <w:jc w:val="center"/>
                    <w:rPr>
                      <w:szCs w:val="21"/>
                    </w:rPr>
                  </w:pPr>
                  <w:r>
                    <w:rPr>
                      <w:rFonts w:hint="eastAsia"/>
                      <w:szCs w:val="21"/>
                    </w:rPr>
                    <w:t>≤250</w:t>
                  </w:r>
                </w:p>
              </w:tc>
              <w:tc>
                <w:tcPr>
                  <w:tcW w:w="1207" w:type="dxa"/>
                  <w:tcBorders>
                    <w:tl2br w:val="nil"/>
                    <w:tr2bl w:val="nil"/>
                  </w:tcBorders>
                  <w:vAlign w:val="center"/>
                </w:tcPr>
                <w:p>
                  <w:pPr>
                    <w:pStyle w:val="13"/>
                    <w:tabs>
                      <w:tab w:val="left" w:pos="-2793"/>
                    </w:tabs>
                    <w:spacing w:after="0"/>
                    <w:jc w:val="center"/>
                    <w:rPr>
                      <w:szCs w:val="21"/>
                    </w:rPr>
                  </w:pPr>
                  <w:r>
                    <w:rPr>
                      <w:rFonts w:hint="eastAsia"/>
                      <w:szCs w:val="21"/>
                    </w:rPr>
                    <w:t>≤0.3</w:t>
                  </w:r>
                </w:p>
              </w:tc>
              <w:tc>
                <w:tcPr>
                  <w:tcW w:w="757" w:type="dxa"/>
                  <w:tcBorders>
                    <w:tl2br w:val="nil"/>
                    <w:tr2bl w:val="nil"/>
                  </w:tcBorders>
                  <w:vAlign w:val="center"/>
                </w:tcPr>
                <w:p>
                  <w:pPr>
                    <w:pStyle w:val="13"/>
                    <w:tabs>
                      <w:tab w:val="left" w:pos="-2793"/>
                    </w:tabs>
                    <w:spacing w:after="0"/>
                    <w:jc w:val="center"/>
                    <w:rPr>
                      <w:szCs w:val="21"/>
                    </w:rPr>
                  </w:pPr>
                  <w:r>
                    <w:rPr>
                      <w:rFonts w:hint="eastAsia"/>
                      <w:szCs w:val="21"/>
                    </w:rPr>
                    <w:t>≤0.002</w:t>
                  </w:r>
                </w:p>
              </w:tc>
              <w:tc>
                <w:tcPr>
                  <w:tcW w:w="852" w:type="dxa"/>
                  <w:tcBorders>
                    <w:tl2br w:val="nil"/>
                    <w:tr2bl w:val="nil"/>
                  </w:tcBorders>
                  <w:vAlign w:val="center"/>
                </w:tcPr>
                <w:p>
                  <w:pPr>
                    <w:pStyle w:val="13"/>
                    <w:tabs>
                      <w:tab w:val="left" w:pos="-2793"/>
                    </w:tabs>
                    <w:spacing w:after="0"/>
                    <w:jc w:val="center"/>
                    <w:rPr>
                      <w:szCs w:val="21"/>
                    </w:rPr>
                  </w:pPr>
                  <w:r>
                    <w:rPr>
                      <w:rFonts w:hint="eastAsia"/>
                      <w:szCs w:val="21"/>
                    </w:rPr>
                    <w:t>≤0.3</w:t>
                  </w:r>
                </w:p>
              </w:tc>
            </w:tr>
          </w:tbl>
          <w:p>
            <w:pPr>
              <w:pStyle w:val="2"/>
              <w:spacing w:line="360" w:lineRule="auto"/>
              <w:ind w:firstLine="480" w:firstLineChars="200"/>
            </w:pPr>
          </w:p>
          <w:p>
            <w:pPr>
              <w:pStyle w:val="2"/>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1" w:type="pct"/>
            <w:tcBorders>
              <w:tl2br w:val="nil"/>
              <w:tr2bl w:val="nil"/>
            </w:tcBorders>
            <w:shd w:val="clear" w:color="auto" w:fill="auto"/>
            <w:vAlign w:val="center"/>
          </w:tcPr>
          <w:p>
            <w:pPr>
              <w:adjustRightInd/>
              <w:spacing w:line="240" w:lineRule="auto"/>
              <w:jc w:val="center"/>
              <w:rPr>
                <w:b/>
                <w:kern w:val="21"/>
                <w:sz w:val="28"/>
              </w:rPr>
            </w:pPr>
            <w:r>
              <w:rPr>
                <w:rFonts w:hAnsi="宋体"/>
                <w:b/>
                <w:kern w:val="21"/>
                <w:sz w:val="28"/>
              </w:rPr>
              <w:t>污</w:t>
            </w:r>
          </w:p>
          <w:p>
            <w:pPr>
              <w:adjustRightInd/>
              <w:spacing w:line="240" w:lineRule="auto"/>
              <w:jc w:val="center"/>
              <w:rPr>
                <w:b/>
                <w:kern w:val="21"/>
                <w:sz w:val="28"/>
              </w:rPr>
            </w:pPr>
            <w:r>
              <w:rPr>
                <w:rFonts w:hAnsi="宋体"/>
                <w:b/>
                <w:kern w:val="21"/>
                <w:sz w:val="28"/>
              </w:rPr>
              <w:t>染</w:t>
            </w:r>
          </w:p>
          <w:p>
            <w:pPr>
              <w:adjustRightInd/>
              <w:spacing w:line="240" w:lineRule="auto"/>
              <w:jc w:val="center"/>
              <w:rPr>
                <w:b/>
                <w:kern w:val="21"/>
                <w:sz w:val="28"/>
              </w:rPr>
            </w:pPr>
            <w:r>
              <w:rPr>
                <w:rFonts w:hAnsi="宋体"/>
                <w:b/>
                <w:kern w:val="21"/>
                <w:sz w:val="28"/>
              </w:rPr>
              <w:t>物</w:t>
            </w:r>
          </w:p>
          <w:p>
            <w:pPr>
              <w:adjustRightInd/>
              <w:spacing w:line="240" w:lineRule="auto"/>
              <w:jc w:val="center"/>
              <w:rPr>
                <w:b/>
                <w:kern w:val="21"/>
                <w:sz w:val="28"/>
              </w:rPr>
            </w:pPr>
            <w:r>
              <w:rPr>
                <w:rFonts w:hAnsi="宋体"/>
                <w:b/>
                <w:kern w:val="21"/>
                <w:sz w:val="28"/>
              </w:rPr>
              <w:t>排</w:t>
            </w:r>
          </w:p>
          <w:p>
            <w:pPr>
              <w:adjustRightInd/>
              <w:spacing w:line="240" w:lineRule="auto"/>
              <w:jc w:val="center"/>
              <w:rPr>
                <w:b/>
                <w:kern w:val="21"/>
                <w:sz w:val="28"/>
              </w:rPr>
            </w:pPr>
            <w:r>
              <w:rPr>
                <w:rFonts w:hAnsi="宋体"/>
                <w:b/>
                <w:kern w:val="21"/>
                <w:sz w:val="28"/>
              </w:rPr>
              <w:t>放</w:t>
            </w:r>
          </w:p>
          <w:p>
            <w:pPr>
              <w:adjustRightInd/>
              <w:spacing w:line="240" w:lineRule="auto"/>
              <w:jc w:val="center"/>
              <w:rPr>
                <w:b/>
                <w:kern w:val="21"/>
                <w:sz w:val="28"/>
              </w:rPr>
            </w:pPr>
            <w:r>
              <w:rPr>
                <w:rFonts w:hAnsi="宋体"/>
                <w:b/>
                <w:kern w:val="21"/>
                <w:sz w:val="28"/>
              </w:rPr>
              <w:t>标</w:t>
            </w:r>
          </w:p>
          <w:p>
            <w:pPr>
              <w:adjustRightInd/>
              <w:spacing w:line="240" w:lineRule="auto"/>
              <w:jc w:val="center"/>
              <w:rPr>
                <w:rFonts w:hAnsi="宋体"/>
                <w:b/>
                <w:kern w:val="21"/>
                <w:sz w:val="28"/>
              </w:rPr>
            </w:pPr>
            <w:r>
              <w:rPr>
                <w:rFonts w:hAnsi="宋体"/>
                <w:b/>
                <w:kern w:val="21"/>
                <w:sz w:val="28"/>
              </w:rPr>
              <w:t>准</w:t>
            </w:r>
          </w:p>
        </w:tc>
        <w:tc>
          <w:tcPr>
            <w:tcW w:w="4709" w:type="pct"/>
            <w:tcBorders>
              <w:tl2br w:val="nil"/>
              <w:tr2bl w:val="nil"/>
            </w:tcBorders>
            <w:shd w:val="clear" w:color="auto" w:fill="auto"/>
            <w:vAlign w:val="center"/>
          </w:tcPr>
          <w:p>
            <w:pPr>
              <w:tabs>
                <w:tab w:val="left" w:pos="0"/>
              </w:tabs>
              <w:spacing w:line="360" w:lineRule="auto"/>
              <w:ind w:firstLine="480" w:firstLineChars="200"/>
              <w:rPr>
                <w:kern w:val="21"/>
                <w:sz w:val="24"/>
              </w:rPr>
            </w:pPr>
            <w:r>
              <w:rPr>
                <w:kern w:val="21"/>
                <w:sz w:val="24"/>
              </w:rPr>
              <w:t>（1）废气排放标准</w:t>
            </w:r>
          </w:p>
          <w:p>
            <w:pPr>
              <w:tabs>
                <w:tab w:val="left" w:pos="0"/>
              </w:tabs>
              <w:spacing w:line="360" w:lineRule="auto"/>
              <w:ind w:firstLine="480" w:firstLineChars="200"/>
              <w:rPr>
                <w:kern w:val="21"/>
                <w:sz w:val="24"/>
              </w:rPr>
            </w:pPr>
            <w:r>
              <w:rPr>
                <w:rFonts w:hint="eastAsia"/>
                <w:kern w:val="21"/>
                <w:sz w:val="24"/>
              </w:rPr>
              <w:t>施工期：施工废气执行广东省地方标准《大气污染物排放限值》（DB44/27-2001）第二时段无组织监控浓度限值。</w:t>
            </w:r>
          </w:p>
          <w:p>
            <w:pPr>
              <w:tabs>
                <w:tab w:val="left" w:pos="0"/>
              </w:tabs>
              <w:spacing w:line="360" w:lineRule="auto"/>
              <w:ind w:firstLine="480" w:firstLineChars="200"/>
              <w:rPr>
                <w:kern w:val="21"/>
                <w:sz w:val="24"/>
              </w:rPr>
            </w:pPr>
            <w:r>
              <w:rPr>
                <w:rFonts w:hint="eastAsia"/>
                <w:kern w:val="21"/>
                <w:sz w:val="24"/>
              </w:rPr>
              <w:t>营运期：发电机尾气、汽车尾气执行广东省地方标准《大气污染物排放限值》</w:t>
            </w:r>
          </w:p>
          <w:p>
            <w:pPr>
              <w:tabs>
                <w:tab w:val="left" w:pos="0"/>
              </w:tabs>
              <w:spacing w:line="360" w:lineRule="auto"/>
              <w:rPr>
                <w:rStyle w:val="138"/>
              </w:rPr>
            </w:pPr>
            <w:r>
              <w:rPr>
                <w:rFonts w:hint="eastAsia"/>
                <w:kern w:val="21"/>
                <w:sz w:val="24"/>
              </w:rPr>
              <w:t>（DB44/27-2001）第二时段二级标准及无组织监控浓度限值；加油站回收装置排气口的油气（非甲烷总烃）排放执行《挥发性有机物无组织排放控制标准》（GB37822-2019），同时满足《加油站大气污染物排放标准》（GB20952-2007），处理装置的油气排放浓度应≤25mg/m</w:t>
            </w:r>
            <w:r>
              <w:rPr>
                <w:rFonts w:hint="eastAsia"/>
                <w:kern w:val="21"/>
                <w:sz w:val="24"/>
                <w:vertAlign w:val="superscript"/>
              </w:rPr>
              <w:t>3</w:t>
            </w:r>
            <w:r>
              <w:rPr>
                <w:rFonts w:hint="eastAsia"/>
                <w:kern w:val="21"/>
                <w:sz w:val="24"/>
              </w:rPr>
              <w:t>，详见</w:t>
            </w:r>
            <w:r>
              <w:rPr>
                <w:rFonts w:hint="eastAsia"/>
                <w:kern w:val="21"/>
                <w:sz w:val="24"/>
                <w:szCs w:val="24"/>
                <w:lang w:val="en-US" w:eastAsia="zh-CN"/>
              </w:rPr>
              <w:t>表4-5</w:t>
            </w:r>
            <w:r>
              <w:rPr>
                <w:rStyle w:val="138"/>
              </w:rPr>
              <w:t>：</w:t>
            </w:r>
          </w:p>
          <w:p>
            <w:pPr>
              <w:pStyle w:val="143"/>
              <w:keepNext w:val="0"/>
              <w:keepLines w:val="0"/>
              <w:pageBreakBefore w:val="0"/>
              <w:widowControl w:val="0"/>
              <w:kinsoku/>
              <w:wordWrap/>
              <w:overflowPunct/>
              <w:topLinePunct w:val="0"/>
              <w:autoSpaceDE/>
              <w:autoSpaceDN/>
              <w:bidi w:val="0"/>
              <w:adjustRightInd/>
              <w:snapToGrid/>
              <w:spacing w:beforeLines="0"/>
              <w:textAlignment w:val="auto"/>
              <w:rPr>
                <w:bCs/>
                <w:szCs w:val="24"/>
              </w:rPr>
            </w:pPr>
            <w:bookmarkStart w:id="20" w:name="_Ref45525025"/>
            <w:r>
              <w:rPr>
                <w:rFonts w:hint="eastAsia"/>
              </w:rPr>
              <w:t>表</w:t>
            </w:r>
            <w:bookmarkEnd w:id="20"/>
            <w:r>
              <w:rPr>
                <w:rFonts w:hint="eastAsia"/>
                <w:lang w:val="en-US" w:eastAsia="zh-CN"/>
              </w:rPr>
              <w:t xml:space="preserve">4-5 </w:t>
            </w:r>
            <w:r>
              <w:rPr>
                <w:rFonts w:hint="eastAsia"/>
              </w:rPr>
              <w:t xml:space="preserve">   </w:t>
            </w:r>
            <w:r>
              <w:rPr>
                <w:bCs/>
                <w:szCs w:val="24"/>
              </w:rPr>
              <w:t xml:space="preserve"> 废气排放标准</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1411"/>
              <w:gridCol w:w="1529"/>
              <w:gridCol w:w="1606"/>
              <w:gridCol w:w="3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0" w:type="auto"/>
                  <w:shd w:val="clear" w:color="auto" w:fill="auto"/>
                  <w:vAlign w:val="center"/>
                </w:tcPr>
                <w:p>
                  <w:pPr>
                    <w:pStyle w:val="141"/>
                  </w:pPr>
                  <w:r>
                    <w:rPr>
                      <w:rFonts w:hint="eastAsia"/>
                    </w:rPr>
                    <w:t>污染物</w:t>
                  </w:r>
                </w:p>
              </w:tc>
              <w:tc>
                <w:tcPr>
                  <w:tcW w:w="0" w:type="auto"/>
                  <w:shd w:val="clear" w:color="auto" w:fill="auto"/>
                  <w:vAlign w:val="center"/>
                </w:tcPr>
                <w:p>
                  <w:pPr>
                    <w:pStyle w:val="141"/>
                  </w:pPr>
                  <w:r>
                    <w:rPr>
                      <w:rFonts w:hint="eastAsia"/>
                    </w:rPr>
                    <w:t>最高允许排放浓度</w:t>
                  </w:r>
                </w:p>
                <w:p>
                  <w:pPr>
                    <w:pStyle w:val="141"/>
                  </w:pPr>
                  <w:r>
                    <w:rPr>
                      <w:rFonts w:hint="eastAsia"/>
                    </w:rPr>
                    <w:t>（</w:t>
                  </w:r>
                  <w:r>
                    <w:t>mg/m</w:t>
                  </w:r>
                  <w:r>
                    <w:rPr>
                      <w:vertAlign w:val="superscript"/>
                    </w:rPr>
                    <w:t>3</w:t>
                  </w:r>
                  <w:r>
                    <w:rPr>
                      <w:rFonts w:hint="eastAsia"/>
                    </w:rPr>
                    <w:t>）</w:t>
                  </w:r>
                </w:p>
              </w:tc>
              <w:tc>
                <w:tcPr>
                  <w:tcW w:w="0" w:type="auto"/>
                  <w:shd w:val="clear" w:color="auto" w:fill="auto"/>
                  <w:vAlign w:val="center"/>
                </w:tcPr>
                <w:p>
                  <w:pPr>
                    <w:pStyle w:val="141"/>
                  </w:pPr>
                  <w:r>
                    <w:rPr>
                      <w:rFonts w:hint="eastAsia"/>
                    </w:rPr>
                    <w:t>最高允许排放速率（</w:t>
                  </w:r>
                  <w:r>
                    <w:t>kg/h</w:t>
                  </w:r>
                  <w:r>
                    <w:rPr>
                      <w:rFonts w:hint="eastAsia"/>
                    </w:rPr>
                    <w:t>）</w:t>
                  </w:r>
                </w:p>
              </w:tc>
              <w:tc>
                <w:tcPr>
                  <w:tcW w:w="0" w:type="auto"/>
                  <w:shd w:val="clear" w:color="auto" w:fill="auto"/>
                  <w:vAlign w:val="center"/>
                </w:tcPr>
                <w:p>
                  <w:pPr>
                    <w:pStyle w:val="141"/>
                  </w:pPr>
                  <w:r>
                    <w:rPr>
                      <w:rFonts w:hint="eastAsia"/>
                    </w:rPr>
                    <w:t>无组织排放监控浓度限值</w:t>
                  </w:r>
                </w:p>
                <w:p>
                  <w:pPr>
                    <w:pStyle w:val="141"/>
                  </w:pPr>
                  <w:r>
                    <w:rPr>
                      <w:rFonts w:hint="eastAsia"/>
                    </w:rPr>
                    <w:t>（</w:t>
                  </w:r>
                  <w:r>
                    <w:t>mg/m</w:t>
                  </w:r>
                  <w:r>
                    <w:rPr>
                      <w:vertAlign w:val="superscript"/>
                    </w:rPr>
                    <w:t>3</w:t>
                  </w:r>
                  <w:r>
                    <w:rPr>
                      <w:rFonts w:hint="eastAsia"/>
                    </w:rPr>
                    <w:t>）</w:t>
                  </w:r>
                </w:p>
              </w:tc>
              <w:tc>
                <w:tcPr>
                  <w:tcW w:w="0" w:type="auto"/>
                  <w:shd w:val="clear" w:color="auto" w:fill="auto"/>
                  <w:vAlign w:val="center"/>
                </w:tcPr>
                <w:p>
                  <w:pPr>
                    <w:pStyle w:val="141"/>
                  </w:pPr>
                  <w:r>
                    <w:rPr>
                      <w:rFonts w:hint="eastAsia"/>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0" w:type="auto"/>
                  <w:shd w:val="clear" w:color="auto" w:fill="auto"/>
                  <w:vAlign w:val="center"/>
                </w:tcPr>
                <w:p>
                  <w:pPr>
                    <w:pStyle w:val="141"/>
                  </w:pPr>
                  <w:r>
                    <w:rPr>
                      <w:rFonts w:hint="eastAsia"/>
                    </w:rPr>
                    <w:t>非甲烷总烃</w:t>
                  </w:r>
                </w:p>
              </w:tc>
              <w:tc>
                <w:tcPr>
                  <w:tcW w:w="0" w:type="auto"/>
                  <w:shd w:val="clear" w:color="auto" w:fill="auto"/>
                  <w:vAlign w:val="center"/>
                </w:tcPr>
                <w:p>
                  <w:pPr>
                    <w:pStyle w:val="141"/>
                    <w:rPr>
                      <w:rFonts w:eastAsia="等线"/>
                    </w:rPr>
                  </w:pPr>
                  <w:r>
                    <w:rPr>
                      <w:rFonts w:eastAsia="等线"/>
                    </w:rPr>
                    <w:t>120</w:t>
                  </w:r>
                </w:p>
              </w:tc>
              <w:tc>
                <w:tcPr>
                  <w:tcW w:w="0" w:type="auto"/>
                  <w:shd w:val="clear" w:color="auto" w:fill="auto"/>
                  <w:vAlign w:val="center"/>
                </w:tcPr>
                <w:p>
                  <w:pPr>
                    <w:pStyle w:val="141"/>
                    <w:rPr>
                      <w:rFonts w:eastAsia="等线"/>
                    </w:rPr>
                  </w:pPr>
                  <w:r>
                    <w:rPr>
                      <w:rFonts w:eastAsia="等线"/>
                    </w:rPr>
                    <w:t>8.4</w:t>
                  </w:r>
                  <w:r>
                    <w:rPr>
                      <w:rFonts w:hint="eastAsia"/>
                    </w:rPr>
                    <w:t>（排气筒高</w:t>
                  </w:r>
                </w:p>
                <w:p>
                  <w:pPr>
                    <w:pStyle w:val="141"/>
                    <w:rPr>
                      <w:rFonts w:eastAsia="等线"/>
                    </w:rPr>
                  </w:pPr>
                  <w:r>
                    <w:rPr>
                      <w:rFonts w:eastAsia="等线"/>
                    </w:rPr>
                    <w:t>15m</w:t>
                  </w:r>
                  <w:r>
                    <w:rPr>
                      <w:rFonts w:hint="eastAsia"/>
                    </w:rPr>
                    <w:t>）</w:t>
                  </w:r>
                </w:p>
              </w:tc>
              <w:tc>
                <w:tcPr>
                  <w:tcW w:w="0" w:type="auto"/>
                  <w:shd w:val="clear" w:color="auto" w:fill="auto"/>
                  <w:vAlign w:val="center"/>
                </w:tcPr>
                <w:p>
                  <w:pPr>
                    <w:pStyle w:val="141"/>
                    <w:rPr>
                      <w:rFonts w:eastAsia="等线"/>
                    </w:rPr>
                  </w:pPr>
                  <w:r>
                    <w:rPr>
                      <w:rFonts w:eastAsia="等线"/>
                    </w:rPr>
                    <w:t>4</w:t>
                  </w:r>
                </w:p>
              </w:tc>
              <w:tc>
                <w:tcPr>
                  <w:tcW w:w="0" w:type="auto"/>
                  <w:vMerge w:val="restart"/>
                  <w:shd w:val="clear" w:color="auto" w:fill="auto"/>
                  <w:vAlign w:val="center"/>
                </w:tcPr>
                <w:p>
                  <w:pPr>
                    <w:pStyle w:val="141"/>
                  </w:pPr>
                  <w:r>
                    <w:rPr>
                      <w:rFonts w:hint="eastAsia"/>
                    </w:rPr>
                    <w:t>广东省地方标准《大气</w:t>
                  </w:r>
                </w:p>
                <w:p>
                  <w:pPr>
                    <w:pStyle w:val="141"/>
                  </w:pPr>
                  <w:r>
                    <w:rPr>
                      <w:rFonts w:hint="eastAsia"/>
                    </w:rPr>
                    <w:t>污染物排放限值》（</w:t>
                  </w:r>
                  <w:r>
                    <w:t>DB44/27-2001</w:t>
                  </w:r>
                  <w:r>
                    <w:rPr>
                      <w:rFonts w:hint="eastAsia"/>
                    </w:rPr>
                    <w:t>）第二时段</w:t>
                  </w:r>
                </w:p>
                <w:p>
                  <w:pPr>
                    <w:pStyle w:val="14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shd w:val="clear" w:color="auto" w:fill="auto"/>
                  <w:vAlign w:val="center"/>
                </w:tcPr>
                <w:p>
                  <w:pPr>
                    <w:pStyle w:val="141"/>
                    <w:rPr>
                      <w:rFonts w:eastAsia="等线"/>
                    </w:rPr>
                  </w:pPr>
                  <w:r>
                    <w:rPr>
                      <w:rFonts w:eastAsia="等线"/>
                    </w:rPr>
                    <w:t>SO</w:t>
                  </w:r>
                  <w:r>
                    <w:rPr>
                      <w:rFonts w:eastAsia="等线"/>
                      <w:vertAlign w:val="subscript"/>
                    </w:rPr>
                    <w:t>2</w:t>
                  </w:r>
                </w:p>
              </w:tc>
              <w:tc>
                <w:tcPr>
                  <w:tcW w:w="0" w:type="auto"/>
                  <w:shd w:val="clear" w:color="auto" w:fill="auto"/>
                  <w:vAlign w:val="center"/>
                </w:tcPr>
                <w:p>
                  <w:pPr>
                    <w:pStyle w:val="141"/>
                    <w:rPr>
                      <w:rFonts w:eastAsia="等线"/>
                    </w:rPr>
                  </w:pPr>
                  <w:r>
                    <w:rPr>
                      <w:rFonts w:eastAsia="等线"/>
                    </w:rPr>
                    <w:t>500</w:t>
                  </w:r>
                </w:p>
              </w:tc>
              <w:tc>
                <w:tcPr>
                  <w:tcW w:w="0" w:type="auto"/>
                  <w:shd w:val="clear" w:color="auto" w:fill="auto"/>
                  <w:vAlign w:val="center"/>
                </w:tcPr>
                <w:p>
                  <w:pPr>
                    <w:pStyle w:val="141"/>
                    <w:rPr>
                      <w:rFonts w:eastAsia="等线"/>
                    </w:rPr>
                  </w:pPr>
                  <w:r>
                    <w:rPr>
                      <w:rFonts w:eastAsia="等线"/>
                    </w:rPr>
                    <w:t xml:space="preserve">0.34 </w:t>
                  </w:r>
                  <w:r>
                    <w:rPr>
                      <w:rFonts w:hint="eastAsia"/>
                    </w:rPr>
                    <w:t>（排气筒高</w:t>
                  </w:r>
                  <w:r>
                    <w:rPr>
                      <w:rFonts w:eastAsia="等线"/>
                    </w:rPr>
                    <w:t>6m</w:t>
                  </w:r>
                  <w:r>
                    <w:rPr>
                      <w:rFonts w:hint="eastAsia"/>
                    </w:rPr>
                    <w:t>）</w:t>
                  </w:r>
                </w:p>
              </w:tc>
              <w:tc>
                <w:tcPr>
                  <w:tcW w:w="0" w:type="auto"/>
                  <w:shd w:val="clear" w:color="auto" w:fill="auto"/>
                  <w:vAlign w:val="center"/>
                </w:tcPr>
                <w:p>
                  <w:pPr>
                    <w:pStyle w:val="141"/>
                    <w:rPr>
                      <w:rFonts w:eastAsia="等线"/>
                    </w:rPr>
                  </w:pPr>
                  <w:r>
                    <w:rPr>
                      <w:rFonts w:eastAsia="等线"/>
                    </w:rPr>
                    <w:t>0.4</w:t>
                  </w:r>
                </w:p>
              </w:tc>
              <w:tc>
                <w:tcPr>
                  <w:tcW w:w="0" w:type="auto"/>
                  <w:vMerge w:val="continue"/>
                  <w:shd w:val="clear" w:color="auto" w:fill="auto"/>
                  <w:vAlign w:val="center"/>
                </w:tcPr>
                <w:p>
                  <w:pPr>
                    <w:pStyle w:val="14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pStyle w:val="141"/>
                    <w:rPr>
                      <w:rFonts w:eastAsia="等线"/>
                    </w:rPr>
                  </w:pPr>
                  <w:r>
                    <w:rPr>
                      <w:rFonts w:eastAsia="等线"/>
                    </w:rPr>
                    <w:t>NOx</w:t>
                  </w:r>
                </w:p>
              </w:tc>
              <w:tc>
                <w:tcPr>
                  <w:tcW w:w="0" w:type="auto"/>
                  <w:shd w:val="clear" w:color="auto" w:fill="auto"/>
                  <w:vAlign w:val="center"/>
                </w:tcPr>
                <w:p>
                  <w:pPr>
                    <w:pStyle w:val="141"/>
                    <w:rPr>
                      <w:rFonts w:eastAsia="等线"/>
                    </w:rPr>
                  </w:pPr>
                  <w:r>
                    <w:rPr>
                      <w:rFonts w:eastAsia="等线"/>
                    </w:rPr>
                    <w:t>120</w:t>
                  </w:r>
                </w:p>
              </w:tc>
              <w:tc>
                <w:tcPr>
                  <w:tcW w:w="0" w:type="auto"/>
                  <w:shd w:val="clear" w:color="auto" w:fill="auto"/>
                  <w:vAlign w:val="center"/>
                </w:tcPr>
                <w:p>
                  <w:pPr>
                    <w:pStyle w:val="141"/>
                    <w:rPr>
                      <w:rFonts w:eastAsia="等线"/>
                    </w:rPr>
                  </w:pPr>
                  <w:r>
                    <w:rPr>
                      <w:rFonts w:eastAsia="等线"/>
                    </w:rPr>
                    <w:t xml:space="preserve">0.10 </w:t>
                  </w:r>
                  <w:r>
                    <w:rPr>
                      <w:rFonts w:hint="eastAsia"/>
                    </w:rPr>
                    <w:t>（排气筒高</w:t>
                  </w:r>
                  <w:r>
                    <w:rPr>
                      <w:rFonts w:eastAsia="等线"/>
                    </w:rPr>
                    <w:t>6m</w:t>
                  </w:r>
                  <w:r>
                    <w:rPr>
                      <w:rFonts w:hint="eastAsia"/>
                    </w:rPr>
                    <w:t>）</w:t>
                  </w:r>
                </w:p>
              </w:tc>
              <w:tc>
                <w:tcPr>
                  <w:tcW w:w="0" w:type="auto"/>
                  <w:shd w:val="clear" w:color="auto" w:fill="auto"/>
                  <w:vAlign w:val="center"/>
                </w:tcPr>
                <w:p>
                  <w:pPr>
                    <w:pStyle w:val="141"/>
                    <w:rPr>
                      <w:rFonts w:eastAsia="等线"/>
                    </w:rPr>
                  </w:pPr>
                  <w:r>
                    <w:rPr>
                      <w:rFonts w:eastAsia="等线"/>
                    </w:rPr>
                    <w:t>0.12</w:t>
                  </w:r>
                </w:p>
              </w:tc>
              <w:tc>
                <w:tcPr>
                  <w:tcW w:w="0" w:type="auto"/>
                  <w:vMerge w:val="continue"/>
                  <w:shd w:val="clear" w:color="auto" w:fill="auto"/>
                  <w:vAlign w:val="center"/>
                </w:tcPr>
                <w:p>
                  <w:pPr>
                    <w:pStyle w:val="141"/>
                    <w:rPr>
                      <w:rFonts w:ascii="等线" w:hAnsi="等线" w:eastAsia="等线"/>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pStyle w:val="141"/>
                  </w:pPr>
                  <w:r>
                    <w:rPr>
                      <w:rFonts w:hint="eastAsia"/>
                    </w:rPr>
                    <w:t>颗粒物</w:t>
                  </w:r>
                </w:p>
              </w:tc>
              <w:tc>
                <w:tcPr>
                  <w:tcW w:w="0" w:type="auto"/>
                  <w:shd w:val="clear" w:color="auto" w:fill="auto"/>
                  <w:vAlign w:val="center"/>
                </w:tcPr>
                <w:p>
                  <w:pPr>
                    <w:pStyle w:val="141"/>
                    <w:rPr>
                      <w:rFonts w:eastAsia="等线"/>
                    </w:rPr>
                  </w:pPr>
                  <w:r>
                    <w:rPr>
                      <w:rFonts w:eastAsia="等线"/>
                    </w:rPr>
                    <w:t>120</w:t>
                  </w:r>
                </w:p>
              </w:tc>
              <w:tc>
                <w:tcPr>
                  <w:tcW w:w="0" w:type="auto"/>
                  <w:shd w:val="clear" w:color="auto" w:fill="auto"/>
                  <w:vAlign w:val="center"/>
                </w:tcPr>
                <w:p>
                  <w:pPr>
                    <w:pStyle w:val="141"/>
                    <w:rPr>
                      <w:rFonts w:eastAsia="等线"/>
                    </w:rPr>
                  </w:pPr>
                  <w:r>
                    <w:rPr>
                      <w:rFonts w:eastAsia="等线"/>
                    </w:rPr>
                    <w:t xml:space="preserve">0.46 </w:t>
                  </w:r>
                  <w:r>
                    <w:rPr>
                      <w:rFonts w:hint="eastAsia"/>
                    </w:rPr>
                    <w:t>（排气筒高</w:t>
                  </w:r>
                  <w:r>
                    <w:rPr>
                      <w:rFonts w:eastAsia="等线"/>
                    </w:rPr>
                    <w:t>6m</w:t>
                  </w:r>
                  <w:r>
                    <w:rPr>
                      <w:rFonts w:hint="eastAsia"/>
                    </w:rPr>
                    <w:t>）</w:t>
                  </w:r>
                </w:p>
              </w:tc>
              <w:tc>
                <w:tcPr>
                  <w:tcW w:w="0" w:type="auto"/>
                  <w:shd w:val="clear" w:color="auto" w:fill="auto"/>
                  <w:vAlign w:val="center"/>
                </w:tcPr>
                <w:p>
                  <w:pPr>
                    <w:pStyle w:val="141"/>
                    <w:rPr>
                      <w:rFonts w:eastAsia="等线"/>
                    </w:rPr>
                  </w:pPr>
                  <w:r>
                    <w:rPr>
                      <w:rFonts w:eastAsia="等线"/>
                    </w:rPr>
                    <w:t>1</w:t>
                  </w:r>
                </w:p>
              </w:tc>
              <w:tc>
                <w:tcPr>
                  <w:tcW w:w="0" w:type="auto"/>
                  <w:vMerge w:val="continue"/>
                  <w:shd w:val="clear" w:color="auto" w:fill="auto"/>
                  <w:vAlign w:val="center"/>
                </w:tcPr>
                <w:p>
                  <w:pPr>
                    <w:pStyle w:val="141"/>
                    <w:rPr>
                      <w:rFonts w:ascii="等线" w:hAnsi="等线" w:eastAsia="等线"/>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0" w:type="auto"/>
                  <w:shd w:val="clear" w:color="auto" w:fill="auto"/>
                  <w:vAlign w:val="center"/>
                </w:tcPr>
                <w:p>
                  <w:pPr>
                    <w:pStyle w:val="141"/>
                  </w:pPr>
                  <w:r>
                    <w:rPr>
                      <w:rFonts w:hint="eastAsia"/>
                    </w:rPr>
                    <w:t>污染物</w:t>
                  </w:r>
                </w:p>
              </w:tc>
              <w:tc>
                <w:tcPr>
                  <w:tcW w:w="0" w:type="auto"/>
                  <w:shd w:val="clear" w:color="auto" w:fill="auto"/>
                  <w:vAlign w:val="center"/>
                </w:tcPr>
                <w:p>
                  <w:pPr>
                    <w:pStyle w:val="141"/>
                  </w:pPr>
                  <w:r>
                    <w:rPr>
                      <w:rFonts w:hint="eastAsia"/>
                    </w:rPr>
                    <w:t>排放限值</w:t>
                  </w:r>
                </w:p>
                <w:p>
                  <w:pPr>
                    <w:pStyle w:val="141"/>
                  </w:pPr>
                  <w:r>
                    <w:rPr>
                      <w:rFonts w:hint="eastAsia"/>
                    </w:rPr>
                    <w:t>（</w:t>
                  </w:r>
                  <w:r>
                    <w:t>mg/m</w:t>
                  </w:r>
                  <w:r>
                    <w:rPr>
                      <w:vertAlign w:val="superscript"/>
                    </w:rPr>
                    <w:t>3</w:t>
                  </w:r>
                  <w:r>
                    <w:rPr>
                      <w:rFonts w:hint="eastAsia"/>
                    </w:rPr>
                    <w:t>）</w:t>
                  </w:r>
                </w:p>
              </w:tc>
              <w:tc>
                <w:tcPr>
                  <w:tcW w:w="0" w:type="auto"/>
                  <w:gridSpan w:val="2"/>
                  <w:shd w:val="clear" w:color="auto" w:fill="auto"/>
                  <w:vAlign w:val="center"/>
                </w:tcPr>
                <w:p>
                  <w:pPr>
                    <w:pStyle w:val="141"/>
                  </w:pPr>
                  <w:r>
                    <w:rPr>
                      <w:rFonts w:hint="eastAsia"/>
                    </w:rPr>
                    <w:t>限值含义</w:t>
                  </w:r>
                </w:p>
              </w:tc>
              <w:tc>
                <w:tcPr>
                  <w:tcW w:w="0" w:type="auto"/>
                  <w:shd w:val="clear" w:color="auto" w:fill="auto"/>
                  <w:vAlign w:val="center"/>
                </w:tcPr>
                <w:p>
                  <w:pPr>
                    <w:pStyle w:val="141"/>
                  </w:pPr>
                  <w:r>
                    <w:rPr>
                      <w:rFonts w:hint="eastAsia"/>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0" w:type="auto"/>
                  <w:shd w:val="clear" w:color="auto" w:fill="auto"/>
                  <w:vAlign w:val="center"/>
                </w:tcPr>
                <w:p>
                  <w:pPr>
                    <w:pStyle w:val="141"/>
                  </w:pPr>
                  <w:r>
                    <w:rPr>
                      <w:rFonts w:hint="eastAsia"/>
                    </w:rPr>
                    <w:t>非甲烷总烃</w:t>
                  </w:r>
                </w:p>
              </w:tc>
              <w:tc>
                <w:tcPr>
                  <w:tcW w:w="0" w:type="auto"/>
                  <w:shd w:val="clear" w:color="auto" w:fill="auto"/>
                  <w:vAlign w:val="center"/>
                </w:tcPr>
                <w:p>
                  <w:pPr>
                    <w:pStyle w:val="141"/>
                    <w:rPr>
                      <w:rFonts w:eastAsia="等线"/>
                    </w:rPr>
                  </w:pPr>
                  <w:r>
                    <w:rPr>
                      <w:rFonts w:eastAsia="等线"/>
                    </w:rPr>
                    <w:t>10</w:t>
                  </w:r>
                </w:p>
              </w:tc>
              <w:tc>
                <w:tcPr>
                  <w:tcW w:w="0" w:type="auto"/>
                  <w:gridSpan w:val="2"/>
                  <w:shd w:val="clear" w:color="auto" w:fill="auto"/>
                  <w:vAlign w:val="center"/>
                </w:tcPr>
                <w:p>
                  <w:pPr>
                    <w:pStyle w:val="141"/>
                  </w:pPr>
                  <w:r>
                    <w:rPr>
                      <w:rFonts w:hint="eastAsia"/>
                    </w:rPr>
                    <w:t xml:space="preserve">监控点处 </w:t>
                  </w:r>
                  <w:r>
                    <w:t xml:space="preserve">1h </w:t>
                  </w:r>
                  <w:r>
                    <w:rPr>
                      <w:rFonts w:hint="eastAsia"/>
                    </w:rPr>
                    <w:t>平均浓度值</w:t>
                  </w:r>
                </w:p>
              </w:tc>
              <w:tc>
                <w:tcPr>
                  <w:tcW w:w="0" w:type="auto"/>
                  <w:shd w:val="clear" w:color="auto" w:fill="auto"/>
                  <w:vAlign w:val="center"/>
                </w:tcPr>
                <w:p>
                  <w:pPr>
                    <w:pStyle w:val="141"/>
                  </w:pPr>
                  <w:r>
                    <w:rPr>
                      <w:rFonts w:hint="eastAsia"/>
                    </w:rPr>
                    <w:t>《挥发性有机物无组织排放控制标准》（</w:t>
                  </w:r>
                  <w:r>
                    <w:t>GB37822-2019</w:t>
                  </w:r>
                  <w:r>
                    <w:rPr>
                      <w:rFonts w:hint="eastAsia"/>
                    </w:rPr>
                    <w:t>）</w:t>
                  </w:r>
                </w:p>
              </w:tc>
            </w:tr>
          </w:tbl>
          <w:p>
            <w:pPr>
              <w:pStyle w:val="137"/>
              <w:ind w:firstLine="480"/>
              <w:rPr>
                <w:bCs/>
                <w:szCs w:val="24"/>
              </w:rPr>
            </w:pPr>
            <w:r>
              <w:t>本项目综合站房属于Ⅱ类民用建筑工程，室内空气执行《民用建筑工程室内环境污染控制规范》（</w:t>
            </w:r>
            <w:r>
              <w:rPr>
                <w:rFonts w:eastAsia="Times New Roman" w:cs="Times New Roman"/>
              </w:rPr>
              <w:t>GB50325-2010</w:t>
            </w:r>
            <w:r>
              <w:t>）有关标准，</w:t>
            </w:r>
          </w:p>
          <w:p>
            <w:pPr>
              <w:pStyle w:val="143"/>
              <w:keepNext w:val="0"/>
              <w:keepLines w:val="0"/>
              <w:pageBreakBefore w:val="0"/>
              <w:widowControl w:val="0"/>
              <w:kinsoku/>
              <w:wordWrap/>
              <w:overflowPunct/>
              <w:topLinePunct w:val="0"/>
              <w:autoSpaceDE/>
              <w:autoSpaceDN/>
              <w:bidi w:val="0"/>
              <w:adjustRightInd/>
              <w:snapToGrid/>
              <w:spacing w:beforeLines="0"/>
              <w:textAlignment w:val="auto"/>
              <w:rPr>
                <w:bCs/>
                <w:szCs w:val="24"/>
              </w:rPr>
            </w:pPr>
            <w:r>
              <w:rPr>
                <w:rFonts w:hint="eastAsia"/>
              </w:rPr>
              <w:t>表</w:t>
            </w:r>
            <w:r>
              <w:rPr>
                <w:rFonts w:hint="eastAsia"/>
                <w:lang w:val="en-US" w:eastAsia="zh-CN"/>
              </w:rPr>
              <w:t xml:space="preserve">4-6 </w:t>
            </w:r>
            <w:r>
              <w:rPr>
                <w:rFonts w:hint="eastAsia"/>
              </w:rPr>
              <w:t xml:space="preserve">   </w:t>
            </w:r>
            <w:r>
              <w:rPr>
                <w:bCs/>
                <w:szCs w:val="24"/>
              </w:rPr>
              <w:t xml:space="preserve"> 废气排放标准</w:t>
            </w:r>
            <w:r>
              <w:rPr>
                <w:rFonts w:hint="eastAsia"/>
                <w:bCs/>
                <w:szCs w:val="24"/>
              </w:rPr>
              <w:t>（续）</w:t>
            </w:r>
          </w:p>
          <w:tbl>
            <w:tblPr>
              <w:tblStyle w:val="158"/>
              <w:tblW w:w="5000" w:type="pct"/>
              <w:jc w:val="center"/>
              <w:tblLayout w:type="autofit"/>
              <w:tblCellMar>
                <w:top w:w="81" w:type="dxa"/>
                <w:left w:w="115" w:type="dxa"/>
                <w:bottom w:w="0" w:type="dxa"/>
                <w:right w:w="115" w:type="dxa"/>
              </w:tblCellMar>
            </w:tblPr>
            <w:tblGrid>
              <w:gridCol w:w="4023"/>
              <w:gridCol w:w="4401"/>
            </w:tblGrid>
            <w:tr>
              <w:tblPrEx>
                <w:tblCellMar>
                  <w:top w:w="81" w:type="dxa"/>
                  <w:left w:w="115" w:type="dxa"/>
                  <w:bottom w:w="0" w:type="dxa"/>
                  <w:right w:w="115" w:type="dxa"/>
                </w:tblCellMar>
              </w:tblPrEx>
              <w:trPr>
                <w:jc w:val="center"/>
              </w:trPr>
              <w:tc>
                <w:tcPr>
                  <w:tcW w:w="2388" w:type="pct"/>
                  <w:tcBorders>
                    <w:top w:val="single" w:color="000000" w:sz="4" w:space="0"/>
                    <w:left w:val="single" w:color="000000" w:sz="4" w:space="0"/>
                    <w:bottom w:val="single" w:color="000000" w:sz="4" w:space="0"/>
                    <w:right w:val="single" w:color="000000" w:sz="4" w:space="0"/>
                  </w:tcBorders>
                </w:tcPr>
                <w:p>
                  <w:pPr>
                    <w:pStyle w:val="141"/>
                  </w:pPr>
                  <w:r>
                    <w:t>污染物</w:t>
                  </w:r>
                </w:p>
              </w:tc>
              <w:tc>
                <w:tcPr>
                  <w:tcW w:w="2612" w:type="pct"/>
                  <w:tcBorders>
                    <w:top w:val="single" w:color="000000" w:sz="4" w:space="0"/>
                    <w:left w:val="single" w:color="000000" w:sz="4" w:space="0"/>
                    <w:bottom w:val="single" w:color="000000" w:sz="4" w:space="0"/>
                    <w:right w:val="single" w:color="000000" w:sz="4" w:space="0"/>
                  </w:tcBorders>
                </w:tcPr>
                <w:p>
                  <w:pPr>
                    <w:pStyle w:val="141"/>
                  </w:pPr>
                  <w:r>
                    <w:t>标准值</w:t>
                  </w:r>
                </w:p>
              </w:tc>
            </w:tr>
            <w:tr>
              <w:tblPrEx>
                <w:tblCellMar>
                  <w:top w:w="81" w:type="dxa"/>
                  <w:left w:w="115" w:type="dxa"/>
                  <w:bottom w:w="0" w:type="dxa"/>
                  <w:right w:w="115" w:type="dxa"/>
                </w:tblCellMar>
              </w:tblPrEx>
              <w:trPr>
                <w:jc w:val="center"/>
              </w:trPr>
              <w:tc>
                <w:tcPr>
                  <w:tcW w:w="2388" w:type="pct"/>
                  <w:tcBorders>
                    <w:top w:val="single" w:color="000000" w:sz="4" w:space="0"/>
                    <w:left w:val="single" w:color="000000" w:sz="4" w:space="0"/>
                    <w:bottom w:val="single" w:color="000000" w:sz="4" w:space="0"/>
                    <w:right w:val="single" w:color="000000" w:sz="4" w:space="0"/>
                  </w:tcBorders>
                </w:tcPr>
                <w:p>
                  <w:pPr>
                    <w:pStyle w:val="141"/>
                  </w:pPr>
                  <w:r>
                    <w:t>氡（</w:t>
                  </w:r>
                  <w:r>
                    <w:rPr>
                      <w:rFonts w:eastAsia="Times New Roman"/>
                    </w:rPr>
                    <w:t>Bq/m</w:t>
                  </w:r>
                  <w:r>
                    <w:rPr>
                      <w:rFonts w:eastAsia="Times New Roman"/>
                      <w:vertAlign w:val="superscript"/>
                    </w:rPr>
                    <w:t>3</w:t>
                  </w:r>
                  <w:r>
                    <w:t>）</w:t>
                  </w:r>
                </w:p>
              </w:tc>
              <w:tc>
                <w:tcPr>
                  <w:tcW w:w="2612" w:type="pct"/>
                  <w:tcBorders>
                    <w:top w:val="single" w:color="000000" w:sz="4" w:space="0"/>
                    <w:left w:val="single" w:color="000000" w:sz="4" w:space="0"/>
                    <w:bottom w:val="single" w:color="000000" w:sz="4" w:space="0"/>
                    <w:right w:val="single" w:color="000000" w:sz="4" w:space="0"/>
                  </w:tcBorders>
                </w:tcPr>
                <w:p>
                  <w:pPr>
                    <w:pStyle w:val="141"/>
                  </w:pPr>
                  <w:r>
                    <w:rPr>
                      <w:rFonts w:eastAsia="Times New Roman"/>
                    </w:rPr>
                    <w:t>≤400</w:t>
                  </w:r>
                  <w:r>
                    <w:t>（年平均值，行动水平）</w:t>
                  </w:r>
                </w:p>
              </w:tc>
            </w:tr>
            <w:tr>
              <w:trPr>
                <w:jc w:val="center"/>
              </w:trPr>
              <w:tc>
                <w:tcPr>
                  <w:tcW w:w="2388" w:type="pct"/>
                  <w:tcBorders>
                    <w:top w:val="single" w:color="000000" w:sz="4" w:space="0"/>
                    <w:left w:val="single" w:color="000000" w:sz="4" w:space="0"/>
                    <w:bottom w:val="single" w:color="000000" w:sz="4" w:space="0"/>
                    <w:right w:val="single" w:color="000000" w:sz="4" w:space="0"/>
                  </w:tcBorders>
                </w:tcPr>
                <w:p>
                  <w:pPr>
                    <w:pStyle w:val="141"/>
                  </w:pPr>
                  <w:r>
                    <w:t>甲醛（</w:t>
                  </w:r>
                  <w:r>
                    <w:rPr>
                      <w:rFonts w:eastAsia="Times New Roman"/>
                    </w:rPr>
                    <w:t>mg/m</w:t>
                  </w:r>
                  <w:r>
                    <w:rPr>
                      <w:rFonts w:eastAsia="Times New Roman"/>
                      <w:vertAlign w:val="superscript"/>
                    </w:rPr>
                    <w:t>3</w:t>
                  </w:r>
                  <w:r>
                    <w:t>）</w:t>
                  </w:r>
                </w:p>
              </w:tc>
              <w:tc>
                <w:tcPr>
                  <w:tcW w:w="2612" w:type="pct"/>
                  <w:tcBorders>
                    <w:top w:val="single" w:color="000000" w:sz="4" w:space="0"/>
                    <w:left w:val="single" w:color="000000" w:sz="4" w:space="0"/>
                    <w:bottom w:val="single" w:color="000000" w:sz="4" w:space="0"/>
                    <w:right w:val="single" w:color="000000" w:sz="4" w:space="0"/>
                  </w:tcBorders>
                </w:tcPr>
                <w:p>
                  <w:pPr>
                    <w:pStyle w:val="141"/>
                  </w:pPr>
                  <w:r>
                    <w:rPr>
                      <w:rFonts w:eastAsia="Times New Roman"/>
                    </w:rPr>
                    <w:t>≤0.10</w:t>
                  </w:r>
                  <w:r>
                    <w:t>（</w:t>
                  </w:r>
                  <w:r>
                    <w:rPr>
                      <w:rFonts w:eastAsia="Times New Roman"/>
                    </w:rPr>
                    <w:t xml:space="preserve">1 </w:t>
                  </w:r>
                  <w:r>
                    <w:t>小时平均值）</w:t>
                  </w:r>
                </w:p>
              </w:tc>
            </w:tr>
            <w:tr>
              <w:tblPrEx>
                <w:tblCellMar>
                  <w:top w:w="81" w:type="dxa"/>
                  <w:left w:w="115" w:type="dxa"/>
                  <w:bottom w:w="0" w:type="dxa"/>
                  <w:right w:w="115" w:type="dxa"/>
                </w:tblCellMar>
              </w:tblPrEx>
              <w:trPr>
                <w:jc w:val="center"/>
              </w:trPr>
              <w:tc>
                <w:tcPr>
                  <w:tcW w:w="2388" w:type="pct"/>
                  <w:tcBorders>
                    <w:top w:val="single" w:color="000000" w:sz="4" w:space="0"/>
                    <w:left w:val="single" w:color="000000" w:sz="4" w:space="0"/>
                    <w:bottom w:val="single" w:color="000000" w:sz="4" w:space="0"/>
                    <w:right w:val="single" w:color="000000" w:sz="4" w:space="0"/>
                  </w:tcBorders>
                </w:tcPr>
                <w:p>
                  <w:pPr>
                    <w:pStyle w:val="141"/>
                  </w:pPr>
                  <w:r>
                    <w:t>苯（</w:t>
                  </w:r>
                  <w:r>
                    <w:rPr>
                      <w:rFonts w:eastAsia="Times New Roman"/>
                    </w:rPr>
                    <w:t>mg/m</w:t>
                  </w:r>
                  <w:r>
                    <w:rPr>
                      <w:rFonts w:eastAsia="Times New Roman"/>
                      <w:vertAlign w:val="superscript"/>
                    </w:rPr>
                    <w:t>3</w:t>
                  </w:r>
                  <w:r>
                    <w:t>）</w:t>
                  </w:r>
                </w:p>
              </w:tc>
              <w:tc>
                <w:tcPr>
                  <w:tcW w:w="2612" w:type="pct"/>
                  <w:tcBorders>
                    <w:top w:val="single" w:color="000000" w:sz="4" w:space="0"/>
                    <w:left w:val="single" w:color="000000" w:sz="4" w:space="0"/>
                    <w:bottom w:val="single" w:color="000000" w:sz="4" w:space="0"/>
                    <w:right w:val="single" w:color="000000" w:sz="4" w:space="0"/>
                  </w:tcBorders>
                </w:tcPr>
                <w:p>
                  <w:pPr>
                    <w:pStyle w:val="141"/>
                  </w:pPr>
                  <w:r>
                    <w:rPr>
                      <w:rFonts w:eastAsia="Times New Roman"/>
                    </w:rPr>
                    <w:t>≤0.0.9</w:t>
                  </w:r>
                  <w:r>
                    <w:t>（</w:t>
                  </w:r>
                  <w:r>
                    <w:rPr>
                      <w:rFonts w:eastAsia="Times New Roman"/>
                    </w:rPr>
                    <w:t xml:space="preserve">1 </w:t>
                  </w:r>
                  <w:r>
                    <w:t>小时平均值）</w:t>
                  </w:r>
                </w:p>
              </w:tc>
            </w:tr>
            <w:tr>
              <w:tblPrEx>
                <w:tblCellMar>
                  <w:top w:w="81" w:type="dxa"/>
                  <w:left w:w="115" w:type="dxa"/>
                  <w:bottom w:w="0" w:type="dxa"/>
                  <w:right w:w="115" w:type="dxa"/>
                </w:tblCellMar>
              </w:tblPrEx>
              <w:trPr>
                <w:jc w:val="center"/>
              </w:trPr>
              <w:tc>
                <w:tcPr>
                  <w:tcW w:w="2388" w:type="pct"/>
                  <w:tcBorders>
                    <w:top w:val="single" w:color="000000" w:sz="4" w:space="0"/>
                    <w:left w:val="single" w:color="000000" w:sz="4" w:space="0"/>
                    <w:bottom w:val="single" w:color="000000" w:sz="4" w:space="0"/>
                    <w:right w:val="single" w:color="000000" w:sz="4" w:space="0"/>
                  </w:tcBorders>
                </w:tcPr>
                <w:p>
                  <w:pPr>
                    <w:pStyle w:val="141"/>
                  </w:pPr>
                  <w:r>
                    <w:t>氨（</w:t>
                  </w:r>
                  <w:r>
                    <w:rPr>
                      <w:rFonts w:eastAsia="Times New Roman"/>
                    </w:rPr>
                    <w:t>mg/m</w:t>
                  </w:r>
                  <w:r>
                    <w:rPr>
                      <w:rFonts w:eastAsia="Times New Roman"/>
                      <w:vertAlign w:val="superscript"/>
                    </w:rPr>
                    <w:t>3</w:t>
                  </w:r>
                  <w:r>
                    <w:t>）</w:t>
                  </w:r>
                </w:p>
              </w:tc>
              <w:tc>
                <w:tcPr>
                  <w:tcW w:w="2612" w:type="pct"/>
                  <w:tcBorders>
                    <w:top w:val="single" w:color="000000" w:sz="4" w:space="0"/>
                    <w:left w:val="single" w:color="000000" w:sz="4" w:space="0"/>
                    <w:bottom w:val="single" w:color="000000" w:sz="4" w:space="0"/>
                    <w:right w:val="single" w:color="000000" w:sz="4" w:space="0"/>
                  </w:tcBorders>
                </w:tcPr>
                <w:p>
                  <w:pPr>
                    <w:pStyle w:val="141"/>
                  </w:pPr>
                  <w:r>
                    <w:rPr>
                      <w:rFonts w:eastAsia="Times New Roman"/>
                    </w:rPr>
                    <w:t>≤0.20</w:t>
                  </w:r>
                  <w:r>
                    <w:t>（</w:t>
                  </w:r>
                  <w:r>
                    <w:rPr>
                      <w:rFonts w:eastAsia="Times New Roman"/>
                    </w:rPr>
                    <w:t xml:space="preserve">1 </w:t>
                  </w:r>
                  <w:r>
                    <w:t>小时平均值）</w:t>
                  </w:r>
                </w:p>
              </w:tc>
            </w:tr>
            <w:tr>
              <w:trPr>
                <w:jc w:val="center"/>
              </w:trPr>
              <w:tc>
                <w:tcPr>
                  <w:tcW w:w="2388" w:type="pct"/>
                  <w:tcBorders>
                    <w:top w:val="single" w:color="000000" w:sz="4" w:space="0"/>
                    <w:left w:val="single" w:color="000000" w:sz="4" w:space="0"/>
                    <w:bottom w:val="single" w:color="000000" w:sz="4" w:space="0"/>
                    <w:right w:val="single" w:color="000000" w:sz="4" w:space="0"/>
                  </w:tcBorders>
                </w:tcPr>
                <w:p>
                  <w:pPr>
                    <w:pStyle w:val="141"/>
                  </w:pPr>
                  <w:r>
                    <w:t>总挥发性有机物（</w:t>
                  </w:r>
                  <w:r>
                    <w:rPr>
                      <w:rFonts w:eastAsia="Times New Roman"/>
                    </w:rPr>
                    <w:t>mg/m</w:t>
                  </w:r>
                  <w:r>
                    <w:rPr>
                      <w:rFonts w:eastAsia="Times New Roman"/>
                      <w:vertAlign w:val="superscript"/>
                    </w:rPr>
                    <w:t>3</w:t>
                  </w:r>
                  <w:r>
                    <w:t>）</w:t>
                  </w:r>
                </w:p>
              </w:tc>
              <w:tc>
                <w:tcPr>
                  <w:tcW w:w="2612" w:type="pct"/>
                  <w:tcBorders>
                    <w:top w:val="single" w:color="000000" w:sz="4" w:space="0"/>
                    <w:left w:val="single" w:color="000000" w:sz="4" w:space="0"/>
                    <w:bottom w:val="single" w:color="000000" w:sz="4" w:space="0"/>
                    <w:right w:val="single" w:color="000000" w:sz="4" w:space="0"/>
                  </w:tcBorders>
                </w:tcPr>
                <w:p>
                  <w:pPr>
                    <w:pStyle w:val="141"/>
                  </w:pPr>
                  <w:r>
                    <w:rPr>
                      <w:rFonts w:eastAsia="Times New Roman"/>
                    </w:rPr>
                    <w:t>≤0.60</w:t>
                  </w:r>
                  <w:r>
                    <w:t>（</w:t>
                  </w:r>
                  <w:r>
                    <w:rPr>
                      <w:rFonts w:eastAsia="Times New Roman"/>
                    </w:rPr>
                    <w:t xml:space="preserve">8 </w:t>
                  </w:r>
                  <w:r>
                    <w:t>小时平均值）</w:t>
                  </w:r>
                </w:p>
              </w:tc>
            </w:tr>
          </w:tbl>
          <w:p>
            <w:pPr>
              <w:pStyle w:val="137"/>
              <w:ind w:firstLine="480"/>
            </w:pPr>
            <w:r>
              <w:t>（2）噪声排放标准</w:t>
            </w:r>
          </w:p>
          <w:p>
            <w:pPr>
              <w:pStyle w:val="137"/>
              <w:ind w:firstLine="480"/>
            </w:pPr>
            <w:r>
              <w:rPr>
                <w:rFonts w:hint="eastAsia"/>
              </w:rPr>
              <w:t>施工期：噪声执行《 建筑施工场界环境噪声排放标准》（GB12523-2011）中标准限值（昼间≤70dB（A）、夜间≤55dB（A））。</w:t>
            </w:r>
          </w:p>
          <w:p>
            <w:pPr>
              <w:pStyle w:val="137"/>
              <w:ind w:firstLine="480"/>
            </w:pPr>
            <w:r>
              <w:t>营运期</w:t>
            </w:r>
            <w:r>
              <w:rPr>
                <w:rFonts w:hint="eastAsia"/>
              </w:rPr>
              <w:t>：</w:t>
            </w:r>
            <w:r>
              <w:t>噪声排放执行《工业企业厂界环境噪声排放标准》（GB12348-2008）2类区标准要求。标准限值见</w:t>
            </w:r>
            <w:r>
              <w:rPr>
                <w:rFonts w:hint="eastAsia"/>
                <w:lang w:val="en-US" w:eastAsia="zh-CN"/>
              </w:rPr>
              <w:t>表4-7</w:t>
            </w:r>
            <w:r>
              <w:t>。</w:t>
            </w:r>
          </w:p>
          <w:p>
            <w:pPr>
              <w:pStyle w:val="143"/>
              <w:keepNext w:val="0"/>
              <w:keepLines w:val="0"/>
              <w:pageBreakBefore w:val="0"/>
              <w:widowControl w:val="0"/>
              <w:kinsoku/>
              <w:wordWrap/>
              <w:overflowPunct/>
              <w:topLinePunct w:val="0"/>
              <w:autoSpaceDE/>
              <w:autoSpaceDN/>
              <w:bidi w:val="0"/>
              <w:adjustRightInd/>
              <w:snapToGrid/>
              <w:spacing w:beforeLines="0"/>
              <w:textAlignment w:val="auto"/>
              <w:rPr>
                <w:rFonts w:hint="eastAsia" w:cs="Arial"/>
                <w:szCs w:val="22"/>
              </w:rPr>
            </w:pPr>
            <w:bookmarkStart w:id="21" w:name="_Ref45477058"/>
            <w:r>
              <w:rPr>
                <w:rFonts w:hint="eastAsia" w:cs="Arial"/>
                <w:szCs w:val="22"/>
              </w:rPr>
              <w:t>表</w:t>
            </w:r>
            <w:bookmarkEnd w:id="21"/>
            <w:r>
              <w:rPr>
                <w:rFonts w:hint="eastAsia" w:cs="Arial"/>
                <w:szCs w:val="22"/>
                <w:lang w:val="en-US" w:eastAsia="zh-CN"/>
              </w:rPr>
              <w:t>4-7</w:t>
            </w:r>
            <w:r>
              <w:rPr>
                <w:rFonts w:hint="eastAsia" w:cs="Arial"/>
                <w:szCs w:val="22"/>
              </w:rPr>
              <w:t xml:space="preserve">  噪声排放标准</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3292"/>
              <w:gridCol w:w="2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266" w:type="pct"/>
                  <w:vAlign w:val="center"/>
                </w:tcPr>
                <w:p>
                  <w:pPr>
                    <w:snapToGrid w:val="0"/>
                    <w:spacing w:line="240" w:lineRule="auto"/>
                    <w:jc w:val="center"/>
                    <w:rPr>
                      <w:b/>
                      <w:bCs/>
                      <w:szCs w:val="21"/>
                    </w:rPr>
                  </w:pPr>
                  <w:r>
                    <w:rPr>
                      <w:b/>
                      <w:bCs/>
                      <w:szCs w:val="21"/>
                    </w:rPr>
                    <w:t>类别</w:t>
                  </w:r>
                </w:p>
              </w:tc>
              <w:tc>
                <w:tcPr>
                  <w:tcW w:w="1956" w:type="pct"/>
                  <w:vAlign w:val="center"/>
                </w:tcPr>
                <w:p>
                  <w:pPr>
                    <w:snapToGrid w:val="0"/>
                    <w:spacing w:line="240" w:lineRule="auto"/>
                    <w:jc w:val="center"/>
                    <w:rPr>
                      <w:b/>
                      <w:bCs/>
                      <w:szCs w:val="21"/>
                    </w:rPr>
                  </w:pPr>
                  <w:r>
                    <w:rPr>
                      <w:b/>
                      <w:bCs/>
                      <w:szCs w:val="21"/>
                    </w:rPr>
                    <w:t>昼间</w:t>
                  </w:r>
                </w:p>
              </w:tc>
              <w:tc>
                <w:tcPr>
                  <w:tcW w:w="1778" w:type="pct"/>
                  <w:vAlign w:val="center"/>
                </w:tcPr>
                <w:p>
                  <w:pPr>
                    <w:snapToGrid w:val="0"/>
                    <w:spacing w:line="240" w:lineRule="auto"/>
                    <w:jc w:val="center"/>
                    <w:rPr>
                      <w:b/>
                      <w:bCs/>
                      <w:szCs w:val="21"/>
                    </w:rPr>
                  </w:pPr>
                  <w:r>
                    <w:rPr>
                      <w:b/>
                      <w:bCs/>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266" w:type="pct"/>
                  <w:vAlign w:val="center"/>
                </w:tcPr>
                <w:p>
                  <w:pPr>
                    <w:snapToGrid w:val="0"/>
                    <w:spacing w:line="240" w:lineRule="auto"/>
                    <w:jc w:val="center"/>
                    <w:rPr>
                      <w:szCs w:val="21"/>
                    </w:rPr>
                  </w:pPr>
                  <w:r>
                    <w:rPr>
                      <w:szCs w:val="21"/>
                    </w:rPr>
                    <w:t>2类</w:t>
                  </w:r>
                </w:p>
              </w:tc>
              <w:tc>
                <w:tcPr>
                  <w:tcW w:w="1956" w:type="pct"/>
                  <w:vAlign w:val="center"/>
                </w:tcPr>
                <w:p>
                  <w:pPr>
                    <w:snapToGrid w:val="0"/>
                    <w:spacing w:line="240" w:lineRule="auto"/>
                    <w:jc w:val="center"/>
                    <w:rPr>
                      <w:szCs w:val="21"/>
                    </w:rPr>
                  </w:pPr>
                  <w:r>
                    <w:rPr>
                      <w:szCs w:val="21"/>
                    </w:rPr>
                    <w:t>≤60dB（A）</w:t>
                  </w:r>
                </w:p>
              </w:tc>
              <w:tc>
                <w:tcPr>
                  <w:tcW w:w="1778" w:type="pct"/>
                  <w:vAlign w:val="center"/>
                </w:tcPr>
                <w:p>
                  <w:pPr>
                    <w:snapToGrid w:val="0"/>
                    <w:spacing w:line="240" w:lineRule="auto"/>
                    <w:jc w:val="center"/>
                    <w:rPr>
                      <w:szCs w:val="21"/>
                    </w:rPr>
                  </w:pPr>
                  <w:r>
                    <w:rPr>
                      <w:szCs w:val="21"/>
                    </w:rPr>
                    <w:t>≤50dB（A）</w:t>
                  </w:r>
                </w:p>
              </w:tc>
            </w:tr>
          </w:tbl>
          <w:p>
            <w:pPr>
              <w:pStyle w:val="137"/>
              <w:ind w:firstLine="480"/>
            </w:pPr>
            <w:r>
              <w:t>（3）废水污染物排放标准</w:t>
            </w:r>
          </w:p>
          <w:p>
            <w:pPr>
              <w:pStyle w:val="137"/>
              <w:ind w:firstLine="480"/>
            </w:pPr>
            <w:r>
              <w:rPr>
                <w:rFonts w:hint="eastAsia"/>
              </w:rPr>
              <w:t>生活污水经三级化粪处理后，由附近村民定期清掏用于肥田回用，清洗废水、洗车废水经隔油池、三级沉淀池处理后，进入洗车废水处理设施处理后回用，初期雨水经截流沟收集并进入隔油池、三级沉淀池处理后，进入洗车废水处理设施处理后回用。本项目废水不外排。</w:t>
            </w:r>
          </w:p>
          <w:p>
            <w:pPr>
              <w:pStyle w:val="137"/>
              <w:ind w:firstLine="480"/>
            </w:pPr>
            <w:r>
              <w:t>（4）固体废物污染物排放标准</w:t>
            </w:r>
          </w:p>
          <w:p>
            <w:pPr>
              <w:pStyle w:val="137"/>
              <w:ind w:firstLine="480"/>
              <w:rPr>
                <w:rFonts w:cs="Times New Roman"/>
              </w:rPr>
            </w:pPr>
            <w:r>
              <w:rPr>
                <w:rFonts w:hint="eastAsia" w:cs="Times New Roman"/>
              </w:rPr>
              <w:t>固体废物的排放和管理</w:t>
            </w:r>
            <w:r>
              <w:rPr>
                <w:rFonts w:cs="Times New Roman"/>
              </w:rPr>
              <w:t>执行</w:t>
            </w:r>
            <w:r>
              <w:rPr>
                <w:rFonts w:hint="eastAsia" w:cs="Times New Roman"/>
              </w:rPr>
              <w:t>《中华人民共和国固体废物污染环境防治法》、《广东省固体废物污染环境防治条例》、</w:t>
            </w:r>
            <w:r>
              <w:rPr>
                <w:rFonts w:cs="Times New Roman"/>
              </w:rPr>
              <w:t>一般固废</w:t>
            </w:r>
            <w:r>
              <w:rPr>
                <w:rFonts w:hint="eastAsia" w:cs="Times New Roman"/>
              </w:rPr>
              <w:t>执行《一般工业固体废物贮存、处置场污染控制标准》（GB18599-2001）及其2013年修改单、危险废物执行《危险废物贮存污染控制标准》（GB18597-2001）及2</w:t>
            </w:r>
            <w:r>
              <w:rPr>
                <w:rFonts w:cs="Times New Roman"/>
              </w:rPr>
              <w:t>013</w:t>
            </w:r>
            <w:r>
              <w:rPr>
                <w:rFonts w:hint="eastAsia" w:cs="Times New Roman"/>
              </w:rPr>
              <w:t>年修改单的有关规定</w:t>
            </w:r>
            <w:r>
              <w:rPr>
                <w:rFonts w:cs="Times New Roman"/>
              </w:rPr>
              <w:t>。</w:t>
            </w:r>
          </w:p>
          <w:p>
            <w:pPr>
              <w:pStyle w:val="137"/>
              <w:ind w:firstLine="480"/>
              <w:rPr>
                <w:rFonts w:cs="Times New Roman"/>
              </w:rPr>
            </w:pPr>
          </w:p>
          <w:p>
            <w:pPr>
              <w:pStyle w:val="137"/>
              <w:ind w:firstLine="480"/>
              <w:rPr>
                <w:rFonts w:cs="Times New Roman"/>
              </w:rPr>
            </w:pPr>
          </w:p>
          <w:p>
            <w:pPr>
              <w:pStyle w:val="137"/>
              <w:ind w:firstLine="480"/>
              <w:rPr>
                <w:rFonts w:cs="Times New Roma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30" w:hRule="atLeast"/>
          <w:jc w:val="center"/>
        </w:trPr>
        <w:tc>
          <w:tcPr>
            <w:tcW w:w="291" w:type="pct"/>
            <w:tcBorders>
              <w:tl2br w:val="nil"/>
              <w:tr2bl w:val="nil"/>
            </w:tcBorders>
            <w:shd w:val="clear" w:color="auto" w:fill="auto"/>
            <w:vAlign w:val="center"/>
          </w:tcPr>
          <w:p>
            <w:pPr>
              <w:adjustRightInd/>
              <w:spacing w:line="240" w:lineRule="auto"/>
              <w:jc w:val="center"/>
              <w:rPr>
                <w:b/>
                <w:kern w:val="21"/>
                <w:sz w:val="28"/>
                <w:szCs w:val="28"/>
              </w:rPr>
            </w:pPr>
            <w:r>
              <w:rPr>
                <w:rFonts w:hAnsi="宋体"/>
                <w:b/>
                <w:kern w:val="21"/>
                <w:sz w:val="28"/>
                <w:szCs w:val="28"/>
              </w:rPr>
              <w:t>总</w:t>
            </w:r>
          </w:p>
          <w:p>
            <w:pPr>
              <w:adjustRightInd/>
              <w:spacing w:line="240" w:lineRule="auto"/>
              <w:jc w:val="center"/>
              <w:rPr>
                <w:b/>
                <w:kern w:val="21"/>
                <w:sz w:val="28"/>
                <w:szCs w:val="28"/>
              </w:rPr>
            </w:pPr>
            <w:r>
              <w:rPr>
                <w:rFonts w:hAnsi="宋体"/>
                <w:b/>
                <w:kern w:val="21"/>
                <w:sz w:val="28"/>
                <w:szCs w:val="28"/>
              </w:rPr>
              <w:t>量</w:t>
            </w:r>
          </w:p>
          <w:p>
            <w:pPr>
              <w:adjustRightInd/>
              <w:spacing w:line="240" w:lineRule="auto"/>
              <w:jc w:val="center"/>
              <w:rPr>
                <w:b/>
                <w:kern w:val="21"/>
                <w:sz w:val="28"/>
                <w:szCs w:val="28"/>
              </w:rPr>
            </w:pPr>
            <w:r>
              <w:rPr>
                <w:rFonts w:hAnsi="宋体"/>
                <w:b/>
                <w:kern w:val="21"/>
                <w:sz w:val="28"/>
                <w:szCs w:val="28"/>
              </w:rPr>
              <w:t>控</w:t>
            </w:r>
          </w:p>
          <w:p>
            <w:pPr>
              <w:adjustRightInd/>
              <w:spacing w:line="240" w:lineRule="auto"/>
              <w:jc w:val="center"/>
              <w:rPr>
                <w:b/>
                <w:kern w:val="21"/>
                <w:sz w:val="28"/>
                <w:szCs w:val="28"/>
              </w:rPr>
            </w:pPr>
            <w:r>
              <w:rPr>
                <w:rFonts w:hAnsi="宋体"/>
                <w:b/>
                <w:kern w:val="21"/>
                <w:sz w:val="28"/>
                <w:szCs w:val="28"/>
              </w:rPr>
              <w:t>制</w:t>
            </w:r>
          </w:p>
          <w:p>
            <w:pPr>
              <w:adjustRightInd/>
              <w:spacing w:line="240" w:lineRule="auto"/>
              <w:jc w:val="center"/>
              <w:rPr>
                <w:b/>
                <w:kern w:val="21"/>
                <w:sz w:val="28"/>
                <w:szCs w:val="28"/>
              </w:rPr>
            </w:pPr>
            <w:r>
              <w:rPr>
                <w:rFonts w:hAnsi="宋体"/>
                <w:b/>
                <w:kern w:val="21"/>
                <w:sz w:val="28"/>
                <w:szCs w:val="28"/>
              </w:rPr>
              <w:t>指</w:t>
            </w:r>
          </w:p>
          <w:p>
            <w:pPr>
              <w:adjustRightInd/>
              <w:spacing w:line="240" w:lineRule="auto"/>
              <w:jc w:val="center"/>
              <w:rPr>
                <w:rFonts w:hAnsi="宋体"/>
                <w:b/>
                <w:kern w:val="21"/>
                <w:sz w:val="28"/>
              </w:rPr>
            </w:pPr>
            <w:r>
              <w:rPr>
                <w:rFonts w:hAnsi="宋体"/>
                <w:b/>
                <w:kern w:val="21"/>
                <w:sz w:val="28"/>
                <w:szCs w:val="28"/>
              </w:rPr>
              <w:t>标</w:t>
            </w:r>
          </w:p>
        </w:tc>
        <w:tc>
          <w:tcPr>
            <w:tcW w:w="4709" w:type="pct"/>
            <w:tcBorders>
              <w:tl2br w:val="nil"/>
              <w:tr2bl w:val="nil"/>
            </w:tcBorders>
            <w:shd w:val="clear" w:color="auto" w:fill="auto"/>
            <w:vAlign w:val="center"/>
          </w:tcPr>
          <w:p>
            <w:pPr>
              <w:pStyle w:val="137"/>
              <w:ind w:firstLine="480"/>
            </w:pPr>
            <w:r>
              <w:rPr>
                <w:rFonts w:hint="eastAsia"/>
              </w:rPr>
              <w:t>（1）</w:t>
            </w:r>
            <w:r>
              <w:rPr>
                <w:rFonts w:hint="eastAsia"/>
              </w:rPr>
              <w:tab/>
            </w:r>
            <w:r>
              <w:rPr>
                <w:rFonts w:hint="eastAsia"/>
              </w:rPr>
              <w:t>废水：本项目废水不外排，故无需申请总量。</w:t>
            </w:r>
          </w:p>
          <w:p>
            <w:pPr>
              <w:pStyle w:val="137"/>
              <w:ind w:firstLine="480"/>
            </w:pPr>
            <w:r>
              <w:rPr>
                <w:rFonts w:hint="eastAsia"/>
              </w:rPr>
              <w:t>（2）</w:t>
            </w:r>
            <w:r>
              <w:rPr>
                <w:rFonts w:hint="eastAsia"/>
              </w:rPr>
              <w:tab/>
            </w:r>
            <w:r>
              <w:rPr>
                <w:rFonts w:hint="eastAsia"/>
              </w:rPr>
              <w:t>根据《国务院关于印发“十三五”生态环境保护规划的通知》（国发[2016]65号）与广东省环境保护厅《印发&lt;广东省环境保护“十三五” 规划&gt;的通知》（粤环〔2016〕51 号），总量控制指标主要为 COD、NH</w:t>
            </w:r>
            <w:r>
              <w:rPr>
                <w:rFonts w:hint="eastAsia"/>
                <w:vertAlign w:val="subscript"/>
              </w:rPr>
              <w:t>3</w:t>
            </w:r>
            <w:r>
              <w:rPr>
                <w:rFonts w:hint="eastAsia"/>
                <w:vertAlign w:val="baseline"/>
              </w:rPr>
              <w:t>-</w:t>
            </w:r>
            <w:r>
              <w:rPr>
                <w:rFonts w:hint="eastAsia"/>
              </w:rPr>
              <w:t>N、SO</w:t>
            </w:r>
            <w:r>
              <w:rPr>
                <w:rFonts w:hint="eastAsia"/>
                <w:vertAlign w:val="subscript"/>
              </w:rPr>
              <w:t>2</w:t>
            </w:r>
            <w:r>
              <w:rPr>
                <w:rFonts w:hint="eastAsia"/>
              </w:rPr>
              <w:t>、NOx、烟尘、挥发性有机物、总磷及总氮。</w:t>
            </w:r>
          </w:p>
          <w:p>
            <w:pPr>
              <w:pStyle w:val="137"/>
              <w:ind w:firstLine="480"/>
            </w:pPr>
            <w:r>
              <w:rPr>
                <w:rFonts w:hint="eastAsia"/>
              </w:rPr>
              <w:t>由于项目位于湛江市，属于总氮总量控制区，因此，本项目需执行的总量控制指标为COD、NH</w:t>
            </w:r>
            <w:r>
              <w:rPr>
                <w:rFonts w:hint="eastAsia"/>
                <w:vertAlign w:val="subscript"/>
              </w:rPr>
              <w:t>3</w:t>
            </w:r>
            <w:r>
              <w:rPr>
                <w:rFonts w:hint="eastAsia"/>
              </w:rPr>
              <w:t>-N、SO</w:t>
            </w:r>
            <w:r>
              <w:rPr>
                <w:rFonts w:hint="eastAsia"/>
                <w:vertAlign w:val="subscript"/>
              </w:rPr>
              <w:t>2</w:t>
            </w:r>
            <w:r>
              <w:rPr>
                <w:rFonts w:hint="eastAsia"/>
              </w:rPr>
              <w:t xml:space="preserve">、NOx、烟尘、挥发性有机物及总氮。项目备用发电机不设总量控制指标，因此，项目建议总量控制指标如下：无组织非甲烷总烃： </w:t>
            </w:r>
            <w:r>
              <w:t>33.14</w:t>
            </w:r>
            <w:r>
              <w:rPr>
                <w:rFonts w:hint="eastAsia"/>
              </w:rPr>
              <w:t>kg/a。</w:t>
            </w:r>
          </w:p>
          <w:p>
            <w:pPr>
              <w:pStyle w:val="137"/>
              <w:ind w:firstLine="480"/>
            </w:pPr>
          </w:p>
          <w:p>
            <w:pPr>
              <w:pStyle w:val="137"/>
              <w:ind w:firstLine="480"/>
            </w:pPr>
          </w:p>
          <w:p>
            <w:pPr>
              <w:pStyle w:val="137"/>
              <w:ind w:firstLine="480"/>
            </w:pPr>
          </w:p>
          <w:p>
            <w:pPr>
              <w:pStyle w:val="137"/>
              <w:ind w:firstLine="480"/>
            </w:pPr>
          </w:p>
          <w:p>
            <w:pPr>
              <w:pStyle w:val="137"/>
              <w:ind w:firstLine="480"/>
            </w:pPr>
          </w:p>
          <w:p>
            <w:pPr>
              <w:pStyle w:val="137"/>
              <w:ind w:firstLine="480"/>
            </w:pPr>
          </w:p>
          <w:p>
            <w:pPr>
              <w:pStyle w:val="137"/>
              <w:ind w:firstLine="480"/>
            </w:pPr>
          </w:p>
          <w:p>
            <w:pPr>
              <w:pStyle w:val="137"/>
              <w:ind w:firstLine="480"/>
            </w:pPr>
          </w:p>
          <w:p>
            <w:pPr>
              <w:pStyle w:val="137"/>
              <w:ind w:firstLine="480"/>
            </w:pPr>
          </w:p>
          <w:p>
            <w:pPr>
              <w:pStyle w:val="137"/>
              <w:ind w:firstLine="480"/>
            </w:pPr>
          </w:p>
          <w:p>
            <w:pPr>
              <w:pStyle w:val="137"/>
              <w:ind w:firstLine="480"/>
            </w:pPr>
          </w:p>
          <w:p>
            <w:pPr>
              <w:pStyle w:val="137"/>
              <w:ind w:firstLine="480"/>
            </w:pPr>
          </w:p>
          <w:p>
            <w:pPr>
              <w:pStyle w:val="137"/>
              <w:ind w:firstLine="480"/>
            </w:pPr>
          </w:p>
          <w:p>
            <w:pPr>
              <w:pStyle w:val="137"/>
              <w:ind w:firstLine="480"/>
            </w:pPr>
          </w:p>
          <w:p>
            <w:pPr>
              <w:pStyle w:val="137"/>
              <w:ind w:firstLine="480"/>
            </w:pPr>
          </w:p>
          <w:p>
            <w:pPr>
              <w:pStyle w:val="137"/>
              <w:ind w:firstLine="480"/>
            </w:pPr>
          </w:p>
          <w:p>
            <w:pPr>
              <w:pStyle w:val="137"/>
              <w:ind w:firstLine="480"/>
            </w:pPr>
          </w:p>
          <w:p>
            <w:pPr>
              <w:pStyle w:val="137"/>
              <w:ind w:firstLine="480"/>
            </w:pPr>
          </w:p>
          <w:p>
            <w:pPr>
              <w:pStyle w:val="137"/>
              <w:ind w:firstLine="480"/>
            </w:pPr>
          </w:p>
          <w:p>
            <w:pPr>
              <w:pStyle w:val="137"/>
              <w:ind w:firstLine="480"/>
            </w:pPr>
          </w:p>
          <w:p>
            <w:pPr>
              <w:pStyle w:val="137"/>
              <w:ind w:firstLine="480"/>
            </w:pPr>
          </w:p>
        </w:tc>
      </w:tr>
    </w:tbl>
    <w:p>
      <w:pPr>
        <w:adjustRightInd/>
        <w:spacing w:line="360" w:lineRule="auto"/>
        <w:rPr>
          <w:rFonts w:hAnsi="宋体"/>
          <w:b/>
          <w:kern w:val="21"/>
          <w:sz w:val="30"/>
        </w:rPr>
        <w:sectPr>
          <w:pgSz w:w="11907" w:h="16840"/>
          <w:pgMar w:top="1418" w:right="1418" w:bottom="1418" w:left="1418" w:header="851" w:footer="992" w:gutter="113"/>
          <w:pgBorders>
            <w:top w:val="none" w:sz="0" w:space="0"/>
            <w:left w:val="none" w:sz="0" w:space="0"/>
            <w:bottom w:val="none" w:sz="0" w:space="0"/>
            <w:right w:val="none" w:sz="0" w:space="0"/>
          </w:pgBorders>
          <w:cols w:space="720" w:num="1"/>
          <w:titlePg/>
          <w:docGrid w:type="lines" w:linePitch="312" w:charSpace="0"/>
        </w:sectPr>
      </w:pPr>
    </w:p>
    <w:p>
      <w:pPr>
        <w:adjustRightInd/>
        <w:spacing w:line="360" w:lineRule="auto"/>
        <w:outlineLvl w:val="0"/>
        <w:rPr>
          <w:b/>
          <w:sz w:val="30"/>
        </w:rPr>
      </w:pPr>
      <w:bookmarkStart w:id="22" w:name="_Toc23800"/>
      <w:r>
        <w:rPr>
          <w:rFonts w:hAnsi="宋体"/>
          <w:b/>
          <w:kern w:val="21"/>
          <w:sz w:val="30"/>
        </w:rPr>
        <w:t>建设项目工程分析</w:t>
      </w:r>
      <w:bookmarkEnd w:id="22"/>
    </w:p>
    <w:tbl>
      <w:tblPr>
        <w:tblStyle w:val="3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3295" w:hRule="atLeast"/>
        </w:trPr>
        <w:tc>
          <w:tcPr>
            <w:tcW w:w="5000" w:type="pct"/>
            <w:tcBorders>
              <w:tl2br w:val="nil"/>
              <w:tr2bl w:val="nil"/>
            </w:tcBorders>
          </w:tcPr>
          <w:p>
            <w:pPr>
              <w:tabs>
                <w:tab w:val="left" w:pos="0"/>
              </w:tabs>
              <w:adjustRightInd/>
              <w:spacing w:line="360" w:lineRule="auto"/>
              <w:jc w:val="left"/>
              <w:rPr>
                <w:rFonts w:hAnsi="宋体"/>
                <w:b/>
                <w:sz w:val="28"/>
                <w:szCs w:val="28"/>
              </w:rPr>
            </w:pPr>
            <w:r>
              <w:rPr>
                <w:rFonts w:hint="eastAsia" w:hAnsi="宋体"/>
                <w:b/>
                <w:sz w:val="28"/>
                <w:szCs w:val="28"/>
              </w:rPr>
              <w:t>（一）</w:t>
            </w:r>
            <w:r>
              <w:rPr>
                <w:rFonts w:hAnsi="宋体"/>
                <w:b/>
                <w:sz w:val="28"/>
                <w:szCs w:val="28"/>
              </w:rPr>
              <w:t>工艺流程简述</w:t>
            </w:r>
          </w:p>
          <w:p>
            <w:pPr>
              <w:pStyle w:val="137"/>
              <w:ind w:firstLine="480"/>
            </w:pPr>
            <w:r>
              <w:rPr>
                <w:rFonts w:hint="eastAsia"/>
              </w:rPr>
              <w:t>1、施工期</w:t>
            </w:r>
          </w:p>
          <w:p>
            <w:pPr>
              <w:pStyle w:val="137"/>
              <w:ind w:firstLine="480"/>
            </w:pPr>
            <w:r>
              <w:rPr>
                <w:rFonts w:hint="eastAsia"/>
              </w:rPr>
              <w:t>本项目施工期工艺流程见</w:t>
            </w:r>
            <w:r>
              <w:fldChar w:fldCharType="begin"/>
            </w:r>
            <w:r>
              <w:instrText xml:space="preserve"> </w:instrText>
            </w:r>
            <w:r>
              <w:rPr>
                <w:rFonts w:hint="eastAsia"/>
              </w:rPr>
              <w:instrText xml:space="preserve">REF _Ref26879145 \h</w:instrText>
            </w:r>
            <w:r>
              <w:instrText xml:space="preserve">  \* MERGEFORMAT </w:instrText>
            </w:r>
            <w:r>
              <w:fldChar w:fldCharType="separate"/>
            </w:r>
            <w:r>
              <w:rPr>
                <w:rFonts w:hint="eastAsia"/>
              </w:rPr>
              <w:t xml:space="preserve">图 </w:t>
            </w:r>
            <w:r>
              <w:t>4</w:t>
            </w:r>
            <w:r>
              <w:fldChar w:fldCharType="end"/>
            </w:r>
            <w:r>
              <w:rPr>
                <w:rFonts w:hint="eastAsia"/>
              </w:rPr>
              <w:t>。</w:t>
            </w:r>
          </w:p>
          <w:p>
            <w:pPr>
              <w:keepNext/>
              <w:adjustRightInd/>
              <w:spacing w:line="360" w:lineRule="auto"/>
              <w:jc w:val="center"/>
            </w:pPr>
            <w:r>
              <w:drawing>
                <wp:inline distT="0" distB="0" distL="0" distR="0">
                  <wp:extent cx="5238750" cy="1287145"/>
                  <wp:effectExtent l="0" t="0" r="0" b="8255"/>
                  <wp:docPr id="4140" name="Picture 4140"/>
                  <wp:cNvGraphicFramePr/>
                  <a:graphic xmlns:a="http://schemas.openxmlformats.org/drawingml/2006/main">
                    <a:graphicData uri="http://schemas.openxmlformats.org/drawingml/2006/picture">
                      <pic:pic xmlns:pic="http://schemas.openxmlformats.org/drawingml/2006/picture">
                        <pic:nvPicPr>
                          <pic:cNvPr id="4140" name="Picture 4140"/>
                          <pic:cNvPicPr/>
                        </pic:nvPicPr>
                        <pic:blipFill>
                          <a:blip r:embed="rId23">
                            <a:extLst>
                              <a:ext uri="{28A0092B-C50C-407E-A947-70E740481C1C}">
                                <a14:useLocalDpi xmlns:a14="http://schemas.microsoft.com/office/drawing/2010/main" val="0"/>
                              </a:ext>
                            </a:extLst>
                          </a:blip>
                          <a:stretch>
                            <a:fillRect/>
                          </a:stretch>
                        </pic:blipFill>
                        <pic:spPr>
                          <a:xfrm>
                            <a:off x="0" y="0"/>
                            <a:ext cx="5239194" cy="1287734"/>
                          </a:xfrm>
                          <a:prstGeom prst="rect">
                            <a:avLst/>
                          </a:prstGeom>
                        </pic:spPr>
                      </pic:pic>
                    </a:graphicData>
                  </a:graphic>
                </wp:inline>
              </w:drawing>
            </w:r>
          </w:p>
          <w:p>
            <w:pPr>
              <w:pStyle w:val="146"/>
              <w:spacing w:after="156"/>
              <w:rPr>
                <w:rFonts w:hAnsiTheme="majorHAnsi"/>
                <w:kern w:val="0"/>
                <w:sz w:val="20"/>
              </w:rPr>
            </w:pPr>
            <w:bookmarkStart w:id="23" w:name="_Ref26879145"/>
            <w:r>
              <w:rPr>
                <w:rFonts w:hint="eastAsia"/>
              </w:rPr>
              <w:t>图</w:t>
            </w:r>
            <w:bookmarkEnd w:id="23"/>
            <w:r>
              <w:rPr>
                <w:rFonts w:hint="eastAsia"/>
                <w:lang w:val="en-US" w:eastAsia="zh-CN"/>
              </w:rPr>
              <w:t xml:space="preserve">5-1 </w:t>
            </w:r>
            <w:r>
              <w:t xml:space="preserve"> </w:t>
            </w:r>
            <w:r>
              <w:rPr>
                <w:rFonts w:hAnsi="宋体"/>
                <w:kern w:val="21"/>
              </w:rPr>
              <w:t>施工期</w:t>
            </w:r>
            <w:r>
              <w:rPr>
                <w:rFonts w:hint="eastAsia" w:hAnsi="宋体"/>
                <w:kern w:val="21"/>
              </w:rPr>
              <w:t>工艺流程及</w:t>
            </w:r>
            <w:r>
              <w:rPr>
                <w:rFonts w:hAnsi="宋体"/>
                <w:kern w:val="21"/>
              </w:rPr>
              <w:t>产污</w:t>
            </w:r>
            <w:r>
              <w:rPr>
                <w:rFonts w:hint="eastAsia" w:hAnsi="宋体"/>
                <w:kern w:val="21"/>
              </w:rPr>
              <w:t>环节</w:t>
            </w:r>
            <w:r>
              <w:rPr>
                <w:rFonts w:hAnsi="宋体"/>
                <w:kern w:val="21"/>
              </w:rPr>
              <w:t>图</w:t>
            </w:r>
          </w:p>
          <w:p>
            <w:pPr>
              <w:pStyle w:val="137"/>
              <w:ind w:firstLine="480"/>
            </w:pPr>
            <w:r>
              <w:t>2、运营期</w:t>
            </w:r>
          </w:p>
          <w:p>
            <w:pPr>
              <w:pStyle w:val="137"/>
              <w:ind w:firstLine="480"/>
            </w:pPr>
            <w:r>
              <w:rPr>
                <w:rFonts w:hint="eastAsia"/>
              </w:rPr>
              <w:t>本项目运营期工艺流程及产污节点图见</w:t>
            </w:r>
            <w:r>
              <w:fldChar w:fldCharType="begin"/>
            </w:r>
            <w:r>
              <w:instrText xml:space="preserve"> </w:instrText>
            </w:r>
            <w:r>
              <w:rPr>
                <w:rFonts w:hint="eastAsia"/>
              </w:rPr>
              <w:instrText xml:space="preserve">REF _Ref26879152 \h</w:instrText>
            </w:r>
            <w:r>
              <w:instrText xml:space="preserve">  \* MERGEFORMAT </w:instrText>
            </w:r>
            <w:r>
              <w:fldChar w:fldCharType="separate"/>
            </w:r>
            <w:r>
              <w:rPr>
                <w:rFonts w:hint="eastAsia"/>
              </w:rPr>
              <w:t xml:space="preserve">图 </w:t>
            </w:r>
            <w:r>
              <w:t>5</w:t>
            </w:r>
            <w:r>
              <w:fldChar w:fldCharType="end"/>
            </w:r>
            <w:r>
              <w:rPr>
                <w:rFonts w:hint="eastAsia"/>
              </w:rPr>
              <w:t>所示。</w:t>
            </w:r>
          </w:p>
          <w:p>
            <w:pPr>
              <w:keepNext/>
              <w:spacing w:line="360" w:lineRule="auto"/>
              <w:jc w:val="center"/>
            </w:pPr>
            <w:r>
              <w:drawing>
                <wp:inline distT="0" distB="0" distL="0" distR="0">
                  <wp:extent cx="4414520" cy="4591050"/>
                  <wp:effectExtent l="0" t="0" r="5080" b="0"/>
                  <wp:docPr id="4128" name="Picture 4128"/>
                  <wp:cNvGraphicFramePr/>
                  <a:graphic xmlns:a="http://schemas.openxmlformats.org/drawingml/2006/main">
                    <a:graphicData uri="http://schemas.openxmlformats.org/drawingml/2006/picture">
                      <pic:pic xmlns:pic="http://schemas.openxmlformats.org/drawingml/2006/picture">
                        <pic:nvPicPr>
                          <pic:cNvPr id="4128" name="Picture 4128"/>
                          <pic:cNvPicPr/>
                        </pic:nvPicPr>
                        <pic:blipFill>
                          <a:blip r:embed="rId24">
                            <a:extLst>
                              <a:ext uri="{28A0092B-C50C-407E-A947-70E740481C1C}">
                                <a14:useLocalDpi xmlns:a14="http://schemas.microsoft.com/office/drawing/2010/main" val="0"/>
                              </a:ext>
                            </a:extLst>
                          </a:blip>
                          <a:stretch>
                            <a:fillRect/>
                          </a:stretch>
                        </pic:blipFill>
                        <pic:spPr>
                          <a:xfrm>
                            <a:off x="0" y="0"/>
                            <a:ext cx="4414760" cy="4591648"/>
                          </a:xfrm>
                          <a:prstGeom prst="rect">
                            <a:avLst/>
                          </a:prstGeom>
                        </pic:spPr>
                      </pic:pic>
                    </a:graphicData>
                  </a:graphic>
                </wp:inline>
              </w:drawing>
            </w:r>
          </w:p>
          <w:p>
            <w:pPr>
              <w:pStyle w:val="146"/>
              <w:spacing w:after="156"/>
              <w:rPr>
                <w:spacing w:val="-26"/>
                <w:szCs w:val="24"/>
              </w:rPr>
            </w:pPr>
            <w:bookmarkStart w:id="24" w:name="_Ref26879152"/>
            <w:r>
              <w:rPr>
                <w:rFonts w:hint="eastAsia"/>
              </w:rPr>
              <w:t>图</w:t>
            </w:r>
            <w:bookmarkEnd w:id="24"/>
            <w:r>
              <w:rPr>
                <w:rFonts w:hint="eastAsia"/>
                <w:lang w:val="en-US" w:eastAsia="zh-CN"/>
              </w:rPr>
              <w:t xml:space="preserve">5-2 </w:t>
            </w:r>
            <w:r>
              <w:t xml:space="preserve"> </w:t>
            </w:r>
            <w:r>
              <w:rPr>
                <w:rFonts w:hint="eastAsia"/>
                <w:szCs w:val="24"/>
              </w:rPr>
              <w:t>项目营运期工业流程及产污节点图</w:t>
            </w:r>
          </w:p>
          <w:p>
            <w:pPr>
              <w:pStyle w:val="137"/>
              <w:ind w:firstLine="480"/>
            </w:pPr>
            <w:r>
              <w:rPr>
                <w:rFonts w:hint="eastAsia"/>
              </w:rPr>
              <w:t>工艺流程说明：</w:t>
            </w:r>
          </w:p>
          <w:p>
            <w:pPr>
              <w:pStyle w:val="137"/>
              <w:ind w:firstLine="480"/>
            </w:pPr>
            <w:r>
              <w:rPr>
                <w:rFonts w:hint="eastAsia"/>
              </w:rPr>
              <w:t>（1）卸油</w:t>
            </w:r>
          </w:p>
          <w:p>
            <w:pPr>
              <w:pStyle w:val="137"/>
              <w:ind w:firstLine="480"/>
            </w:pPr>
            <w:r>
              <w:rPr>
                <w:rFonts w:hint="eastAsia"/>
              </w:rPr>
              <w:t>该加油站采用密闭式卸油方式卸油， 严格按照《加油站大气污染物排放标准》(GB20952-2007)中的相关要求安装使用卸油油气回收系统。</w:t>
            </w:r>
          </w:p>
          <w:p>
            <w:pPr>
              <w:pStyle w:val="137"/>
              <w:ind w:firstLine="480"/>
            </w:pPr>
            <w:r>
              <w:rPr>
                <w:rFonts w:hint="eastAsia"/>
              </w:rPr>
              <w:t>油品由槽车运送至加油站卸油区，接通静电接地装置，将卸油软管接通密闭卸油口，接通油气回收软管，利用液位差将汽油输送至埋地油罐储存，油罐车在加油站装卸油料时，随着新的油料进入地下油罐，罐中的油蒸气就会排入空气中，另外随着油罐车油罐的液面下降，罐壁蒸发面积扩大，外部的高气温也会对其罐壁和空间造成一定的蒸发。卸油油气回收系统主要是针对这一部分的逃逸蒸汽而设计，它是指在油罐车卸油时采用密封式卸油，减少油气向外界溢散。其基本原理就是用导管将拟逃逸到空气中的油气重新输送回油罐车里，完成油气循环的卸油过程。回收到油罐车的油气，可由油罐车带回油库后再经冷凝、吸附或是燃烧等方式处理。本环节产生的主要污染物为非甲烷总烃废气、汽车尾气及噪声。油罐每五年清理一次，每次清理会产生一定量的油泥。</w:t>
            </w:r>
          </w:p>
          <w:p>
            <w:pPr>
              <w:pStyle w:val="137"/>
              <w:ind w:firstLine="480"/>
            </w:pPr>
            <w:r>
              <w:rPr>
                <w:rFonts w:hint="eastAsia"/>
              </w:rPr>
              <w:t>（</w:t>
            </w:r>
            <w:r>
              <w:t>2</w:t>
            </w:r>
            <w:r>
              <w:rPr>
                <w:rFonts w:hint="eastAsia"/>
              </w:rPr>
              <w:t>）加油</w:t>
            </w:r>
          </w:p>
          <w:p>
            <w:pPr>
              <w:pStyle w:val="137"/>
              <w:ind w:firstLine="480"/>
            </w:pPr>
            <w:r>
              <w:rPr>
                <w:rFonts w:hint="eastAsia"/>
              </w:rPr>
              <w:t>加油采用潜油泵式正压供油，有车辆需要加油时，加油机本身自带的潜油泵会将油品由储油罐吸到加油机中，经泵提升加压后给汽车加油，每个加油枪设单独管线吸油，加油枪采用自封式加油枪。本项目严格按照《加油站大气污染物排放标准》（GB20952-2007）中的相关要求，针对加油系统设置加油油气回收系统。（由于柴油油品挥发性极差，因此柴油加油枪不设油气回收系统）。</w:t>
            </w:r>
          </w:p>
          <w:p>
            <w:pPr>
              <w:pStyle w:val="137"/>
              <w:ind w:firstLine="480"/>
            </w:pPr>
            <w:r>
              <w:rPr>
                <w:rFonts w:hint="eastAsia"/>
              </w:rPr>
              <w:t>加油作业损失主要指为车辆加油时，油品进入汽车油箱，油箱内的烃类气体被油品置换排入大气。加油油气回收系统主要就是指在汽车加油时，利用油枪上的特殊装置，将原本会由汽车油箱溢散于空气中的油气经由加油枪、抽气马达汇入油罐内。其工作原理是利用外加的辅助动力如真空马达或同步叶片涡轮式真空泵,在加油运转时产生约1200~1400Pa 的中央真空压力，再通过回收管、回收油枪将油箱逃逸出来的油气回收。该系统要求在加油枪和机动车的油罐口之间的接触面具有充分的密闭性。本环节产生的污染物主要为非甲烷总烃废气、汽车尾气及噪声。</w:t>
            </w:r>
          </w:p>
          <w:p>
            <w:pPr>
              <w:pStyle w:val="137"/>
              <w:ind w:firstLine="480"/>
            </w:pPr>
            <w:r>
              <w:rPr>
                <w:rFonts w:hint="eastAsia"/>
              </w:rPr>
              <w:t>（3）储油</w:t>
            </w:r>
          </w:p>
          <w:p>
            <w:pPr>
              <w:pStyle w:val="137"/>
              <w:ind w:firstLine="480"/>
            </w:pPr>
            <w:r>
              <w:rPr>
                <w:rFonts w:hint="eastAsia"/>
              </w:rPr>
              <w:t>油罐在正常储油的情况下，随着外界气温、压力在一天内的升降周期变化，罐内气体空间温度、油品蒸发速度、油气浓度和蒸汽压力也随之变化，从而引起油蒸气和外界空气的交换，从而导致油气损失。本环节产生的污染物主要为油罐呼吸产生的非甲烷总烃废气。</w:t>
            </w:r>
          </w:p>
          <w:p>
            <w:pPr>
              <w:pStyle w:val="137"/>
              <w:ind w:firstLine="480"/>
            </w:pPr>
            <w:r>
              <w:rPr>
                <w:rFonts w:hint="eastAsia"/>
              </w:rPr>
              <w:t>（4）加油站阀门的设置情况及原理</w:t>
            </w:r>
          </w:p>
          <w:p>
            <w:pPr>
              <w:pStyle w:val="137"/>
              <w:ind w:firstLine="480"/>
            </w:pPr>
            <w:r>
              <w:rPr>
                <w:rFonts w:hint="eastAsia"/>
              </w:rPr>
              <w:t>呼吸阀由压力阀和真空阀两者组成，安装在汽油、柴油储罐上，主要是维护储罐气压平衡、减少介质挥发。呼吸阀充分利用储罐本身的承压能力来减少介质排放，其原理是利用正负压阀盘的重量来控制储罐的排气证压和吸气负压；当往罐外抽出介质，使罐内上部气体空间的压力下降，达到呼吸阀的操作负压时，罐外的大气将顶开呼吸阀的负压阀盘岍，使外界气体进入罐内，使罐内的压力不再继续下降，让罐内与罐外的压平衡，来保护储罐的安全装置。</w:t>
            </w:r>
          </w:p>
          <w:p>
            <w:pPr>
              <w:pStyle w:val="137"/>
              <w:ind w:firstLine="480"/>
            </w:pPr>
            <w:r>
              <w:rPr>
                <w:rFonts w:hint="eastAsia"/>
              </w:rPr>
              <w:t>呼吸阀原理：呼吸阀充分利用油罐本身的承压能力来减少油蒸气排放，其原理是利用阀盘的重量来控制油罐的呼气正压和吸气负压。当罐内气体的压力在机械呼吸阀的控制压力范围之内时夹套呼吸阀不动作，保持油罐的密闭性；当罐内气体空间的压力升高，达到呼吸阀的控制正压时，力阀被顶开，气体从罐内逸出，使罐内压力不在继承增高；当罐内气体空间的压力下降，达到呼吸阀的控制负压时，罐外的大气将顶开真空阀而进入罐内，使罐内的压力不在继承下降。呼吸阀工作原理是利用阀盘(有时阀盘上加重块)的重量，来控制罐内的呼气压力和吸入的真空度。当罐内气体的压力超过油罐的答应压力值时，力阀即被顶开，混合油气从罐内逸出(呼出)，使罐内的压力不再增高。</w:t>
            </w:r>
          </w:p>
          <w:p>
            <w:pPr>
              <w:pStyle w:val="137"/>
              <w:ind w:firstLine="480"/>
            </w:pPr>
            <w:r>
              <w:rPr>
                <w:rFonts w:hint="eastAsia"/>
              </w:rPr>
              <w:t>当罐内气体的真空度超过油罐的答应真空度时，真空阀即被开，吸入空气(吸气)维持油罐压力平衡。压力在一定范围内，油罐不呼吸，所以呼吸阀在一定程度上减少了油品的蒸发损耗。</w:t>
            </w:r>
          </w:p>
          <w:p>
            <w:pPr>
              <w:pStyle w:val="137"/>
              <w:ind w:firstLine="480"/>
            </w:pPr>
            <w:r>
              <w:rPr>
                <w:rFonts w:hint="eastAsia"/>
              </w:rPr>
              <w:t>球阀它具有旋转90 度的动作，旋塞体为球体，有圆形通孔或通道通过其轴线。球阀在管路中主要用来做切断、分配和改变介质的流动方向，它只需要用旋转90 度的操作和很小的转动力矩就能关闭严密。本项目主要将球阀作为开关，切断阀使用，并具有节流、控制流量的作用。</w:t>
            </w:r>
          </w:p>
          <w:p>
            <w:pPr>
              <w:tabs>
                <w:tab w:val="left" w:pos="0"/>
              </w:tabs>
              <w:adjustRightInd/>
              <w:spacing w:line="360" w:lineRule="auto"/>
              <w:jc w:val="left"/>
              <w:rPr>
                <w:rFonts w:hAnsi="宋体"/>
                <w:b/>
                <w:sz w:val="28"/>
                <w:szCs w:val="28"/>
              </w:rPr>
            </w:pPr>
            <w:r>
              <w:rPr>
                <w:rFonts w:hint="eastAsia" w:hAnsi="宋体"/>
                <w:b/>
                <w:sz w:val="28"/>
                <w:szCs w:val="28"/>
              </w:rPr>
              <w:t>（二）</w:t>
            </w:r>
            <w:r>
              <w:rPr>
                <w:rFonts w:hAnsi="宋体"/>
                <w:b/>
                <w:sz w:val="28"/>
                <w:szCs w:val="28"/>
              </w:rPr>
              <w:t>主要污染</w:t>
            </w:r>
            <w:r>
              <w:rPr>
                <w:rFonts w:hint="eastAsia" w:hAnsi="宋体"/>
                <w:b/>
                <w:sz w:val="28"/>
                <w:szCs w:val="28"/>
              </w:rPr>
              <w:t>源</w:t>
            </w:r>
          </w:p>
          <w:p>
            <w:pPr>
              <w:pStyle w:val="137"/>
              <w:ind w:firstLine="480"/>
            </w:pPr>
            <w:r>
              <w:rPr>
                <w:rFonts w:hint="eastAsia"/>
              </w:rPr>
              <w:t>1、施工期主要污染源：</w:t>
            </w:r>
          </w:p>
          <w:p>
            <w:pPr>
              <w:pStyle w:val="137"/>
              <w:ind w:firstLine="480"/>
            </w:pPr>
            <w:r>
              <w:rPr>
                <w:rFonts w:hint="eastAsia"/>
              </w:rPr>
              <w:t>（1）废气污染源</w:t>
            </w:r>
          </w:p>
          <w:p>
            <w:pPr>
              <w:pStyle w:val="137"/>
              <w:ind w:firstLine="480"/>
            </w:pPr>
            <w:r>
              <w:rPr>
                <w:rFonts w:hint="eastAsia"/>
              </w:rPr>
              <w:t>项目施工期产生的大气环境影响主要来自建筑施工扬尘、运输车辆及作业机械尾气。</w:t>
            </w:r>
          </w:p>
          <w:p>
            <w:pPr>
              <w:pStyle w:val="137"/>
              <w:ind w:firstLine="480"/>
            </w:pPr>
            <w:r>
              <w:rPr>
                <w:rFonts w:hint="eastAsia"/>
              </w:rPr>
              <w:t>（1）扬尘</w:t>
            </w:r>
          </w:p>
          <w:p>
            <w:pPr>
              <w:pStyle w:val="137"/>
              <w:ind w:firstLine="480"/>
            </w:pPr>
            <w:r>
              <w:rPr>
                <w:rFonts w:hint="eastAsia"/>
              </w:rPr>
              <w:t>扬尘的来源包括有：①土方挖掘及堆放扬尘；②建筑材料的堆放、现场搬运、装卸等产生扬尘；③车辆来往造成的现场道路扬尘。其中车辆运输产生的影响最大；施工场地产生的扬尘按起尘的原因可分为风力起尘和动力起尘，其中风力起尘主要是由于露天堆放的建材（如黄沙、水泥等）及裸露的施工区表层浮尘因天气干燥及大风，产生风尘扬尘；而动力起尘，主要是在建材的装卸、搅拌过程中，由于外力扰动而产生。在两个因素中，以风力因素影响最大。</w:t>
            </w:r>
          </w:p>
          <w:p>
            <w:pPr>
              <w:pStyle w:val="137"/>
              <w:ind w:firstLine="480"/>
            </w:pPr>
            <w:r>
              <w:rPr>
                <w:rFonts w:hint="eastAsia"/>
              </w:rPr>
              <w:t>①施工场内扬尘</w:t>
            </w:r>
          </w:p>
          <w:p>
            <w:pPr>
              <w:pStyle w:val="137"/>
              <w:ind w:firstLine="480"/>
            </w:pPr>
            <w:r>
              <w:rPr>
                <w:rFonts w:hint="eastAsia"/>
              </w:rPr>
              <w:t>施工扬尘的浓度与施工条件、施工管理水平、施工机械化程度及施工季节、建设地区土质及天气等诸多因素有关。</w:t>
            </w:r>
          </w:p>
          <w:p>
            <w:pPr>
              <w:pStyle w:val="137"/>
              <w:ind w:firstLine="480"/>
            </w:pPr>
            <w:r>
              <w:rPr>
                <w:rFonts w:hint="eastAsia"/>
              </w:rPr>
              <w:t>开挖扬尘：通过类比调查，未采取防护措施和土壤较为干燥时，开挖最大扬尘约为开挖土量的1％；在采取一定防护措施和土壤较为湿润时，开挖扬尘量约为0.1％。</w:t>
            </w:r>
          </w:p>
          <w:p>
            <w:pPr>
              <w:pStyle w:val="137"/>
              <w:ind w:firstLine="480"/>
            </w:pPr>
            <w:r>
              <w:rPr>
                <w:rFonts w:hint="eastAsia"/>
              </w:rPr>
              <w:t>物料堆扬尘：施工现场物料、弃土堆积也会产生扬尘。据资料统计，扬尘排放量为0.12kg/m</w:t>
            </w:r>
            <w:r>
              <w:rPr>
                <w:rFonts w:hint="eastAsia"/>
                <w:vertAlign w:val="superscript"/>
              </w:rPr>
              <w:t>3</w:t>
            </w:r>
            <w:r>
              <w:rPr>
                <w:rFonts w:hint="eastAsia"/>
              </w:rPr>
              <w:t>物料。若用帆布覆盖或水淋除尘，排放量可减少10％。</w:t>
            </w:r>
          </w:p>
          <w:p>
            <w:pPr>
              <w:pStyle w:val="137"/>
              <w:ind w:firstLine="480"/>
            </w:pPr>
            <w:r>
              <w:rPr>
                <w:rFonts w:hint="eastAsia"/>
              </w:rPr>
              <w:t>该项目土壤较为湿润，施工场地在风及作业机械的影响下，类比其他项目，其粉尘的排放因子为3.5kg/(ha·h)，项目工程破土总面积为</w:t>
            </w:r>
            <w:r>
              <w:t>1414.90</w:t>
            </w:r>
            <w:r>
              <w:rPr>
                <w:rFonts w:hint="eastAsia"/>
              </w:rPr>
              <w:t>m</w:t>
            </w:r>
            <w:r>
              <w:rPr>
                <w:rFonts w:hint="eastAsia"/>
                <w:vertAlign w:val="superscript"/>
              </w:rPr>
              <w:t>2</w:t>
            </w:r>
            <w:r>
              <w:rPr>
                <w:rFonts w:hint="eastAsia"/>
              </w:rPr>
              <w:t>，取施工现场的活跃面积比为20%，则该项目施工场地风蚀扬尘的排放量为：</w:t>
            </w:r>
          </w:p>
          <w:p>
            <w:pPr>
              <w:pStyle w:val="137"/>
              <w:ind w:firstLine="480"/>
            </w:pPr>
            <w:r>
              <w:t>3.5</w:t>
            </w:r>
            <w:r>
              <w:rPr>
                <w:rFonts w:hint="eastAsia"/>
              </w:rPr>
              <w:t>×</w:t>
            </w:r>
            <w:r>
              <w:t>1414.90</w:t>
            </w:r>
            <w:r>
              <w:rPr>
                <w:rFonts w:hint="eastAsia"/>
              </w:rPr>
              <w:t>×</w:t>
            </w:r>
            <w:r>
              <w:t>10</w:t>
            </w:r>
            <w:r>
              <w:rPr>
                <w:vertAlign w:val="superscript"/>
              </w:rPr>
              <w:t>-4</w:t>
            </w:r>
            <w:r>
              <w:rPr>
                <w:rFonts w:hint="eastAsia"/>
              </w:rPr>
              <w:t>×</w:t>
            </w:r>
            <w:r>
              <w:t>0.2</w:t>
            </w:r>
            <w:r>
              <w:rPr>
                <w:rFonts w:hint="eastAsia"/>
              </w:rPr>
              <w:t>×</w:t>
            </w:r>
            <w:r>
              <w:t>12=1.19kg/d</w:t>
            </w:r>
          </w:p>
          <w:p>
            <w:pPr>
              <w:pStyle w:val="137"/>
              <w:ind w:firstLine="480"/>
              <w:rPr>
                <w:rFonts w:ascii="宋体"/>
                <w:szCs w:val="24"/>
              </w:rPr>
            </w:pPr>
            <w:r>
              <w:rPr>
                <w:rFonts w:hint="eastAsia" w:ascii="宋体"/>
                <w:szCs w:val="24"/>
              </w:rPr>
              <w:t>本次评价采用类比现场、实测资料进行扬尘浓度分析，根据北京市环境科学研究院等单位在市政施工现场的实测资料，在施工场地未采取治理措施的情况下扬尘污染情况见</w:t>
            </w:r>
            <w:r>
              <w:rPr>
                <w:rFonts w:hint="eastAsia" w:ascii="宋体"/>
                <w:szCs w:val="24"/>
                <w:lang w:val="en-US" w:eastAsia="zh-CN"/>
              </w:rPr>
              <w:t>表5-1</w:t>
            </w:r>
            <w:r>
              <w:rPr>
                <w:rFonts w:hint="eastAsia" w:ascii="宋体"/>
                <w:szCs w:val="24"/>
              </w:rPr>
              <w:t>。</w:t>
            </w:r>
          </w:p>
          <w:p>
            <w:pPr>
              <w:pStyle w:val="143"/>
              <w:spacing w:before="156"/>
              <w:rPr>
                <w:vertAlign w:val="superscript"/>
              </w:rPr>
            </w:pPr>
            <w:bookmarkStart w:id="25" w:name="_Ref45478340"/>
            <w:r>
              <w:rPr>
                <w:rFonts w:hint="eastAsia"/>
              </w:rPr>
              <w:t>表</w:t>
            </w:r>
            <w:bookmarkEnd w:id="25"/>
            <w:r>
              <w:rPr>
                <w:rFonts w:hint="eastAsia"/>
                <w:lang w:val="en-US" w:eastAsia="zh-CN"/>
              </w:rPr>
              <w:t xml:space="preserve">5-1 </w:t>
            </w:r>
            <w:r>
              <w:rPr>
                <w:rFonts w:hint="eastAsia"/>
              </w:rPr>
              <w:t xml:space="preserve">  某施工工地大气 TSP 浓度变化表</w:t>
            </w:r>
            <w:r>
              <w:rPr>
                <w:rFonts w:hint="eastAsia"/>
              </w:rPr>
              <w:tab/>
            </w:r>
            <w:r>
              <w:rPr>
                <w:rFonts w:hint="eastAsia"/>
              </w:rPr>
              <w:t>单位：mg/m</w:t>
            </w:r>
            <w:r>
              <w:rPr>
                <w:rFonts w:hint="eastAsia"/>
                <w:vertAlign w:val="superscript"/>
              </w:rPr>
              <w:t>3</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7"/>
              <w:gridCol w:w="993"/>
              <w:gridCol w:w="848"/>
              <w:gridCol w:w="850"/>
              <w:gridCol w:w="850"/>
              <w:gridCol w:w="852"/>
              <w:gridCol w:w="991"/>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6" w:type="pct"/>
                  <w:shd w:val="clear" w:color="auto" w:fill="auto"/>
                  <w:vAlign w:val="center"/>
                </w:tcPr>
                <w:p>
                  <w:pPr>
                    <w:pStyle w:val="141"/>
                  </w:pPr>
                  <w:r>
                    <w:rPr>
                      <w:rFonts w:hint="eastAsia"/>
                    </w:rPr>
                    <w:t>距工地距离</w:t>
                  </w:r>
                </w:p>
              </w:tc>
              <w:tc>
                <w:tcPr>
                  <w:tcW w:w="555" w:type="pct"/>
                  <w:shd w:val="clear" w:color="auto" w:fill="auto"/>
                  <w:vAlign w:val="center"/>
                </w:tcPr>
                <w:p>
                  <w:pPr>
                    <w:pStyle w:val="141"/>
                  </w:pPr>
                  <w:r>
                    <w:rPr>
                      <w:rFonts w:hint="eastAsia"/>
                    </w:rPr>
                    <w:t>对照点</w:t>
                  </w:r>
                </w:p>
              </w:tc>
              <w:tc>
                <w:tcPr>
                  <w:tcW w:w="474" w:type="pct"/>
                  <w:shd w:val="clear" w:color="auto" w:fill="auto"/>
                  <w:vAlign w:val="center"/>
                </w:tcPr>
                <w:p>
                  <w:pPr>
                    <w:pStyle w:val="141"/>
                  </w:pPr>
                  <w:r>
                    <w:rPr>
                      <w:rFonts w:hint="eastAsia"/>
                    </w:rPr>
                    <w:t>10m</w:t>
                  </w:r>
                </w:p>
              </w:tc>
              <w:tc>
                <w:tcPr>
                  <w:tcW w:w="475" w:type="pct"/>
                  <w:shd w:val="clear" w:color="auto" w:fill="auto"/>
                  <w:vAlign w:val="center"/>
                </w:tcPr>
                <w:p>
                  <w:pPr>
                    <w:pStyle w:val="141"/>
                  </w:pPr>
                  <w:r>
                    <w:rPr>
                      <w:rFonts w:hint="eastAsia"/>
                    </w:rPr>
                    <w:t>30m</w:t>
                  </w:r>
                </w:p>
              </w:tc>
              <w:tc>
                <w:tcPr>
                  <w:tcW w:w="475" w:type="pct"/>
                  <w:shd w:val="clear" w:color="auto" w:fill="auto"/>
                  <w:vAlign w:val="center"/>
                </w:tcPr>
                <w:p>
                  <w:pPr>
                    <w:pStyle w:val="141"/>
                  </w:pPr>
                  <w:r>
                    <w:rPr>
                      <w:rFonts w:hint="eastAsia"/>
                    </w:rPr>
                    <w:t>5 m</w:t>
                  </w:r>
                </w:p>
              </w:tc>
              <w:tc>
                <w:tcPr>
                  <w:tcW w:w="476" w:type="pct"/>
                  <w:shd w:val="clear" w:color="auto" w:fill="auto"/>
                  <w:vAlign w:val="center"/>
                </w:tcPr>
                <w:p>
                  <w:pPr>
                    <w:pStyle w:val="141"/>
                  </w:pPr>
                  <w:r>
                    <w:rPr>
                      <w:rFonts w:hint="eastAsia"/>
                    </w:rPr>
                    <w:t>100m</w:t>
                  </w:r>
                </w:p>
              </w:tc>
              <w:tc>
                <w:tcPr>
                  <w:tcW w:w="554" w:type="pct"/>
                  <w:shd w:val="clear" w:color="auto" w:fill="auto"/>
                  <w:vAlign w:val="center"/>
                </w:tcPr>
                <w:p>
                  <w:pPr>
                    <w:pStyle w:val="141"/>
                  </w:pPr>
                  <w:r>
                    <w:rPr>
                      <w:rFonts w:hint="eastAsia"/>
                    </w:rPr>
                    <w:t>200m</w:t>
                  </w:r>
                </w:p>
              </w:tc>
              <w:tc>
                <w:tcPr>
                  <w:tcW w:w="725" w:type="pct"/>
                  <w:shd w:val="clear" w:color="auto" w:fill="auto"/>
                  <w:vAlign w:val="center"/>
                </w:tcPr>
                <w:p>
                  <w:pPr>
                    <w:pStyle w:val="141"/>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6" w:type="pct"/>
                  <w:shd w:val="clear" w:color="auto" w:fill="auto"/>
                  <w:vAlign w:val="center"/>
                </w:tcPr>
                <w:p>
                  <w:pPr>
                    <w:pStyle w:val="141"/>
                  </w:pPr>
                  <w:r>
                    <w:rPr>
                      <w:rFonts w:hint="eastAsia"/>
                    </w:rPr>
                    <w:t>场地未洒水TSP 浓度</w:t>
                  </w:r>
                </w:p>
              </w:tc>
              <w:tc>
                <w:tcPr>
                  <w:tcW w:w="555" w:type="pct"/>
                  <w:shd w:val="clear" w:color="auto" w:fill="auto"/>
                  <w:vAlign w:val="center"/>
                </w:tcPr>
                <w:p>
                  <w:pPr>
                    <w:pStyle w:val="141"/>
                  </w:pPr>
                  <w:r>
                    <w:rPr>
                      <w:rFonts w:hint="eastAsia"/>
                    </w:rPr>
                    <w:t>0.54</w:t>
                  </w:r>
                </w:p>
              </w:tc>
              <w:tc>
                <w:tcPr>
                  <w:tcW w:w="474" w:type="pct"/>
                  <w:shd w:val="clear" w:color="auto" w:fill="auto"/>
                  <w:vAlign w:val="center"/>
                </w:tcPr>
                <w:p>
                  <w:pPr>
                    <w:pStyle w:val="141"/>
                  </w:pPr>
                  <w:r>
                    <w:rPr>
                      <w:rFonts w:hint="eastAsia"/>
                    </w:rPr>
                    <w:t>1.843</w:t>
                  </w:r>
                </w:p>
              </w:tc>
              <w:tc>
                <w:tcPr>
                  <w:tcW w:w="475" w:type="pct"/>
                  <w:shd w:val="clear" w:color="auto" w:fill="auto"/>
                  <w:vAlign w:val="center"/>
                </w:tcPr>
                <w:p>
                  <w:pPr>
                    <w:pStyle w:val="141"/>
                  </w:pPr>
                  <w:r>
                    <w:rPr>
                      <w:rFonts w:hint="eastAsia"/>
                    </w:rPr>
                    <w:t>0.987</w:t>
                  </w:r>
                </w:p>
              </w:tc>
              <w:tc>
                <w:tcPr>
                  <w:tcW w:w="475" w:type="pct"/>
                  <w:shd w:val="clear" w:color="auto" w:fill="auto"/>
                  <w:vAlign w:val="center"/>
                </w:tcPr>
                <w:p>
                  <w:pPr>
                    <w:pStyle w:val="141"/>
                  </w:pPr>
                  <w:r>
                    <w:rPr>
                      <w:rFonts w:hint="eastAsia"/>
                    </w:rPr>
                    <w:t>0.542</w:t>
                  </w:r>
                </w:p>
              </w:tc>
              <w:tc>
                <w:tcPr>
                  <w:tcW w:w="476" w:type="pct"/>
                  <w:shd w:val="clear" w:color="auto" w:fill="auto"/>
                  <w:vAlign w:val="center"/>
                </w:tcPr>
                <w:p>
                  <w:pPr>
                    <w:pStyle w:val="141"/>
                  </w:pPr>
                  <w:r>
                    <w:rPr>
                      <w:rFonts w:hint="eastAsia"/>
                    </w:rPr>
                    <w:t>0.398</w:t>
                  </w:r>
                </w:p>
              </w:tc>
              <w:tc>
                <w:tcPr>
                  <w:tcW w:w="554" w:type="pct"/>
                  <w:shd w:val="clear" w:color="auto" w:fill="auto"/>
                  <w:vAlign w:val="center"/>
                </w:tcPr>
                <w:p>
                  <w:pPr>
                    <w:pStyle w:val="141"/>
                  </w:pPr>
                  <w:r>
                    <w:rPr>
                      <w:rFonts w:hint="eastAsia"/>
                    </w:rPr>
                    <w:t>0.372</w:t>
                  </w:r>
                </w:p>
              </w:tc>
              <w:tc>
                <w:tcPr>
                  <w:tcW w:w="725" w:type="pct"/>
                  <w:shd w:val="clear" w:color="auto" w:fill="auto"/>
                  <w:vAlign w:val="center"/>
                </w:tcPr>
                <w:p>
                  <w:pPr>
                    <w:pStyle w:val="141"/>
                  </w:pPr>
                  <w:r>
                    <w:rPr>
                      <w:rFonts w:hint="eastAsia"/>
                    </w:rPr>
                    <w:t>春季测量</w:t>
                  </w:r>
                </w:p>
              </w:tc>
            </w:tr>
          </w:tbl>
          <w:p>
            <w:pPr>
              <w:pStyle w:val="137"/>
              <w:ind w:firstLine="480"/>
              <w:rPr>
                <w:rFonts w:ascii="宋体"/>
                <w:szCs w:val="24"/>
              </w:rPr>
            </w:pPr>
          </w:p>
          <w:p>
            <w:pPr>
              <w:pStyle w:val="137"/>
              <w:ind w:firstLine="480"/>
            </w:pPr>
            <w:r>
              <w:rPr>
                <w:rFonts w:hint="eastAsia"/>
              </w:rPr>
              <w:t>从</w:t>
            </w:r>
            <w:r>
              <w:rPr>
                <w:rFonts w:hint="eastAsia" w:ascii="宋体"/>
                <w:szCs w:val="24"/>
                <w:lang w:val="en-US" w:eastAsia="zh-CN"/>
              </w:rPr>
              <w:t>表5-1</w:t>
            </w:r>
            <w:r>
              <w:rPr>
                <w:rFonts w:hint="eastAsia"/>
              </w:rPr>
              <w:t>可见，TSP的浓度随距离的增加而迅速减小，未采取施工扬尘治理措施的情况下，施工扬尘污染较严重，在一般气象，平均风速2.5m/s的情况下，建筑工地内TSP的浓度为上风向对照点的2.0～2.5倍；施工扬尘影响范围随风速的增加而增加，影响范围一般在其下风向约200m以内。由此可见，如果不采取有效的防治扬尘措施，周边200m范围内环境扬尘浓度增量1.843~0.372mg/m</w:t>
            </w:r>
            <w:r>
              <w:rPr>
                <w:rFonts w:hint="eastAsia"/>
                <w:vertAlign w:val="superscript"/>
              </w:rPr>
              <w:t>3</w:t>
            </w:r>
            <w:r>
              <w:rPr>
                <w:rFonts w:hint="eastAsia"/>
              </w:rPr>
              <w:t>之间，受项目扬尘影响相对较大，但该种不良影响将随着施工期的结束而结束。</w:t>
            </w:r>
          </w:p>
          <w:p>
            <w:pPr>
              <w:pStyle w:val="137"/>
              <w:ind w:firstLine="480"/>
            </w:pPr>
            <w:r>
              <w:rPr>
                <w:rFonts w:hint="eastAsia"/>
              </w:rPr>
              <w:t>②车辆运输扬尘</w:t>
            </w:r>
          </w:p>
          <w:p>
            <w:pPr>
              <w:pStyle w:val="137"/>
              <w:ind w:firstLine="480"/>
            </w:pPr>
            <w:r>
              <w:rPr>
                <w:rFonts w:hint="eastAsia"/>
              </w:rPr>
              <w:t>据有关资料，运输车辆在施工场地行驶产生的扬尘约占施工扬尘总量的60％，这与场地状况有很大关系。施工运输车辆通过便道行驶产生的扬尘源强大小与污染源的距离、道路路面、行使速度有关。一般情况，在不采取任何抑尘措施的情况下，产尘点周围5m范围内的TSP小时浓度值可达10mg/m</w:t>
            </w:r>
            <w:r>
              <w:rPr>
                <w:rFonts w:hint="eastAsia"/>
                <w:vertAlign w:val="superscript"/>
              </w:rPr>
              <w:t>3</w:t>
            </w:r>
            <w:r>
              <w:rPr>
                <w:rFonts w:hint="eastAsia"/>
              </w:rPr>
              <w:t>，在自然风作用下，一般影响的范围在100m以内，在产尘点下风向100m处的TSP小时浓度值可降至1mg/m</w:t>
            </w:r>
            <w:r>
              <w:rPr>
                <w:rFonts w:hint="eastAsia"/>
                <w:vertAlign w:val="superscript"/>
              </w:rPr>
              <w:t>3</w:t>
            </w:r>
            <w:r>
              <w:rPr>
                <w:rFonts w:hint="eastAsia"/>
              </w:rPr>
              <w:t>以下。类比同类型项目分析，如果在施工期间对车辆行驶的路面洒水抑尘，每天洒水4～5次，扬尘减少70%左右。由此可见实施每天洒水4～5次，可有效控制车辆扬尘，将TSP污染缩小到20～50m。</w:t>
            </w:r>
          </w:p>
          <w:p>
            <w:pPr>
              <w:pStyle w:val="137"/>
              <w:ind w:firstLine="480"/>
            </w:pPr>
            <w:r>
              <w:rPr>
                <w:rFonts w:hint="eastAsia"/>
              </w:rPr>
              <w:t>（2）施工机械燃油废气</w:t>
            </w:r>
          </w:p>
          <w:p>
            <w:pPr>
              <w:pStyle w:val="137"/>
              <w:ind w:firstLine="480"/>
            </w:pPr>
            <w:r>
              <w:rPr>
                <w:rFonts w:hint="eastAsia"/>
              </w:rPr>
              <w:t>本项目施工过程用到的施工机械，主要包括挖土机、推土机等机械，它们以柴油为燃料，都会产生一定量的废气，包括CO、THC、NOx、SO</w:t>
            </w:r>
            <w:r>
              <w:rPr>
                <w:rFonts w:hint="eastAsia"/>
                <w:vertAlign w:val="subscript"/>
              </w:rPr>
              <w:t>2</w:t>
            </w:r>
            <w:r>
              <w:rPr>
                <w:rFonts w:hint="eastAsia"/>
              </w:rPr>
              <w:t>、烟尘等， 主要对作业点周围和运输路线两侧局部范围产生一定影响，由于排放量不大，影响的程度与范围也相对小。</w:t>
            </w:r>
          </w:p>
          <w:p>
            <w:pPr>
              <w:pStyle w:val="137"/>
              <w:ind w:firstLine="480"/>
            </w:pPr>
            <w:r>
              <w:rPr>
                <w:rFonts w:hint="eastAsia"/>
              </w:rPr>
              <w:t>（</w:t>
            </w:r>
            <w:r>
              <w:t>3</w:t>
            </w:r>
            <w:r>
              <w:rPr>
                <w:rFonts w:hint="eastAsia"/>
              </w:rPr>
              <w:t>）装修产生的有机废气</w:t>
            </w:r>
          </w:p>
          <w:p>
            <w:pPr>
              <w:pStyle w:val="137"/>
              <w:ind w:firstLine="480"/>
            </w:pPr>
            <w:r>
              <w:rPr>
                <w:rFonts w:hint="eastAsia"/>
              </w:rPr>
              <w:t>目前我国市场上的上千种装饰材料中，化学建材占的比重相当大，油漆、乳胶漆、喷塑剂、黏合剂、墙纸、屋顶石膏板等，一般都含有对人体有害的物质。本项目装修工程选用符合国家标准的环保材料，建成后废气产生量较少，因装修过程中，较难估计装修材料使用量，在此只作定性分析，一般情况下，刚装修完毕，如不加强室内通风换气，室内空气很难达到《室内空气质量标准》（GB/T18883-2002）的要求。</w:t>
            </w:r>
          </w:p>
          <w:p>
            <w:pPr>
              <w:pStyle w:val="137"/>
              <w:ind w:firstLine="480"/>
            </w:pPr>
            <w:r>
              <w:rPr>
                <w:rFonts w:hint="eastAsia"/>
              </w:rPr>
              <w:t>2、废水污染源</w:t>
            </w:r>
          </w:p>
          <w:p>
            <w:pPr>
              <w:pStyle w:val="137"/>
              <w:ind w:firstLine="480"/>
            </w:pPr>
            <w:r>
              <w:rPr>
                <w:rFonts w:hint="eastAsia"/>
              </w:rPr>
              <w:t>施工过程中产生的施工废水及施工人员产生的生活污水。</w:t>
            </w:r>
          </w:p>
          <w:p>
            <w:pPr>
              <w:pStyle w:val="137"/>
              <w:ind w:firstLine="480"/>
            </w:pPr>
            <w:r>
              <w:rPr>
                <w:rFonts w:hint="eastAsia"/>
              </w:rPr>
              <w:t>（1）施工废水</w:t>
            </w:r>
          </w:p>
          <w:p>
            <w:pPr>
              <w:pStyle w:val="137"/>
              <w:ind w:firstLine="480"/>
            </w:pPr>
            <w:r>
              <w:rPr>
                <w:rFonts w:hint="eastAsia"/>
              </w:rPr>
              <w:t>在施工期还将产生少量生产废水，主要为冲洗施工设备和运输车辆、灌浆过程中产生的废水。根据《广东省用水定额》（DB44/T1461-2014）中对房屋工程建筑工程的用水测算，施工生产用水按2.9L/m</w:t>
            </w:r>
            <w:r>
              <w:rPr>
                <w:rFonts w:hint="eastAsia"/>
                <w:vertAlign w:val="superscript"/>
              </w:rPr>
              <w:t>2</w:t>
            </w:r>
            <w:r>
              <w:rPr>
                <w:rFonts w:hint="eastAsia"/>
              </w:rPr>
              <w:t>·日计，项目总建筑面积3</w:t>
            </w:r>
            <w:r>
              <w:t>30.31</w:t>
            </w:r>
            <w:r>
              <w:rPr>
                <w:rFonts w:hint="eastAsia"/>
              </w:rPr>
              <w:t>m</w:t>
            </w:r>
            <w:r>
              <w:rPr>
                <w:rFonts w:hint="eastAsia"/>
                <w:vertAlign w:val="superscript"/>
              </w:rPr>
              <w:t>2</w:t>
            </w:r>
            <w:r>
              <w:rPr>
                <w:rFonts w:hint="eastAsia"/>
              </w:rPr>
              <w:t>， 废水产生系数以0.6计，废水产生量为</w:t>
            </w:r>
            <w:r>
              <w:t>0.57</w:t>
            </w:r>
            <w:r>
              <w:rPr>
                <w:rFonts w:hint="eastAsia"/>
              </w:rPr>
              <w:t>t/d（</w:t>
            </w:r>
            <w:r>
              <w:t>51</w:t>
            </w:r>
            <w:r>
              <w:rPr>
                <w:rFonts w:hint="eastAsia"/>
              </w:rPr>
              <w:t>.</w:t>
            </w:r>
            <w:r>
              <w:t>3</w:t>
            </w:r>
            <w:r>
              <w:rPr>
                <w:rFonts w:hint="eastAsia"/>
              </w:rPr>
              <w:t>t/施工期，施工期为5个月）。施工废水主要污染物为石油类和SS。</w:t>
            </w:r>
          </w:p>
          <w:p>
            <w:pPr>
              <w:pStyle w:val="137"/>
              <w:ind w:firstLine="480"/>
            </w:pPr>
            <w:r>
              <w:rPr>
                <w:rFonts w:hint="eastAsia"/>
              </w:rPr>
              <w:t>2）施工人员生活污水施工期间，日进场人数15人，根据《广东省用水定额》（DB44/T1461-2014）， 施工人员人均生活用水系数取40L/人·d，废水产生系数以0.</w:t>
            </w:r>
            <w:r>
              <w:t>85</w:t>
            </w:r>
            <w:r>
              <w:rPr>
                <w:rFonts w:hint="eastAsia"/>
              </w:rPr>
              <w:t>计，废水产生量为</w:t>
            </w:r>
            <w:r>
              <w:t>0.51</w:t>
            </w:r>
            <w:r>
              <w:rPr>
                <w:rFonts w:hint="eastAsia"/>
              </w:rPr>
              <w:t>t/d（</w:t>
            </w:r>
            <w:r>
              <w:t>45.9</w:t>
            </w:r>
            <w:r>
              <w:rPr>
                <w:rFonts w:hint="eastAsia"/>
              </w:rPr>
              <w:t>t/施工期）。生活污水主要污染物为COD、BOD</w:t>
            </w:r>
            <w:r>
              <w:rPr>
                <w:rFonts w:hint="eastAsia"/>
                <w:vertAlign w:val="subscript"/>
              </w:rPr>
              <w:t>5</w:t>
            </w:r>
            <w:r>
              <w:rPr>
                <w:rFonts w:hint="eastAsia"/>
              </w:rPr>
              <w:t>、SS 和氨氮，浓度分别为400mg/L</w:t>
            </w:r>
            <w:r>
              <w:rPr>
                <w:rFonts w:hint="eastAsia"/>
                <w:lang w:eastAsia="zh-CN"/>
              </w:rPr>
              <w:t>、</w:t>
            </w:r>
            <w:r>
              <w:rPr>
                <w:rFonts w:hint="eastAsia"/>
              </w:rPr>
              <w:t>200mg/L</w:t>
            </w:r>
            <w:r>
              <w:rPr>
                <w:rFonts w:hint="eastAsia"/>
                <w:lang w:eastAsia="zh-CN"/>
              </w:rPr>
              <w:t>、</w:t>
            </w:r>
            <w:r>
              <w:rPr>
                <w:rFonts w:hint="eastAsia"/>
              </w:rPr>
              <w:t>220mg/L</w:t>
            </w:r>
            <w:r>
              <w:rPr>
                <w:rFonts w:hint="eastAsia"/>
                <w:lang w:eastAsia="zh-CN"/>
              </w:rPr>
              <w:t>、</w:t>
            </w:r>
            <w:r>
              <w:rPr>
                <w:rFonts w:hint="eastAsia"/>
              </w:rPr>
              <w:t>20mg/L。</w:t>
            </w:r>
          </w:p>
          <w:p>
            <w:pPr>
              <w:pStyle w:val="137"/>
              <w:ind w:firstLine="480"/>
            </w:pPr>
            <w:r>
              <w:rPr>
                <w:rFonts w:hint="eastAsia"/>
              </w:rPr>
              <w:t>3、噪声污染源</w:t>
            </w:r>
          </w:p>
          <w:p>
            <w:pPr>
              <w:pStyle w:val="137"/>
              <w:ind w:firstLine="480"/>
            </w:pPr>
            <w:r>
              <w:rPr>
                <w:rFonts w:hint="eastAsia"/>
              </w:rPr>
              <w:t>建筑施工可分为土石方工程阶段、基础施工阶段、结构施工阶段和装修、设备安装阶段。各阶段的施工设备产生的施工噪声具有阶段性、临时性和不同定性， 不同的施工阶段有不同的噪声源，总体而言，主要的噪声源有挖土机、装卸机、砂轮机、切割机及各种车辆等，但不同的施工队拥有的建筑设备也不尽相同。部分主要施工机械的噪声源强见</w:t>
            </w:r>
            <w:r>
              <w:rPr>
                <w:rFonts w:hint="eastAsia"/>
                <w:lang w:val="en-US" w:eastAsia="zh-CN"/>
              </w:rPr>
              <w:t>表5-2</w:t>
            </w:r>
            <w:r>
              <w:rPr>
                <w:rFonts w:hint="eastAsia"/>
              </w:rPr>
              <w:t>。</w:t>
            </w:r>
          </w:p>
          <w:p>
            <w:pPr>
              <w:pStyle w:val="143"/>
              <w:keepNext w:val="0"/>
              <w:keepLines w:val="0"/>
              <w:pageBreakBefore w:val="0"/>
              <w:widowControl w:val="0"/>
              <w:kinsoku/>
              <w:wordWrap/>
              <w:overflowPunct/>
              <w:topLinePunct w:val="0"/>
              <w:autoSpaceDE/>
              <w:autoSpaceDN/>
              <w:bidi w:val="0"/>
              <w:adjustRightInd/>
              <w:snapToGrid/>
              <w:spacing w:beforeLines="0"/>
              <w:textAlignment w:val="auto"/>
            </w:pPr>
            <w:bookmarkStart w:id="26" w:name="_Ref26878942"/>
            <w:r>
              <w:rPr>
                <w:rFonts w:hint="eastAsia"/>
              </w:rPr>
              <w:t>表</w:t>
            </w:r>
            <w:bookmarkEnd w:id="26"/>
            <w:r>
              <w:rPr>
                <w:rFonts w:hint="eastAsia"/>
                <w:lang w:val="en-US" w:eastAsia="zh-CN"/>
              </w:rPr>
              <w:t xml:space="preserve">5-2 </w:t>
            </w:r>
            <w:r>
              <w:rPr>
                <w:rFonts w:hint="eastAsia"/>
              </w:rPr>
              <w:t xml:space="preserve">  主要施工机械设备的噪声声级</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1473"/>
              <w:gridCol w:w="1251"/>
              <w:gridCol w:w="1251"/>
              <w:gridCol w:w="2470"/>
              <w:gridCol w:w="1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00" w:type="pct"/>
                  <w:shd w:val="clear" w:color="auto" w:fill="auto"/>
                  <w:vAlign w:val="center"/>
                </w:tcPr>
                <w:p>
                  <w:pPr>
                    <w:pStyle w:val="141"/>
                  </w:pPr>
                  <w:r>
                    <w:rPr>
                      <w:rFonts w:hint="eastAsia"/>
                    </w:rPr>
                    <w:t>机械名称</w:t>
                  </w:r>
                </w:p>
              </w:tc>
              <w:tc>
                <w:tcPr>
                  <w:tcW w:w="823" w:type="pct"/>
                  <w:shd w:val="clear" w:color="auto" w:fill="auto"/>
                  <w:vAlign w:val="center"/>
                </w:tcPr>
                <w:p>
                  <w:pPr>
                    <w:pStyle w:val="141"/>
                  </w:pPr>
                  <w:r>
                    <w:rPr>
                      <w:rFonts w:hint="eastAsia"/>
                    </w:rPr>
                    <w:t>测量声级</w:t>
                  </w:r>
                </w:p>
                <w:p>
                  <w:pPr>
                    <w:pStyle w:val="141"/>
                  </w:pPr>
                  <w:r>
                    <w:rPr>
                      <w:rFonts w:hint="eastAsia"/>
                    </w:rPr>
                    <w:t>（</w:t>
                  </w:r>
                  <w:r>
                    <w:t>dB</w:t>
                  </w:r>
                  <w:r>
                    <w:rPr>
                      <w:rFonts w:hint="eastAsia"/>
                    </w:rPr>
                    <w:t>（</w:t>
                  </w:r>
                  <w:r>
                    <w:t>A</w:t>
                  </w:r>
                  <w:r>
                    <w:rPr>
                      <w:rFonts w:hint="eastAsia"/>
                    </w:rPr>
                    <w:t>）</w:t>
                  </w:r>
                </w:p>
              </w:tc>
              <w:tc>
                <w:tcPr>
                  <w:tcW w:w="699" w:type="pct"/>
                  <w:shd w:val="clear" w:color="auto" w:fill="auto"/>
                  <w:vAlign w:val="center"/>
                </w:tcPr>
                <w:p>
                  <w:pPr>
                    <w:pStyle w:val="141"/>
                  </w:pPr>
                  <w:r>
                    <w:rPr>
                      <w:rFonts w:hint="eastAsia"/>
                    </w:rPr>
                    <w:t>测量距离</w:t>
                  </w:r>
                </w:p>
                <w:p>
                  <w:pPr>
                    <w:pStyle w:val="141"/>
                  </w:pPr>
                  <w:r>
                    <w:rPr>
                      <w:rFonts w:hint="eastAsia"/>
                    </w:rPr>
                    <w:t>（</w:t>
                  </w:r>
                  <w:r>
                    <w:t>m</w:t>
                  </w:r>
                  <w:r>
                    <w:rPr>
                      <w:rFonts w:hint="eastAsia"/>
                    </w:rPr>
                    <w:t>）</w:t>
                  </w:r>
                </w:p>
              </w:tc>
              <w:tc>
                <w:tcPr>
                  <w:tcW w:w="699" w:type="pct"/>
                  <w:shd w:val="clear" w:color="auto" w:fill="auto"/>
                  <w:vAlign w:val="center"/>
                </w:tcPr>
                <w:p>
                  <w:pPr>
                    <w:pStyle w:val="141"/>
                  </w:pPr>
                  <w:r>
                    <w:rPr>
                      <w:rFonts w:hint="eastAsia"/>
                    </w:rPr>
                    <w:t>机械名称</w:t>
                  </w:r>
                </w:p>
              </w:tc>
              <w:tc>
                <w:tcPr>
                  <w:tcW w:w="1380" w:type="pct"/>
                  <w:shd w:val="clear" w:color="auto" w:fill="auto"/>
                  <w:vAlign w:val="center"/>
                </w:tcPr>
                <w:p>
                  <w:pPr>
                    <w:pStyle w:val="141"/>
                  </w:pPr>
                  <w:r>
                    <w:rPr>
                      <w:rFonts w:hint="eastAsia"/>
                    </w:rPr>
                    <w:t>测量声级（</w:t>
                  </w:r>
                  <w:r>
                    <w:t>dB</w:t>
                  </w:r>
                  <w:r>
                    <w:rPr>
                      <w:rFonts w:hint="eastAsia"/>
                    </w:rPr>
                    <w:t>（</w:t>
                  </w:r>
                  <w:r>
                    <w:t>A</w:t>
                  </w:r>
                  <w:r>
                    <w:rPr>
                      <w:rFonts w:hint="eastAsia"/>
                    </w:rPr>
                    <w:t>）</w:t>
                  </w:r>
                </w:p>
              </w:tc>
              <w:tc>
                <w:tcPr>
                  <w:tcW w:w="699" w:type="pct"/>
                  <w:shd w:val="clear" w:color="auto" w:fill="auto"/>
                  <w:vAlign w:val="center"/>
                </w:tcPr>
                <w:p>
                  <w:pPr>
                    <w:pStyle w:val="141"/>
                  </w:pPr>
                  <w:r>
                    <w:rPr>
                      <w:rFonts w:hint="eastAsia"/>
                    </w:rPr>
                    <w:t>测量距离</w:t>
                  </w:r>
                </w:p>
                <w:p>
                  <w:pPr>
                    <w:pStyle w:val="141"/>
                  </w:pPr>
                  <w:r>
                    <w:rPr>
                      <w:rFonts w:hint="eastAsia"/>
                    </w:rPr>
                    <w:t>（</w:t>
                  </w:r>
                  <w:r>
                    <w:t>m</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0" w:type="pct"/>
                  <w:shd w:val="clear" w:color="auto" w:fill="auto"/>
                  <w:vAlign w:val="center"/>
                </w:tcPr>
                <w:p>
                  <w:pPr>
                    <w:pStyle w:val="141"/>
                  </w:pPr>
                  <w:r>
                    <w:rPr>
                      <w:rFonts w:hint="eastAsia"/>
                    </w:rPr>
                    <w:t>挖土机</w:t>
                  </w:r>
                </w:p>
              </w:tc>
              <w:tc>
                <w:tcPr>
                  <w:tcW w:w="823" w:type="pct"/>
                  <w:shd w:val="clear" w:color="auto" w:fill="auto"/>
                  <w:vAlign w:val="center"/>
                </w:tcPr>
                <w:p>
                  <w:pPr>
                    <w:pStyle w:val="141"/>
                  </w:pPr>
                  <w:r>
                    <w:t>79</w:t>
                  </w:r>
                </w:p>
              </w:tc>
              <w:tc>
                <w:tcPr>
                  <w:tcW w:w="699" w:type="pct"/>
                  <w:shd w:val="clear" w:color="auto" w:fill="auto"/>
                  <w:vAlign w:val="center"/>
                </w:tcPr>
                <w:p>
                  <w:pPr>
                    <w:pStyle w:val="141"/>
                  </w:pPr>
                  <w:r>
                    <w:t>15</w:t>
                  </w:r>
                </w:p>
              </w:tc>
              <w:tc>
                <w:tcPr>
                  <w:tcW w:w="699" w:type="pct"/>
                  <w:shd w:val="clear" w:color="auto" w:fill="auto"/>
                  <w:vAlign w:val="center"/>
                </w:tcPr>
                <w:p>
                  <w:pPr>
                    <w:pStyle w:val="141"/>
                  </w:pPr>
                  <w:r>
                    <w:rPr>
                      <w:rFonts w:hint="eastAsia"/>
                    </w:rPr>
                    <w:t>空压机</w:t>
                  </w:r>
                </w:p>
              </w:tc>
              <w:tc>
                <w:tcPr>
                  <w:tcW w:w="1380" w:type="pct"/>
                  <w:shd w:val="clear" w:color="auto" w:fill="auto"/>
                  <w:vAlign w:val="center"/>
                </w:tcPr>
                <w:p>
                  <w:pPr>
                    <w:pStyle w:val="141"/>
                  </w:pPr>
                  <w:r>
                    <w:t>92</w:t>
                  </w:r>
                </w:p>
              </w:tc>
              <w:tc>
                <w:tcPr>
                  <w:tcW w:w="699" w:type="pct"/>
                  <w:shd w:val="clear" w:color="auto" w:fill="auto"/>
                  <w:vAlign w:val="center"/>
                </w:tcPr>
                <w:p>
                  <w:pPr>
                    <w:pStyle w:val="141"/>
                  </w:pPr>
                  <w: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0" w:type="pct"/>
                  <w:shd w:val="clear" w:color="auto" w:fill="auto"/>
                  <w:vAlign w:val="center"/>
                </w:tcPr>
                <w:p>
                  <w:pPr>
                    <w:pStyle w:val="141"/>
                  </w:pPr>
                  <w:r>
                    <w:rPr>
                      <w:rFonts w:hint="eastAsia"/>
                    </w:rPr>
                    <w:t>装卸机</w:t>
                  </w:r>
                </w:p>
              </w:tc>
              <w:tc>
                <w:tcPr>
                  <w:tcW w:w="823" w:type="pct"/>
                  <w:shd w:val="clear" w:color="auto" w:fill="auto"/>
                  <w:vAlign w:val="center"/>
                </w:tcPr>
                <w:p>
                  <w:pPr>
                    <w:pStyle w:val="141"/>
                  </w:pPr>
                  <w:r>
                    <w:t>86</w:t>
                  </w:r>
                </w:p>
              </w:tc>
              <w:tc>
                <w:tcPr>
                  <w:tcW w:w="699" w:type="pct"/>
                  <w:shd w:val="clear" w:color="auto" w:fill="auto"/>
                  <w:vAlign w:val="center"/>
                </w:tcPr>
                <w:p>
                  <w:pPr>
                    <w:pStyle w:val="141"/>
                  </w:pPr>
                  <w:r>
                    <w:t>5</w:t>
                  </w:r>
                </w:p>
              </w:tc>
              <w:tc>
                <w:tcPr>
                  <w:tcW w:w="699" w:type="pct"/>
                  <w:shd w:val="clear" w:color="auto" w:fill="auto"/>
                  <w:vAlign w:val="center"/>
                </w:tcPr>
                <w:p>
                  <w:pPr>
                    <w:pStyle w:val="141"/>
                  </w:pPr>
                  <w:r>
                    <w:rPr>
                      <w:rFonts w:hint="eastAsia"/>
                    </w:rPr>
                    <w:t>电锯</w:t>
                  </w:r>
                </w:p>
              </w:tc>
              <w:tc>
                <w:tcPr>
                  <w:tcW w:w="1380" w:type="pct"/>
                  <w:shd w:val="clear" w:color="auto" w:fill="auto"/>
                  <w:vAlign w:val="center"/>
                </w:tcPr>
                <w:p>
                  <w:pPr>
                    <w:pStyle w:val="141"/>
                  </w:pPr>
                  <w:r>
                    <w:t>103</w:t>
                  </w:r>
                </w:p>
              </w:tc>
              <w:tc>
                <w:tcPr>
                  <w:tcW w:w="699" w:type="pct"/>
                  <w:shd w:val="clear" w:color="auto" w:fill="auto"/>
                  <w:vAlign w:val="center"/>
                </w:tcPr>
                <w:p>
                  <w:pPr>
                    <w:pStyle w:val="141"/>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0" w:type="pct"/>
                  <w:shd w:val="clear" w:color="auto" w:fill="auto"/>
                  <w:vAlign w:val="center"/>
                </w:tcPr>
                <w:p>
                  <w:pPr>
                    <w:pStyle w:val="141"/>
                  </w:pPr>
                  <w:r>
                    <w:rPr>
                      <w:rFonts w:hint="eastAsia"/>
                    </w:rPr>
                    <w:t>推土机</w:t>
                  </w:r>
                </w:p>
              </w:tc>
              <w:tc>
                <w:tcPr>
                  <w:tcW w:w="823" w:type="pct"/>
                  <w:shd w:val="clear" w:color="auto" w:fill="auto"/>
                  <w:vAlign w:val="center"/>
                </w:tcPr>
                <w:p>
                  <w:pPr>
                    <w:pStyle w:val="141"/>
                  </w:pPr>
                  <w:r>
                    <w:t>75</w:t>
                  </w:r>
                </w:p>
              </w:tc>
              <w:tc>
                <w:tcPr>
                  <w:tcW w:w="699" w:type="pct"/>
                  <w:shd w:val="clear" w:color="auto" w:fill="auto"/>
                  <w:vAlign w:val="center"/>
                </w:tcPr>
                <w:p>
                  <w:pPr>
                    <w:pStyle w:val="141"/>
                  </w:pPr>
                  <w:r>
                    <w:t>15</w:t>
                  </w:r>
                </w:p>
              </w:tc>
              <w:tc>
                <w:tcPr>
                  <w:tcW w:w="699" w:type="pct"/>
                  <w:shd w:val="clear" w:color="auto" w:fill="auto"/>
                  <w:vAlign w:val="center"/>
                </w:tcPr>
                <w:p>
                  <w:pPr>
                    <w:pStyle w:val="141"/>
                  </w:pPr>
                  <w:r>
                    <w:rPr>
                      <w:rFonts w:hint="eastAsia"/>
                    </w:rPr>
                    <w:t>砂轮机</w:t>
                  </w:r>
                </w:p>
              </w:tc>
              <w:tc>
                <w:tcPr>
                  <w:tcW w:w="1380" w:type="pct"/>
                  <w:shd w:val="clear" w:color="auto" w:fill="auto"/>
                  <w:vAlign w:val="center"/>
                </w:tcPr>
                <w:p>
                  <w:pPr>
                    <w:pStyle w:val="141"/>
                  </w:pPr>
                  <w:r>
                    <w:t>91-105</w:t>
                  </w:r>
                </w:p>
              </w:tc>
              <w:tc>
                <w:tcPr>
                  <w:tcW w:w="699" w:type="pct"/>
                  <w:shd w:val="clear" w:color="auto" w:fill="auto"/>
                  <w:vAlign w:val="center"/>
                </w:tcPr>
                <w:p>
                  <w:pPr>
                    <w:pStyle w:val="141"/>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0" w:type="pct"/>
                  <w:shd w:val="clear" w:color="auto" w:fill="auto"/>
                  <w:vAlign w:val="center"/>
                </w:tcPr>
                <w:p>
                  <w:pPr>
                    <w:pStyle w:val="141"/>
                  </w:pPr>
                  <w:r>
                    <w:rPr>
                      <w:rFonts w:hint="eastAsia"/>
                    </w:rPr>
                    <w:t>自卸卡车</w:t>
                  </w:r>
                </w:p>
              </w:tc>
              <w:tc>
                <w:tcPr>
                  <w:tcW w:w="823" w:type="pct"/>
                  <w:shd w:val="clear" w:color="auto" w:fill="auto"/>
                  <w:vAlign w:val="center"/>
                </w:tcPr>
                <w:p>
                  <w:pPr>
                    <w:pStyle w:val="141"/>
                  </w:pPr>
                  <w:r>
                    <w:t>70</w:t>
                  </w:r>
                </w:p>
              </w:tc>
              <w:tc>
                <w:tcPr>
                  <w:tcW w:w="699" w:type="pct"/>
                  <w:shd w:val="clear" w:color="auto" w:fill="auto"/>
                  <w:vAlign w:val="center"/>
                </w:tcPr>
                <w:p>
                  <w:pPr>
                    <w:pStyle w:val="141"/>
                  </w:pPr>
                  <w:r>
                    <w:t>15</w:t>
                  </w:r>
                </w:p>
              </w:tc>
              <w:tc>
                <w:tcPr>
                  <w:tcW w:w="699" w:type="pct"/>
                  <w:shd w:val="clear" w:color="auto" w:fill="auto"/>
                  <w:vAlign w:val="center"/>
                </w:tcPr>
                <w:p>
                  <w:pPr>
                    <w:pStyle w:val="141"/>
                  </w:pPr>
                  <w:r>
                    <w:rPr>
                      <w:rFonts w:hint="eastAsia"/>
                    </w:rPr>
                    <w:t>切割机</w:t>
                  </w:r>
                </w:p>
              </w:tc>
              <w:tc>
                <w:tcPr>
                  <w:tcW w:w="1380" w:type="pct"/>
                  <w:shd w:val="clear" w:color="auto" w:fill="auto"/>
                  <w:vAlign w:val="center"/>
                </w:tcPr>
                <w:p>
                  <w:pPr>
                    <w:pStyle w:val="141"/>
                  </w:pPr>
                  <w:r>
                    <w:t>91-105</w:t>
                  </w:r>
                </w:p>
              </w:tc>
              <w:tc>
                <w:tcPr>
                  <w:tcW w:w="699" w:type="pct"/>
                  <w:shd w:val="clear" w:color="auto" w:fill="auto"/>
                  <w:vAlign w:val="center"/>
                </w:tcPr>
                <w:p>
                  <w:pPr>
                    <w:pStyle w:val="141"/>
                  </w:pPr>
                  <w:r>
                    <w:t>—</w:t>
                  </w:r>
                </w:p>
              </w:tc>
            </w:tr>
          </w:tbl>
          <w:p>
            <w:pPr>
              <w:pStyle w:val="137"/>
              <w:ind w:firstLine="480"/>
            </w:pPr>
            <w:r>
              <w:rPr>
                <w:rFonts w:hint="eastAsia"/>
              </w:rPr>
              <w:t>4、固体废弃物污染源</w:t>
            </w:r>
          </w:p>
          <w:p>
            <w:pPr>
              <w:pStyle w:val="137"/>
              <w:ind w:firstLine="480"/>
            </w:pPr>
            <w:r>
              <w:rPr>
                <w:rFonts w:hint="eastAsia"/>
              </w:rPr>
              <w:t>项目施工期产生的固废主要为各种类型的建筑垃圾、施工人员产生的生活垃圾、余泥渣土等。</w:t>
            </w:r>
          </w:p>
          <w:p>
            <w:pPr>
              <w:pStyle w:val="137"/>
              <w:ind w:firstLine="480"/>
            </w:pPr>
            <w:r>
              <w:rPr>
                <w:rFonts w:hint="eastAsia"/>
              </w:rPr>
              <w:t>（1）施工期各种类型的建筑垃圾</w:t>
            </w:r>
          </w:p>
          <w:p>
            <w:pPr>
              <w:pStyle w:val="137"/>
              <w:ind w:firstLine="480"/>
            </w:pPr>
            <w:r>
              <w:rPr>
                <w:rFonts w:hint="eastAsia"/>
              </w:rPr>
              <w:t>施工期产生的建筑废物主要成分有废石、废钢筋、废铁丝和各种废钢配件、金属管线废料、废竹木、木屑、刨花的砂浆和混凝土、碎砖和碎混凝土块、搬运过程中散落的黄砂、石子和块石等。采用建筑面积发展预测建筑废物的产生量：</w:t>
            </w:r>
          </w:p>
          <w:p>
            <w:pPr>
              <w:pStyle w:val="137"/>
              <w:ind w:firstLine="480"/>
              <w:jc w:val="center"/>
            </w:pPr>
            <w:r>
              <w:t>J</w:t>
            </w:r>
            <w:r>
              <w:rPr>
                <w:vertAlign w:val="subscript"/>
              </w:rPr>
              <w:t>S</w:t>
            </w:r>
            <w:r>
              <w:t>=Q</w:t>
            </w:r>
            <w:r>
              <w:rPr>
                <w:vertAlign w:val="subscript"/>
              </w:rPr>
              <w:t>S</w:t>
            </w:r>
            <w:r>
              <w:t>*C</w:t>
            </w:r>
            <w:r>
              <w:rPr>
                <w:vertAlign w:val="subscript"/>
              </w:rPr>
              <w:t>S</w:t>
            </w:r>
          </w:p>
          <w:p>
            <w:pPr>
              <w:pStyle w:val="137"/>
              <w:ind w:firstLine="480"/>
            </w:pPr>
            <w:r>
              <w:rPr>
                <w:rFonts w:hint="eastAsia"/>
              </w:rPr>
              <w:t>式中：J</w:t>
            </w:r>
            <w:r>
              <w:rPr>
                <w:rFonts w:hint="eastAsia"/>
                <w:vertAlign w:val="subscript"/>
              </w:rPr>
              <w:t>S</w:t>
            </w:r>
            <w:r>
              <w:rPr>
                <w:rFonts w:hint="eastAsia"/>
              </w:rPr>
              <w:t>：建筑垃圾总产生量（t）</w:t>
            </w:r>
          </w:p>
          <w:p>
            <w:pPr>
              <w:pStyle w:val="137"/>
              <w:ind w:firstLine="480"/>
            </w:pPr>
            <w:r>
              <w:rPr>
                <w:rFonts w:hint="eastAsia"/>
              </w:rPr>
              <w:t>Q</w:t>
            </w:r>
            <w:r>
              <w:rPr>
                <w:rFonts w:hint="eastAsia"/>
                <w:vertAlign w:val="subscript"/>
              </w:rPr>
              <w:t>S</w:t>
            </w:r>
            <w:r>
              <w:rPr>
                <w:rFonts w:hint="eastAsia"/>
              </w:rPr>
              <w:t>：总建筑面积（m</w:t>
            </w:r>
            <w:r>
              <w:rPr>
                <w:rFonts w:hint="eastAsia"/>
                <w:vertAlign w:val="superscript"/>
              </w:rPr>
              <w:t>2</w:t>
            </w:r>
            <w:r>
              <w:rPr>
                <w:rFonts w:hint="eastAsia"/>
              </w:rPr>
              <w:t>），3</w:t>
            </w:r>
            <w:r>
              <w:t>30.31</w:t>
            </w:r>
            <w:r>
              <w:rPr>
                <w:rFonts w:hint="eastAsia"/>
              </w:rPr>
              <w:t>m</w:t>
            </w:r>
            <w:r>
              <w:rPr>
                <w:rFonts w:hint="eastAsia"/>
                <w:vertAlign w:val="superscript"/>
              </w:rPr>
              <w:t>2</w:t>
            </w:r>
          </w:p>
          <w:p>
            <w:pPr>
              <w:pStyle w:val="137"/>
              <w:ind w:firstLine="480"/>
              <w:rPr>
                <w:vertAlign w:val="superscript"/>
              </w:rPr>
            </w:pPr>
            <w:r>
              <w:rPr>
                <w:rFonts w:hint="eastAsia"/>
              </w:rPr>
              <w:t>C</w:t>
            </w:r>
            <w:r>
              <w:rPr>
                <w:rFonts w:hint="eastAsia"/>
                <w:vertAlign w:val="subscript"/>
              </w:rPr>
              <w:t>S</w:t>
            </w:r>
            <w:r>
              <w:rPr>
                <w:rFonts w:hint="eastAsia"/>
              </w:rPr>
              <w:t>：平均每m</w:t>
            </w:r>
            <w:r>
              <w:rPr>
                <w:rFonts w:hint="eastAsia"/>
                <w:vertAlign w:val="superscript"/>
              </w:rPr>
              <w:t>2</w:t>
            </w:r>
            <w:r>
              <w:rPr>
                <w:rFonts w:hint="eastAsia"/>
              </w:rPr>
              <w:t>建筑面积垃圾产生量，0.06t/m</w:t>
            </w:r>
            <w:r>
              <w:rPr>
                <w:rFonts w:hint="eastAsia"/>
                <w:vertAlign w:val="superscript"/>
              </w:rPr>
              <w:t>2</w:t>
            </w:r>
          </w:p>
          <w:p>
            <w:pPr>
              <w:pStyle w:val="137"/>
              <w:ind w:firstLine="480"/>
            </w:pPr>
            <w:r>
              <w:rPr>
                <w:rFonts w:hint="eastAsia"/>
              </w:rPr>
              <w:t>根据上式计算所得该项目建筑垃圾总产生量约为</w:t>
            </w:r>
            <w:r>
              <w:t>19.82</w:t>
            </w:r>
            <w:r>
              <w:rPr>
                <w:rFonts w:hint="eastAsia"/>
              </w:rPr>
              <w:t>吨。</w:t>
            </w:r>
          </w:p>
          <w:p>
            <w:pPr>
              <w:pStyle w:val="137"/>
              <w:ind w:firstLine="480"/>
            </w:pPr>
            <w:r>
              <w:rPr>
                <w:rFonts w:hint="eastAsia"/>
              </w:rPr>
              <w:t>（2）施工人员产生的生活垃圾</w:t>
            </w:r>
          </w:p>
          <w:p>
            <w:pPr>
              <w:pStyle w:val="137"/>
              <w:ind w:firstLine="480"/>
            </w:pPr>
            <w:r>
              <w:rPr>
                <w:rFonts w:hint="eastAsia"/>
              </w:rPr>
              <w:t>生活垃圾的主要成分有塑料饭盒和塑料袋、碎玻璃、废金属、果皮核屑等。采用人口发展预测：</w:t>
            </w:r>
          </w:p>
          <w:p>
            <w:pPr>
              <w:pStyle w:val="137"/>
              <w:ind w:firstLine="480"/>
              <w:jc w:val="center"/>
            </w:pPr>
            <w:r>
              <w:t>W</w:t>
            </w:r>
            <w:r>
              <w:rPr>
                <w:vertAlign w:val="subscript"/>
              </w:rPr>
              <w:t>S</w:t>
            </w:r>
            <w:r>
              <w:t>=P</w:t>
            </w:r>
            <w:r>
              <w:rPr>
                <w:vertAlign w:val="subscript"/>
              </w:rPr>
              <w:t>S</w:t>
            </w:r>
            <w:r>
              <w:t>*C</w:t>
            </w:r>
            <w:r>
              <w:rPr>
                <w:vertAlign w:val="subscript"/>
              </w:rPr>
              <w:t>S</w:t>
            </w:r>
          </w:p>
          <w:p>
            <w:pPr>
              <w:pStyle w:val="137"/>
              <w:ind w:firstLine="480"/>
            </w:pPr>
            <w:r>
              <w:rPr>
                <w:rFonts w:hint="eastAsia"/>
              </w:rPr>
              <w:t>式中：W</w:t>
            </w:r>
            <w:r>
              <w:rPr>
                <w:rFonts w:hint="eastAsia"/>
                <w:vertAlign w:val="subscript"/>
              </w:rPr>
              <w:t>S</w:t>
            </w:r>
            <w:r>
              <w:rPr>
                <w:rFonts w:hint="eastAsia"/>
              </w:rPr>
              <w:t>：生活垃圾产生量（kg/d）</w:t>
            </w:r>
          </w:p>
          <w:p>
            <w:pPr>
              <w:pStyle w:val="137"/>
              <w:ind w:firstLine="480"/>
            </w:pPr>
            <w:r>
              <w:rPr>
                <w:rFonts w:hint="eastAsia"/>
              </w:rPr>
              <w:t>P</w:t>
            </w:r>
            <w:r>
              <w:rPr>
                <w:rFonts w:hint="eastAsia"/>
                <w:vertAlign w:val="subscript"/>
              </w:rPr>
              <w:t>S</w:t>
            </w:r>
            <w:r>
              <w:rPr>
                <w:rFonts w:hint="eastAsia"/>
              </w:rPr>
              <w:t>：施工人员人数，15人；</w:t>
            </w:r>
          </w:p>
          <w:p>
            <w:pPr>
              <w:pStyle w:val="137"/>
              <w:ind w:firstLine="480"/>
            </w:pPr>
            <w:r>
              <w:rPr>
                <w:rFonts w:hint="eastAsia"/>
              </w:rPr>
              <w:t>C</w:t>
            </w:r>
            <w:r>
              <w:rPr>
                <w:rFonts w:hint="eastAsia"/>
                <w:vertAlign w:val="subscript"/>
              </w:rPr>
              <w:t>S</w:t>
            </w:r>
            <w:r>
              <w:rPr>
                <w:rFonts w:hint="eastAsia"/>
              </w:rPr>
              <w:t>：人均生活垃圾产生量（0.5kg/d·人）</w:t>
            </w:r>
          </w:p>
          <w:p>
            <w:pPr>
              <w:pStyle w:val="137"/>
              <w:ind w:firstLine="480"/>
            </w:pPr>
            <w:r>
              <w:rPr>
                <w:rFonts w:hint="eastAsia"/>
              </w:rPr>
              <w:t>根据上式计算所得该项目生活垃圾产生量约为7.5kg/d，施工期间产生量为</w:t>
            </w:r>
            <w:r>
              <w:t>0.68</w:t>
            </w:r>
            <w:r>
              <w:rPr>
                <w:rFonts w:hint="eastAsia"/>
              </w:rPr>
              <w:t>t（施工期为</w:t>
            </w:r>
            <w:r>
              <w:t>3</w:t>
            </w:r>
            <w:r>
              <w:rPr>
                <w:rFonts w:hint="eastAsia"/>
              </w:rPr>
              <w:t>个月）。</w:t>
            </w:r>
          </w:p>
          <w:p>
            <w:pPr>
              <w:pStyle w:val="137"/>
              <w:ind w:firstLine="480"/>
            </w:pPr>
            <w:r>
              <w:rPr>
                <w:rFonts w:hint="eastAsia"/>
              </w:rPr>
              <w:t>（3）余泥渣土</w:t>
            </w:r>
          </w:p>
          <w:p>
            <w:pPr>
              <w:pStyle w:val="137"/>
              <w:ind w:firstLine="480"/>
            </w:pPr>
            <w:r>
              <w:rPr>
                <w:rFonts w:hint="eastAsia"/>
              </w:rPr>
              <w:t>项目不设地下层，施工期挖方主要来自基础施工阶段的地基开挖及油罐区开挖。根据建设单位介绍，油罐区占地面积为</w:t>
            </w:r>
            <w:r>
              <w:t>85</w:t>
            </w:r>
            <w:r>
              <w:rPr>
                <w:rFonts w:hint="eastAsia"/>
              </w:rPr>
              <w:t>m</w:t>
            </w:r>
            <w:r>
              <w:rPr>
                <w:rFonts w:hint="eastAsia"/>
                <w:vertAlign w:val="superscript"/>
              </w:rPr>
              <w:t>2</w:t>
            </w:r>
            <w:r>
              <w:rPr>
                <w:rFonts w:hint="eastAsia"/>
              </w:rPr>
              <w:t>，开挖深度为3m。建筑地基占地面积为1098.04m2（不含油罐区占地面积），开挖深度约0.8m，则项目挖方量约为</w:t>
            </w:r>
            <w:r>
              <w:t>519.25</w:t>
            </w:r>
            <w:r>
              <w:rPr>
                <w:rFonts w:hint="eastAsia"/>
              </w:rPr>
              <w:t>m</w:t>
            </w:r>
            <w:r>
              <w:rPr>
                <w:rFonts w:hint="eastAsia"/>
                <w:vertAlign w:val="superscript"/>
              </w:rPr>
              <w:t>3</w:t>
            </w:r>
            <w:r>
              <w:rPr>
                <w:rFonts w:hint="eastAsia"/>
              </w:rPr>
              <w:t>。</w:t>
            </w:r>
          </w:p>
          <w:p>
            <w:pPr>
              <w:pStyle w:val="137"/>
              <w:ind w:firstLine="480"/>
            </w:pPr>
            <w:r>
              <w:rPr>
                <w:rFonts w:hint="eastAsia"/>
              </w:rPr>
              <w:t>项目施工期产生的挖方扣除一些基础填方量后，剩余土石方均回用于站内道路及绿化建设，没有外排土方量。</w:t>
            </w:r>
          </w:p>
          <w:p>
            <w:pPr>
              <w:pStyle w:val="137"/>
              <w:ind w:firstLine="480"/>
            </w:pPr>
            <w:r>
              <w:rPr>
                <w:rFonts w:hint="eastAsia"/>
              </w:rPr>
              <w:t>（4）水土流失</w:t>
            </w:r>
          </w:p>
          <w:p>
            <w:pPr>
              <w:pStyle w:val="137"/>
              <w:ind w:firstLine="480"/>
            </w:pPr>
            <w:r>
              <w:rPr>
                <w:rFonts w:hint="eastAsia"/>
              </w:rPr>
              <w:t>施工期可能导致水土流失的主要原因是降雨、地表开挖和弃土填埋，项目所在地多暴雨，降雨量大部分集中在雨季（4 月～9 月），夏季暴雨较集中，降雨大，降雨时间长，这些气象条件是导致项目施工期水土流失的主要原因。</w:t>
            </w:r>
          </w:p>
          <w:p>
            <w:pPr>
              <w:pStyle w:val="137"/>
              <w:ind w:firstLine="480"/>
            </w:pPr>
            <w:r>
              <w:rPr>
                <w:rFonts w:hint="eastAsia"/>
              </w:rPr>
              <w:t>建筑物、道路的土建施工是引起水土流失的工程因素，在施工过程中，土壤暴露在雨、风和其他干扰因素中，另外大量的土方填挖、陡坡、边坡的形成和整理，会使土壤暴露情况加剧。施工过程中，泥土转运装卸作业过程中和堆放时，都可能出现散落和水体流失。同时，施工中土壤结构会受到破坏，土壤抵抗侵蚀的能力将会大大减弱，在暴雨中由降雨所产生的土壤侵蚀，将会造成项目建设施工过程中严重的水体流失。</w:t>
            </w:r>
          </w:p>
          <w:p>
            <w:pPr>
              <w:pStyle w:val="137"/>
              <w:ind w:firstLine="480"/>
            </w:pPr>
            <w:r>
              <w:rPr>
                <w:rFonts w:hint="eastAsia"/>
              </w:rPr>
              <w:t>6、生态环境和景观的影响</w:t>
            </w:r>
          </w:p>
          <w:p>
            <w:pPr>
              <w:pStyle w:val="137"/>
              <w:ind w:firstLine="480"/>
            </w:pPr>
            <w:r>
              <w:rPr>
                <w:rFonts w:hint="eastAsia"/>
              </w:rPr>
              <w:t>本工程施工对生态、景观环境的影响主要是：</w:t>
            </w:r>
          </w:p>
          <w:p>
            <w:pPr>
              <w:pStyle w:val="137"/>
              <w:ind w:firstLine="480"/>
            </w:pPr>
            <w:r>
              <w:rPr>
                <w:rFonts w:hint="eastAsia"/>
              </w:rPr>
              <w:t>①施工期间的填挖土石方破坏自然景观。工程在取土填土后裸露表面被雨水冲刷后将造成水土流失现象，对景观也会产生破坏影响。</w:t>
            </w:r>
          </w:p>
          <w:p>
            <w:pPr>
              <w:pStyle w:val="137"/>
              <w:ind w:firstLine="480"/>
            </w:pPr>
            <w:r>
              <w:rPr>
                <w:rFonts w:hint="eastAsia"/>
              </w:rPr>
              <w:t>②施工过程开挖地表，坑坑洼洼，影响景观；使原地表层的地下水层和排水系统受到一定影响。</w:t>
            </w:r>
          </w:p>
          <w:p>
            <w:pPr>
              <w:pStyle w:val="137"/>
              <w:ind w:firstLine="480"/>
            </w:pPr>
            <w:r>
              <w:rPr>
                <w:rFonts w:hint="eastAsia"/>
              </w:rPr>
              <w:t>③施工工地内运转的建筑机械、无序堆放的建筑材料和建筑垃圾，也将造成杂乱现象，有些还会持续到运营初期。更主要的是在施工后期，若不进行及时的植被恢复，将对景观产生一定的不良的影响。</w:t>
            </w:r>
          </w:p>
          <w:p>
            <w:pPr>
              <w:pStyle w:val="137"/>
              <w:ind w:firstLine="480"/>
            </w:pPr>
            <w:r>
              <w:rPr>
                <w:rFonts w:hint="eastAsia"/>
              </w:rPr>
              <w:t>④该项目在施工期内将增加周围地区的扬尘量，给人空气污浊的感觉。</w:t>
            </w:r>
          </w:p>
          <w:p>
            <w:pPr>
              <w:pStyle w:val="137"/>
              <w:ind w:firstLine="480"/>
            </w:pPr>
            <w:r>
              <w:rPr>
                <w:rFonts w:hint="eastAsia"/>
              </w:rPr>
              <w:t>⑤项目所在位置属于空地，所占用的土地不属于基本农田。项目占用土地范围内植被的类型主要为草本植物。项目建设过程中破坏工程区域原有地貌和植被，造成植被数量的减少，使区域绿地面积减少，同时施工期的尘土、噪声会对区域内的动物、植物产生不良的影响，产生的粉尘将影响附近植物的光合作用，间接影响了以植物为食的动物的正常繁殖。</w:t>
            </w:r>
          </w:p>
          <w:p>
            <w:pPr>
              <w:pStyle w:val="137"/>
              <w:ind w:firstLine="480"/>
            </w:pPr>
            <w:r>
              <w:t>2</w:t>
            </w:r>
            <w:r>
              <w:rPr>
                <w:rFonts w:hint="eastAsia"/>
              </w:rPr>
              <w:t>、营运期主要污染源：</w:t>
            </w:r>
          </w:p>
          <w:p>
            <w:pPr>
              <w:pStyle w:val="137"/>
              <w:ind w:firstLine="480"/>
            </w:pPr>
            <w:r>
              <w:rPr>
                <w:rFonts w:hint="eastAsia"/>
              </w:rPr>
              <w:t>（1）废水</w:t>
            </w:r>
          </w:p>
          <w:p>
            <w:pPr>
              <w:pStyle w:val="137"/>
              <w:ind w:firstLine="480"/>
            </w:pPr>
            <w:r>
              <w:rPr>
                <w:rFonts w:hint="eastAsia"/>
              </w:rPr>
              <w:t>本项目营运期无工艺用水环节，站区用水主要为生活用水、地面清洗用水、洗车用水，其中洗车废水循环使用，不外排。项目营运期废水主要生活污水、清洗废水及初期雨水。</w:t>
            </w:r>
          </w:p>
          <w:p>
            <w:pPr>
              <w:spacing w:line="360" w:lineRule="auto"/>
              <w:ind w:firstLine="480" w:firstLineChars="200"/>
              <w:rPr>
                <w:sz w:val="24"/>
                <w:szCs w:val="24"/>
              </w:rPr>
            </w:pPr>
            <w:r>
              <w:rPr>
                <w:rFonts w:hint="eastAsia"/>
                <w:sz w:val="24"/>
                <w:szCs w:val="24"/>
              </w:rPr>
              <w:t>①</w:t>
            </w:r>
            <w:r>
              <w:rPr>
                <w:sz w:val="24"/>
                <w:szCs w:val="24"/>
              </w:rPr>
              <w:t>生活污水</w:t>
            </w:r>
          </w:p>
          <w:p>
            <w:pPr>
              <w:spacing w:line="360" w:lineRule="auto"/>
              <w:ind w:firstLine="480" w:firstLineChars="200"/>
              <w:rPr>
                <w:sz w:val="24"/>
                <w:szCs w:val="24"/>
              </w:rPr>
            </w:pPr>
            <w:r>
              <w:rPr>
                <w:sz w:val="24"/>
                <w:szCs w:val="24"/>
              </w:rPr>
              <w:t>根据《广东省用水定额》(DB44T1461-2014)规定，没有食堂的员工办公生活用水按40L/人·d，项目员工8人，生活用水量为0.32m</w:t>
            </w:r>
            <w:r>
              <w:rPr>
                <w:sz w:val="24"/>
                <w:szCs w:val="24"/>
                <w:vertAlign w:val="superscript"/>
              </w:rPr>
              <w:t>3</w:t>
            </w:r>
            <w:r>
              <w:rPr>
                <w:sz w:val="24"/>
                <w:szCs w:val="24"/>
              </w:rPr>
              <w:t>/d，合计116.8 m</w:t>
            </w:r>
            <w:r>
              <w:rPr>
                <w:sz w:val="24"/>
                <w:szCs w:val="24"/>
                <w:vertAlign w:val="superscript"/>
              </w:rPr>
              <w:t>3</w:t>
            </w:r>
            <w:r>
              <w:rPr>
                <w:sz w:val="24"/>
                <w:szCs w:val="24"/>
              </w:rPr>
              <w:t>/a。生活污水按用水量85％计，则生活污水排放量约0.27m</w:t>
            </w:r>
            <w:r>
              <w:rPr>
                <w:sz w:val="24"/>
                <w:szCs w:val="24"/>
                <w:vertAlign w:val="superscript"/>
              </w:rPr>
              <w:t>3</w:t>
            </w:r>
            <w:r>
              <w:rPr>
                <w:sz w:val="24"/>
                <w:szCs w:val="24"/>
              </w:rPr>
              <w:t>/d，合计98.55m</w:t>
            </w:r>
            <w:r>
              <w:rPr>
                <w:sz w:val="24"/>
                <w:szCs w:val="24"/>
                <w:vertAlign w:val="superscript"/>
              </w:rPr>
              <w:t>3</w:t>
            </w:r>
            <w:r>
              <w:rPr>
                <w:sz w:val="24"/>
                <w:szCs w:val="24"/>
              </w:rPr>
              <w:t>/a。</w:t>
            </w:r>
          </w:p>
          <w:p>
            <w:pPr>
              <w:spacing w:line="360" w:lineRule="auto"/>
              <w:ind w:firstLine="480" w:firstLineChars="200"/>
              <w:rPr>
                <w:sz w:val="24"/>
                <w:szCs w:val="24"/>
              </w:rPr>
            </w:pPr>
            <w:r>
              <w:rPr>
                <w:sz w:val="24"/>
                <w:szCs w:val="24"/>
              </w:rPr>
              <w:t>根据项目规模及类比同类项目，本加油站每天可接待顾客中，使用卫生间的人数按平均200人/日，参照《建筑给水排水》（GB50015-2009）中规定“顾客用水定额按25L/人·日（含如厕、就餐），可计算出顾客的用水量为5m</w:t>
            </w:r>
            <w:r>
              <w:rPr>
                <w:sz w:val="24"/>
                <w:szCs w:val="24"/>
                <w:vertAlign w:val="superscript"/>
              </w:rPr>
              <w:t>3/</w:t>
            </w:r>
            <w:r>
              <w:rPr>
                <w:sz w:val="24"/>
                <w:szCs w:val="24"/>
              </w:rPr>
              <w:t>d，年用水量为1825.00 m</w:t>
            </w:r>
            <w:r>
              <w:rPr>
                <w:sz w:val="24"/>
                <w:szCs w:val="24"/>
                <w:vertAlign w:val="superscript"/>
              </w:rPr>
              <w:t>3</w:t>
            </w:r>
            <w:r>
              <w:rPr>
                <w:sz w:val="24"/>
                <w:szCs w:val="24"/>
              </w:rPr>
              <w:t>/a，污水量按用水量85％计，则生活污水排放量约4.52m</w:t>
            </w:r>
            <w:r>
              <w:rPr>
                <w:sz w:val="24"/>
                <w:szCs w:val="24"/>
                <w:vertAlign w:val="superscript"/>
              </w:rPr>
              <w:t>3</w:t>
            </w:r>
            <w:r>
              <w:rPr>
                <w:sz w:val="24"/>
                <w:szCs w:val="24"/>
              </w:rPr>
              <w:t>/d，合计1551.25 m</w:t>
            </w:r>
            <w:r>
              <w:rPr>
                <w:sz w:val="24"/>
                <w:szCs w:val="24"/>
                <w:vertAlign w:val="superscript"/>
              </w:rPr>
              <w:t>3</w:t>
            </w:r>
            <w:r>
              <w:rPr>
                <w:sz w:val="24"/>
                <w:szCs w:val="24"/>
              </w:rPr>
              <w:t>/a。</w:t>
            </w:r>
          </w:p>
          <w:p>
            <w:pPr>
              <w:spacing w:line="360" w:lineRule="auto"/>
              <w:ind w:firstLine="480" w:firstLineChars="200"/>
              <w:rPr>
                <w:sz w:val="24"/>
                <w:szCs w:val="24"/>
              </w:rPr>
            </w:pPr>
            <w:r>
              <w:rPr>
                <w:sz w:val="24"/>
                <w:szCs w:val="24"/>
              </w:rPr>
              <w:t>以上合计，本项目生活用水量约5.32 m</w:t>
            </w:r>
            <w:r>
              <w:rPr>
                <w:sz w:val="24"/>
                <w:szCs w:val="24"/>
                <w:vertAlign w:val="superscript"/>
              </w:rPr>
              <w:t>3</w:t>
            </w:r>
            <w:r>
              <w:rPr>
                <w:sz w:val="24"/>
                <w:szCs w:val="24"/>
              </w:rPr>
              <w:t>/d（合1941.8 m</w:t>
            </w:r>
            <w:r>
              <w:rPr>
                <w:sz w:val="24"/>
                <w:szCs w:val="24"/>
                <w:vertAlign w:val="superscript"/>
              </w:rPr>
              <w:t>3</w:t>
            </w:r>
            <w:r>
              <w:rPr>
                <w:sz w:val="24"/>
                <w:szCs w:val="24"/>
              </w:rPr>
              <w:t>/a），排污系数按0.85计算，则生活污水排放量约</w:t>
            </w:r>
            <w:r>
              <w:rPr>
                <w:rFonts w:hint="eastAsia"/>
                <w:sz w:val="24"/>
                <w:szCs w:val="24"/>
              </w:rPr>
              <w:t>4</w:t>
            </w:r>
            <w:r>
              <w:rPr>
                <w:sz w:val="24"/>
                <w:szCs w:val="24"/>
              </w:rPr>
              <w:t>.52m</w:t>
            </w:r>
            <w:r>
              <w:rPr>
                <w:sz w:val="24"/>
                <w:szCs w:val="24"/>
                <w:vertAlign w:val="superscript"/>
              </w:rPr>
              <w:t>3</w:t>
            </w:r>
            <w:r>
              <w:rPr>
                <w:sz w:val="24"/>
                <w:szCs w:val="24"/>
              </w:rPr>
              <w:t>/d（合1649.8 m</w:t>
            </w:r>
            <w:r>
              <w:rPr>
                <w:sz w:val="24"/>
                <w:szCs w:val="24"/>
                <w:vertAlign w:val="superscript"/>
              </w:rPr>
              <w:t>3</w:t>
            </w:r>
            <w:r>
              <w:rPr>
                <w:sz w:val="24"/>
                <w:szCs w:val="24"/>
              </w:rPr>
              <w:t>/a）。具体见</w:t>
            </w:r>
            <w:r>
              <w:rPr>
                <w:rFonts w:hint="eastAsia"/>
                <w:sz w:val="24"/>
                <w:szCs w:val="24"/>
                <w:lang w:val="en-US" w:eastAsia="zh-CN"/>
              </w:rPr>
              <w:t>表5-3</w:t>
            </w:r>
            <w:r>
              <w:rPr>
                <w:sz w:val="24"/>
                <w:szCs w:val="24"/>
              </w:rPr>
              <w:t>。</w:t>
            </w:r>
          </w:p>
          <w:p>
            <w:pPr>
              <w:pStyle w:val="143"/>
              <w:keepNext w:val="0"/>
              <w:keepLines w:val="0"/>
              <w:pageBreakBefore w:val="0"/>
              <w:widowControl w:val="0"/>
              <w:kinsoku/>
              <w:wordWrap/>
              <w:overflowPunct/>
              <w:topLinePunct w:val="0"/>
              <w:autoSpaceDE/>
              <w:autoSpaceDN/>
              <w:bidi w:val="0"/>
              <w:adjustRightInd/>
              <w:snapToGrid/>
              <w:spacing w:beforeLines="0"/>
              <w:textAlignment w:val="auto"/>
              <w:rPr>
                <w:rFonts w:cs="Times New Roman"/>
              </w:rPr>
            </w:pPr>
            <w:bookmarkStart w:id="27" w:name="_Ref45471495"/>
            <w:r>
              <w:rPr>
                <w:rFonts w:hint="eastAsia"/>
              </w:rPr>
              <w:t>表</w:t>
            </w:r>
            <w:bookmarkEnd w:id="27"/>
            <w:r>
              <w:rPr>
                <w:rFonts w:hint="eastAsia"/>
                <w:lang w:val="en-US" w:eastAsia="zh-CN"/>
              </w:rPr>
              <w:t>5-3</w:t>
            </w:r>
            <w:r>
              <w:rPr>
                <w:rFonts w:cs="Times New Roman"/>
              </w:rPr>
              <w:t xml:space="preserve"> </w:t>
            </w:r>
            <w:r>
              <w:rPr>
                <w:rFonts w:hint="eastAsia" w:cs="Times New Roman"/>
                <w:lang w:val="en-US" w:eastAsia="zh-CN"/>
              </w:rPr>
              <w:t xml:space="preserve"> </w:t>
            </w:r>
            <w:r>
              <w:rPr>
                <w:rFonts w:cs="Times New Roman"/>
              </w:rPr>
              <w:t>本项目生活污水污染物排放情况一览表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1"/>
              <w:gridCol w:w="1263"/>
              <w:gridCol w:w="1806"/>
              <w:gridCol w:w="1421"/>
              <w:gridCol w:w="2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967" w:type="pct"/>
                  <w:vMerge w:val="restart"/>
                  <w:vAlign w:val="center"/>
                </w:tcPr>
                <w:p>
                  <w:pPr>
                    <w:pStyle w:val="141"/>
                  </w:pPr>
                  <w:r>
                    <w:t>生活污水</w:t>
                  </w:r>
                </w:p>
                <w:p>
                  <w:pPr>
                    <w:pStyle w:val="141"/>
                  </w:pPr>
                  <w:r>
                    <w:t>排放量（</w:t>
                  </w:r>
                  <w:r>
                    <w:rPr>
                      <w:rFonts w:hint="eastAsia"/>
                      <w:lang w:val="en-US" w:eastAsia="zh-CN"/>
                    </w:rPr>
                    <w:t>m</w:t>
                  </w:r>
                  <w:r>
                    <w:rPr>
                      <w:rFonts w:hint="eastAsia"/>
                      <w:vertAlign w:val="superscript"/>
                      <w:lang w:val="en-US" w:eastAsia="zh-CN"/>
                    </w:rPr>
                    <w:t>3</w:t>
                  </w:r>
                  <w:r>
                    <w:t>/a）</w:t>
                  </w:r>
                </w:p>
              </w:tc>
              <w:tc>
                <w:tcPr>
                  <w:tcW w:w="706" w:type="pct"/>
                  <w:vMerge w:val="restart"/>
                  <w:vAlign w:val="center"/>
                </w:tcPr>
                <w:p>
                  <w:pPr>
                    <w:pStyle w:val="141"/>
                  </w:pPr>
                  <w:r>
                    <w:t>污染物</w:t>
                  </w:r>
                </w:p>
              </w:tc>
              <w:tc>
                <w:tcPr>
                  <w:tcW w:w="1009" w:type="pct"/>
                  <w:vMerge w:val="restart"/>
                  <w:vAlign w:val="center"/>
                </w:tcPr>
                <w:p>
                  <w:pPr>
                    <w:pStyle w:val="141"/>
                  </w:pPr>
                  <w:r>
                    <w:t>排放浓度</w:t>
                  </w:r>
                  <w:r>
                    <w:rPr>
                      <w:rFonts w:hint="eastAsia"/>
                    </w:rPr>
                    <w:t>mg/L</w:t>
                  </w:r>
                </w:p>
              </w:tc>
              <w:tc>
                <w:tcPr>
                  <w:tcW w:w="794" w:type="pct"/>
                  <w:vMerge w:val="restart"/>
                  <w:vAlign w:val="center"/>
                </w:tcPr>
                <w:p>
                  <w:pPr>
                    <w:pStyle w:val="141"/>
                  </w:pPr>
                  <w:r>
                    <w:t>排放量（t/a）</w:t>
                  </w:r>
                </w:p>
              </w:tc>
              <w:tc>
                <w:tcPr>
                  <w:tcW w:w="1524" w:type="pct"/>
                  <w:vMerge w:val="restart"/>
                  <w:vAlign w:val="center"/>
                </w:tcPr>
                <w:p>
                  <w:pPr>
                    <w:pStyle w:val="141"/>
                  </w:pPr>
                  <w: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967" w:type="pct"/>
                  <w:vMerge w:val="continue"/>
                  <w:vAlign w:val="center"/>
                </w:tcPr>
                <w:p>
                  <w:pPr>
                    <w:pStyle w:val="141"/>
                  </w:pPr>
                </w:p>
              </w:tc>
              <w:tc>
                <w:tcPr>
                  <w:tcW w:w="706" w:type="pct"/>
                  <w:vMerge w:val="continue"/>
                  <w:vAlign w:val="center"/>
                </w:tcPr>
                <w:p>
                  <w:pPr>
                    <w:pStyle w:val="141"/>
                  </w:pPr>
                </w:p>
              </w:tc>
              <w:tc>
                <w:tcPr>
                  <w:tcW w:w="1009" w:type="pct"/>
                  <w:vMerge w:val="continue"/>
                  <w:vAlign w:val="center"/>
                </w:tcPr>
                <w:p>
                  <w:pPr>
                    <w:pStyle w:val="141"/>
                  </w:pPr>
                </w:p>
              </w:tc>
              <w:tc>
                <w:tcPr>
                  <w:tcW w:w="794" w:type="pct"/>
                  <w:vMerge w:val="continue"/>
                  <w:vAlign w:val="center"/>
                </w:tcPr>
                <w:p>
                  <w:pPr>
                    <w:pStyle w:val="141"/>
                  </w:pPr>
                </w:p>
              </w:tc>
              <w:tc>
                <w:tcPr>
                  <w:tcW w:w="1524" w:type="pct"/>
                  <w:vMerge w:val="continue"/>
                  <w:vAlign w:val="center"/>
                </w:tcPr>
                <w:p>
                  <w:pPr>
                    <w:pStyle w:val="14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967" w:type="pct"/>
                  <w:vMerge w:val="restart"/>
                  <w:vAlign w:val="center"/>
                </w:tcPr>
                <w:p>
                  <w:pPr>
                    <w:pStyle w:val="141"/>
                  </w:pPr>
                  <w:r>
                    <w:t>1649.8</w:t>
                  </w:r>
                </w:p>
              </w:tc>
              <w:tc>
                <w:tcPr>
                  <w:tcW w:w="706" w:type="pct"/>
                  <w:vAlign w:val="center"/>
                </w:tcPr>
                <w:p>
                  <w:pPr>
                    <w:pStyle w:val="141"/>
                  </w:pPr>
                  <w:r>
                    <w:t>COD</w:t>
                  </w:r>
                  <w:r>
                    <w:rPr>
                      <w:vertAlign w:val="subscript"/>
                    </w:rPr>
                    <w:t>Cr</w:t>
                  </w:r>
                </w:p>
              </w:tc>
              <w:tc>
                <w:tcPr>
                  <w:tcW w:w="1009" w:type="pct"/>
                  <w:vAlign w:val="center"/>
                </w:tcPr>
                <w:p>
                  <w:pPr>
                    <w:pStyle w:val="141"/>
                  </w:pPr>
                  <w:r>
                    <w:t>250</w:t>
                  </w:r>
                </w:p>
              </w:tc>
              <w:tc>
                <w:tcPr>
                  <w:tcW w:w="794" w:type="pct"/>
                </w:tcPr>
                <w:p>
                  <w:pPr>
                    <w:pStyle w:val="141"/>
                    <w:rPr>
                      <w:bCs/>
                      <w:sz w:val="22"/>
                      <w:szCs w:val="22"/>
                    </w:rPr>
                  </w:pPr>
                  <w:r>
                    <w:t>0.41</w:t>
                  </w:r>
                </w:p>
              </w:tc>
              <w:tc>
                <w:tcPr>
                  <w:tcW w:w="1524" w:type="pct"/>
                  <w:vMerge w:val="restart"/>
                  <w:vAlign w:val="center"/>
                </w:tcPr>
                <w:p>
                  <w:pPr>
                    <w:pStyle w:val="141"/>
                  </w:pPr>
                  <w:r>
                    <w:t>经三级化粪处理后，</w:t>
                  </w:r>
                  <w:r>
                    <w:rPr>
                      <w:rFonts w:hint="eastAsia"/>
                    </w:rPr>
                    <w:t>由附近村民定期清掏用于肥田回用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967" w:type="pct"/>
                  <w:vMerge w:val="continue"/>
                  <w:vAlign w:val="center"/>
                </w:tcPr>
                <w:p>
                  <w:pPr>
                    <w:pStyle w:val="141"/>
                  </w:pPr>
                </w:p>
              </w:tc>
              <w:tc>
                <w:tcPr>
                  <w:tcW w:w="706" w:type="pct"/>
                  <w:vAlign w:val="center"/>
                </w:tcPr>
                <w:p>
                  <w:pPr>
                    <w:pStyle w:val="141"/>
                  </w:pPr>
                  <w:r>
                    <w:t>BOD</w:t>
                  </w:r>
                  <w:r>
                    <w:rPr>
                      <w:vertAlign w:val="subscript"/>
                    </w:rPr>
                    <w:t>5</w:t>
                  </w:r>
                </w:p>
              </w:tc>
              <w:tc>
                <w:tcPr>
                  <w:tcW w:w="1009" w:type="pct"/>
                  <w:vAlign w:val="center"/>
                </w:tcPr>
                <w:p>
                  <w:pPr>
                    <w:pStyle w:val="141"/>
                  </w:pPr>
                  <w:r>
                    <w:t>150</w:t>
                  </w:r>
                </w:p>
              </w:tc>
              <w:tc>
                <w:tcPr>
                  <w:tcW w:w="794" w:type="pct"/>
                </w:tcPr>
                <w:p>
                  <w:pPr>
                    <w:pStyle w:val="141"/>
                    <w:rPr>
                      <w:bCs/>
                      <w:sz w:val="22"/>
                      <w:szCs w:val="22"/>
                    </w:rPr>
                  </w:pPr>
                  <w:r>
                    <w:t>0.25</w:t>
                  </w:r>
                </w:p>
              </w:tc>
              <w:tc>
                <w:tcPr>
                  <w:tcW w:w="1524" w:type="pct"/>
                  <w:vMerge w:val="continue"/>
                  <w:vAlign w:val="center"/>
                </w:tcPr>
                <w:p>
                  <w:pPr>
                    <w:pStyle w:val="14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967" w:type="pct"/>
                  <w:vMerge w:val="continue"/>
                  <w:vAlign w:val="center"/>
                </w:tcPr>
                <w:p>
                  <w:pPr>
                    <w:pStyle w:val="141"/>
                  </w:pPr>
                </w:p>
              </w:tc>
              <w:tc>
                <w:tcPr>
                  <w:tcW w:w="706" w:type="pct"/>
                  <w:vAlign w:val="center"/>
                </w:tcPr>
                <w:p>
                  <w:pPr>
                    <w:pStyle w:val="141"/>
                  </w:pPr>
                  <w:r>
                    <w:t>NH</w:t>
                  </w:r>
                  <w:r>
                    <w:rPr>
                      <w:vertAlign w:val="subscript"/>
                    </w:rPr>
                    <w:t>3</w:t>
                  </w:r>
                  <w:r>
                    <w:t>-N</w:t>
                  </w:r>
                </w:p>
              </w:tc>
              <w:tc>
                <w:tcPr>
                  <w:tcW w:w="1009" w:type="pct"/>
                  <w:vAlign w:val="center"/>
                </w:tcPr>
                <w:p>
                  <w:pPr>
                    <w:pStyle w:val="141"/>
                  </w:pPr>
                  <w:r>
                    <w:t>25</w:t>
                  </w:r>
                </w:p>
              </w:tc>
              <w:tc>
                <w:tcPr>
                  <w:tcW w:w="794" w:type="pct"/>
                </w:tcPr>
                <w:p>
                  <w:pPr>
                    <w:pStyle w:val="141"/>
                    <w:rPr>
                      <w:bCs/>
                      <w:sz w:val="22"/>
                      <w:szCs w:val="22"/>
                    </w:rPr>
                  </w:pPr>
                  <w:r>
                    <w:t>0.04</w:t>
                  </w:r>
                </w:p>
              </w:tc>
              <w:tc>
                <w:tcPr>
                  <w:tcW w:w="1524" w:type="pct"/>
                  <w:vMerge w:val="continue"/>
                  <w:vAlign w:val="center"/>
                </w:tcPr>
                <w:p>
                  <w:pPr>
                    <w:pStyle w:val="14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67" w:type="pct"/>
                  <w:vMerge w:val="continue"/>
                  <w:vAlign w:val="center"/>
                </w:tcPr>
                <w:p>
                  <w:pPr>
                    <w:pStyle w:val="141"/>
                  </w:pPr>
                </w:p>
              </w:tc>
              <w:tc>
                <w:tcPr>
                  <w:tcW w:w="706" w:type="pct"/>
                  <w:vAlign w:val="center"/>
                </w:tcPr>
                <w:p>
                  <w:pPr>
                    <w:pStyle w:val="141"/>
                  </w:pPr>
                  <w:r>
                    <w:t>SS</w:t>
                  </w:r>
                </w:p>
              </w:tc>
              <w:tc>
                <w:tcPr>
                  <w:tcW w:w="1009" w:type="pct"/>
                  <w:vAlign w:val="center"/>
                </w:tcPr>
                <w:p>
                  <w:pPr>
                    <w:pStyle w:val="141"/>
                  </w:pPr>
                  <w:r>
                    <w:t>200</w:t>
                  </w:r>
                </w:p>
              </w:tc>
              <w:tc>
                <w:tcPr>
                  <w:tcW w:w="794" w:type="pct"/>
                </w:tcPr>
                <w:p>
                  <w:pPr>
                    <w:pStyle w:val="141"/>
                    <w:rPr>
                      <w:bCs/>
                      <w:sz w:val="22"/>
                      <w:szCs w:val="22"/>
                    </w:rPr>
                  </w:pPr>
                  <w:r>
                    <w:t>0.33</w:t>
                  </w:r>
                </w:p>
              </w:tc>
              <w:tc>
                <w:tcPr>
                  <w:tcW w:w="1524" w:type="pct"/>
                  <w:vMerge w:val="continue"/>
                  <w:vAlign w:val="center"/>
                </w:tcPr>
                <w:p>
                  <w:pPr>
                    <w:pStyle w:val="14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67" w:type="pct"/>
                  <w:vMerge w:val="continue"/>
                  <w:vAlign w:val="center"/>
                </w:tcPr>
                <w:p>
                  <w:pPr>
                    <w:pStyle w:val="141"/>
                  </w:pPr>
                </w:p>
              </w:tc>
              <w:tc>
                <w:tcPr>
                  <w:tcW w:w="706" w:type="pct"/>
                  <w:vAlign w:val="center"/>
                </w:tcPr>
                <w:p>
                  <w:pPr>
                    <w:pStyle w:val="141"/>
                  </w:pPr>
                  <w:r>
                    <w:t>动植物油</w:t>
                  </w:r>
                </w:p>
              </w:tc>
              <w:tc>
                <w:tcPr>
                  <w:tcW w:w="1009" w:type="pct"/>
                  <w:vAlign w:val="center"/>
                </w:tcPr>
                <w:p>
                  <w:pPr>
                    <w:pStyle w:val="141"/>
                  </w:pPr>
                  <w:r>
                    <w:t>50</w:t>
                  </w:r>
                </w:p>
              </w:tc>
              <w:tc>
                <w:tcPr>
                  <w:tcW w:w="794" w:type="pct"/>
                </w:tcPr>
                <w:p>
                  <w:pPr>
                    <w:pStyle w:val="141"/>
                    <w:rPr>
                      <w:bCs/>
                      <w:sz w:val="22"/>
                      <w:szCs w:val="22"/>
                    </w:rPr>
                  </w:pPr>
                  <w:r>
                    <w:t>0.08</w:t>
                  </w:r>
                </w:p>
              </w:tc>
              <w:tc>
                <w:tcPr>
                  <w:tcW w:w="1524" w:type="pct"/>
                  <w:vMerge w:val="continue"/>
                  <w:vAlign w:val="center"/>
                </w:tcPr>
                <w:p>
                  <w:pPr>
                    <w:pStyle w:val="141"/>
                  </w:pPr>
                </w:p>
              </w:tc>
            </w:tr>
          </w:tbl>
          <w:p>
            <w:pPr>
              <w:spacing w:line="360" w:lineRule="auto"/>
              <w:ind w:firstLine="480" w:firstLineChars="200"/>
              <w:rPr>
                <w:sz w:val="24"/>
                <w:szCs w:val="24"/>
              </w:rPr>
            </w:pPr>
          </w:p>
          <w:p>
            <w:pPr>
              <w:spacing w:line="360" w:lineRule="auto"/>
              <w:ind w:firstLine="480" w:firstLineChars="200"/>
              <w:rPr>
                <w:sz w:val="24"/>
                <w:szCs w:val="24"/>
              </w:rPr>
            </w:pPr>
            <w:r>
              <w:rPr>
                <w:rFonts w:hint="eastAsia"/>
                <w:sz w:val="24"/>
                <w:szCs w:val="24"/>
              </w:rPr>
              <w:t>②</w:t>
            </w:r>
            <w:r>
              <w:rPr>
                <w:sz w:val="24"/>
                <w:szCs w:val="24"/>
              </w:rPr>
              <w:t>站区清洗废水</w:t>
            </w:r>
          </w:p>
          <w:p>
            <w:pPr>
              <w:spacing w:line="360" w:lineRule="auto"/>
              <w:ind w:firstLine="480" w:firstLineChars="200"/>
              <w:rPr>
                <w:sz w:val="24"/>
                <w:szCs w:val="24"/>
              </w:rPr>
            </w:pPr>
            <w:r>
              <w:rPr>
                <w:sz w:val="24"/>
                <w:szCs w:val="24"/>
              </w:rPr>
              <w:t>用水按照1m</w:t>
            </w:r>
            <w:r>
              <w:rPr>
                <w:sz w:val="24"/>
                <w:szCs w:val="24"/>
                <w:vertAlign w:val="superscript"/>
              </w:rPr>
              <w:t>3</w:t>
            </w:r>
            <w:r>
              <w:rPr>
                <w:sz w:val="24"/>
                <w:szCs w:val="24"/>
              </w:rPr>
              <w:t>/</w:t>
            </w:r>
            <w:r>
              <w:rPr>
                <w:rFonts w:hint="eastAsia"/>
                <w:sz w:val="24"/>
                <w:szCs w:val="24"/>
              </w:rPr>
              <w:t>d</w:t>
            </w:r>
            <w:r>
              <w:rPr>
                <w:sz w:val="24"/>
                <w:szCs w:val="24"/>
              </w:rPr>
              <w:t>（合365m</w:t>
            </w:r>
            <w:r>
              <w:rPr>
                <w:sz w:val="24"/>
                <w:szCs w:val="24"/>
                <w:vertAlign w:val="superscript"/>
              </w:rPr>
              <w:t>3</w:t>
            </w:r>
            <w:r>
              <w:rPr>
                <w:sz w:val="24"/>
                <w:szCs w:val="24"/>
              </w:rPr>
              <w:t>/a），排污系数按0.9计算，废水排放量约0.9m</w:t>
            </w:r>
            <w:r>
              <w:rPr>
                <w:sz w:val="24"/>
                <w:szCs w:val="24"/>
                <w:vertAlign w:val="superscript"/>
              </w:rPr>
              <w:t>3</w:t>
            </w:r>
            <w:r>
              <w:rPr>
                <w:sz w:val="24"/>
                <w:szCs w:val="24"/>
              </w:rPr>
              <w:t>/d（合</w:t>
            </w:r>
            <w:r>
              <w:rPr>
                <w:rFonts w:hint="eastAsia"/>
                <w:sz w:val="24"/>
                <w:szCs w:val="24"/>
              </w:rPr>
              <w:t>3</w:t>
            </w:r>
            <w:r>
              <w:rPr>
                <w:sz w:val="24"/>
                <w:szCs w:val="24"/>
              </w:rPr>
              <w:t>28.5m</w:t>
            </w:r>
            <w:r>
              <w:rPr>
                <w:sz w:val="24"/>
                <w:szCs w:val="24"/>
                <w:vertAlign w:val="superscript"/>
              </w:rPr>
              <w:t>3</w:t>
            </w:r>
            <w:r>
              <w:rPr>
                <w:sz w:val="24"/>
                <w:szCs w:val="24"/>
              </w:rPr>
              <w:t>/a），此类废水主要污染物产、排情况见</w:t>
            </w:r>
            <w:r>
              <w:rPr>
                <w:rFonts w:hint="eastAsia"/>
                <w:sz w:val="24"/>
                <w:szCs w:val="24"/>
                <w:lang w:val="en-US" w:eastAsia="zh-CN"/>
              </w:rPr>
              <w:t>表5-4</w:t>
            </w:r>
            <w:r>
              <w:rPr>
                <w:sz w:val="24"/>
                <w:szCs w:val="24"/>
              </w:rPr>
              <w:t>。</w:t>
            </w:r>
          </w:p>
          <w:p>
            <w:pPr>
              <w:pStyle w:val="143"/>
              <w:keepNext w:val="0"/>
              <w:keepLines w:val="0"/>
              <w:pageBreakBefore w:val="0"/>
              <w:widowControl w:val="0"/>
              <w:kinsoku/>
              <w:wordWrap/>
              <w:overflowPunct/>
              <w:topLinePunct w:val="0"/>
              <w:autoSpaceDE/>
              <w:autoSpaceDN/>
              <w:bidi w:val="0"/>
              <w:adjustRightInd/>
              <w:snapToGrid/>
              <w:spacing w:beforeLines="0"/>
              <w:textAlignment w:val="auto"/>
              <w:rPr>
                <w:rFonts w:cs="Times New Roman"/>
              </w:rPr>
            </w:pPr>
            <w:bookmarkStart w:id="28" w:name="_Ref45471502"/>
            <w:r>
              <w:rPr>
                <w:rFonts w:hint="eastAsia"/>
              </w:rPr>
              <w:t>表</w:t>
            </w:r>
            <w:bookmarkEnd w:id="28"/>
            <w:r>
              <w:rPr>
                <w:rFonts w:hint="eastAsia"/>
                <w:lang w:val="en-US" w:eastAsia="zh-CN"/>
              </w:rPr>
              <w:t>5-4</w:t>
            </w:r>
            <w:r>
              <w:rPr>
                <w:rFonts w:hint="eastAsia"/>
              </w:rPr>
              <w:t xml:space="preserve">   </w:t>
            </w:r>
            <w:r>
              <w:rPr>
                <w:rFonts w:cs="Times New Roman"/>
              </w:rPr>
              <w:t>本项目清洗废水污染物产、排情况一览表</w:t>
            </w:r>
          </w:p>
          <w:tbl>
            <w:tblPr>
              <w:tblStyle w:val="30"/>
              <w:tblW w:w="5000" w:type="pct"/>
              <w:jc w:val="center"/>
              <w:tblLayout w:type="fixed"/>
              <w:tblCellMar>
                <w:top w:w="0" w:type="dxa"/>
                <w:left w:w="108" w:type="dxa"/>
                <w:bottom w:w="0" w:type="dxa"/>
                <w:right w:w="108" w:type="dxa"/>
              </w:tblCellMar>
            </w:tblPr>
            <w:tblGrid>
              <w:gridCol w:w="1558"/>
              <w:gridCol w:w="1275"/>
              <w:gridCol w:w="1845"/>
              <w:gridCol w:w="1421"/>
              <w:gridCol w:w="2859"/>
            </w:tblGrid>
            <w:tr>
              <w:tblPrEx>
                <w:tblCellMar>
                  <w:top w:w="0" w:type="dxa"/>
                  <w:left w:w="108" w:type="dxa"/>
                  <w:bottom w:w="0" w:type="dxa"/>
                  <w:right w:w="108" w:type="dxa"/>
                </w:tblCellMar>
              </w:tblPrEx>
              <w:trPr>
                <w:jc w:val="center"/>
              </w:trPr>
              <w:tc>
                <w:tcPr>
                  <w:tcW w:w="86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41"/>
                  </w:pPr>
                  <w:r>
                    <w:rPr>
                      <w:rFonts w:hint="eastAsia"/>
                    </w:rPr>
                    <w:t>排放量（</w:t>
                  </w:r>
                  <w:r>
                    <w:rPr>
                      <w:rFonts w:hint="eastAsia"/>
                      <w:lang w:val="en-US" w:eastAsia="zh-CN"/>
                    </w:rPr>
                    <w:t>m</w:t>
                  </w:r>
                  <w:r>
                    <w:rPr>
                      <w:rFonts w:hint="eastAsia"/>
                      <w:vertAlign w:val="superscript"/>
                      <w:lang w:val="en-US" w:eastAsia="zh-CN"/>
                    </w:rPr>
                    <w:t>3</w:t>
                  </w:r>
                  <w:r>
                    <w:t>/a</w:t>
                  </w:r>
                  <w:r>
                    <w:rPr>
                      <w:rFonts w:hint="eastAsia"/>
                    </w:rPr>
                    <w:t>）</w:t>
                  </w:r>
                </w:p>
              </w:tc>
              <w:tc>
                <w:tcPr>
                  <w:tcW w:w="712" w:type="pct"/>
                  <w:tcBorders>
                    <w:top w:val="single" w:color="auto" w:sz="4" w:space="0"/>
                    <w:left w:val="nil"/>
                    <w:bottom w:val="single" w:color="auto" w:sz="4" w:space="0"/>
                    <w:right w:val="single" w:color="auto" w:sz="4" w:space="0"/>
                  </w:tcBorders>
                  <w:shd w:val="clear" w:color="auto" w:fill="auto"/>
                  <w:vAlign w:val="center"/>
                </w:tcPr>
                <w:p>
                  <w:pPr>
                    <w:pStyle w:val="141"/>
                  </w:pPr>
                  <w:r>
                    <w:rPr>
                      <w:rFonts w:hint="eastAsia"/>
                    </w:rPr>
                    <w:t>污染物</w:t>
                  </w:r>
                </w:p>
              </w:tc>
              <w:tc>
                <w:tcPr>
                  <w:tcW w:w="1030" w:type="pct"/>
                  <w:tcBorders>
                    <w:top w:val="single" w:color="auto" w:sz="4" w:space="0"/>
                    <w:left w:val="nil"/>
                    <w:bottom w:val="single" w:color="auto" w:sz="4" w:space="0"/>
                    <w:right w:val="single" w:color="auto" w:sz="4" w:space="0"/>
                  </w:tcBorders>
                  <w:shd w:val="clear" w:color="auto" w:fill="auto"/>
                  <w:vAlign w:val="center"/>
                </w:tcPr>
                <w:p>
                  <w:pPr>
                    <w:pStyle w:val="141"/>
                  </w:pPr>
                  <w:r>
                    <w:rPr>
                      <w:rFonts w:hint="eastAsia"/>
                    </w:rPr>
                    <w:t>产生浓度（</w:t>
                  </w:r>
                  <w:r>
                    <w:t>mg/L</w:t>
                  </w:r>
                  <w:r>
                    <w:rPr>
                      <w:rFonts w:hint="eastAsia"/>
                    </w:rPr>
                    <w:t>）</w:t>
                  </w:r>
                </w:p>
              </w:tc>
              <w:tc>
                <w:tcPr>
                  <w:tcW w:w="793" w:type="pct"/>
                  <w:tcBorders>
                    <w:top w:val="single" w:color="auto" w:sz="4" w:space="0"/>
                    <w:left w:val="nil"/>
                    <w:bottom w:val="single" w:color="auto" w:sz="4" w:space="0"/>
                    <w:right w:val="single" w:color="auto" w:sz="4" w:space="0"/>
                  </w:tcBorders>
                  <w:shd w:val="clear" w:color="auto" w:fill="auto"/>
                  <w:vAlign w:val="center"/>
                </w:tcPr>
                <w:p>
                  <w:pPr>
                    <w:pStyle w:val="141"/>
                  </w:pPr>
                  <w:r>
                    <w:rPr>
                      <w:rFonts w:hint="eastAsia"/>
                    </w:rPr>
                    <w:t>产生量（</w:t>
                  </w:r>
                  <w:r>
                    <w:t>t/a</w:t>
                  </w:r>
                  <w:r>
                    <w:rPr>
                      <w:rFonts w:hint="eastAsia"/>
                    </w:rPr>
                    <w:t>）</w:t>
                  </w:r>
                </w:p>
              </w:tc>
              <w:tc>
                <w:tcPr>
                  <w:tcW w:w="1596" w:type="pct"/>
                  <w:tcBorders>
                    <w:top w:val="single" w:color="auto" w:sz="4" w:space="0"/>
                    <w:left w:val="nil"/>
                    <w:bottom w:val="single" w:color="auto" w:sz="4" w:space="0"/>
                    <w:right w:val="single" w:color="auto" w:sz="4" w:space="0"/>
                  </w:tcBorders>
                  <w:shd w:val="clear" w:color="auto" w:fill="auto"/>
                  <w:vAlign w:val="center"/>
                </w:tcPr>
                <w:p>
                  <w:pPr>
                    <w:pStyle w:val="141"/>
                  </w:pPr>
                  <w:r>
                    <w:rPr>
                      <w:rFonts w:hint="eastAsia"/>
                    </w:rPr>
                    <w:t>处理措施</w:t>
                  </w:r>
                </w:p>
              </w:tc>
            </w:tr>
            <w:tr>
              <w:tblPrEx>
                <w:tblCellMar>
                  <w:top w:w="0" w:type="dxa"/>
                  <w:left w:w="108" w:type="dxa"/>
                  <w:bottom w:w="0" w:type="dxa"/>
                  <w:right w:w="108" w:type="dxa"/>
                </w:tblCellMar>
              </w:tblPrEx>
              <w:trPr>
                <w:jc w:val="center"/>
              </w:trPr>
              <w:tc>
                <w:tcPr>
                  <w:tcW w:w="869" w:type="pct"/>
                  <w:vMerge w:val="restart"/>
                  <w:tcBorders>
                    <w:top w:val="nil"/>
                    <w:left w:val="single" w:color="auto" w:sz="4" w:space="0"/>
                    <w:bottom w:val="single" w:color="auto" w:sz="4" w:space="0"/>
                    <w:right w:val="single" w:color="auto" w:sz="4" w:space="0"/>
                  </w:tcBorders>
                  <w:shd w:val="clear" w:color="auto" w:fill="auto"/>
                  <w:vAlign w:val="center"/>
                </w:tcPr>
                <w:p>
                  <w:pPr>
                    <w:pStyle w:val="141"/>
                  </w:pPr>
                  <w:r>
                    <w:t>328.5</w:t>
                  </w:r>
                </w:p>
              </w:tc>
              <w:tc>
                <w:tcPr>
                  <w:tcW w:w="712" w:type="pct"/>
                  <w:tcBorders>
                    <w:top w:val="nil"/>
                    <w:left w:val="nil"/>
                    <w:bottom w:val="single" w:color="auto" w:sz="4" w:space="0"/>
                    <w:right w:val="single" w:color="auto" w:sz="4" w:space="0"/>
                  </w:tcBorders>
                  <w:shd w:val="clear" w:color="auto" w:fill="auto"/>
                  <w:vAlign w:val="center"/>
                </w:tcPr>
                <w:p>
                  <w:pPr>
                    <w:pStyle w:val="141"/>
                  </w:pPr>
                  <w:r>
                    <w:t>CODCr</w:t>
                  </w:r>
                </w:p>
              </w:tc>
              <w:tc>
                <w:tcPr>
                  <w:tcW w:w="1030" w:type="pct"/>
                  <w:tcBorders>
                    <w:top w:val="nil"/>
                    <w:left w:val="nil"/>
                    <w:bottom w:val="single" w:color="auto" w:sz="4" w:space="0"/>
                    <w:right w:val="single" w:color="auto" w:sz="4" w:space="0"/>
                  </w:tcBorders>
                  <w:shd w:val="clear" w:color="auto" w:fill="auto"/>
                  <w:vAlign w:val="center"/>
                </w:tcPr>
                <w:p>
                  <w:pPr>
                    <w:pStyle w:val="141"/>
                  </w:pPr>
                  <w:r>
                    <w:t>200</w:t>
                  </w:r>
                </w:p>
              </w:tc>
              <w:tc>
                <w:tcPr>
                  <w:tcW w:w="793" w:type="pct"/>
                  <w:tcBorders>
                    <w:top w:val="nil"/>
                    <w:left w:val="nil"/>
                    <w:bottom w:val="single" w:color="auto" w:sz="4" w:space="0"/>
                    <w:right w:val="single" w:color="auto" w:sz="4" w:space="0"/>
                  </w:tcBorders>
                  <w:shd w:val="clear" w:color="auto" w:fill="auto"/>
                  <w:vAlign w:val="center"/>
                </w:tcPr>
                <w:p>
                  <w:pPr>
                    <w:pStyle w:val="141"/>
                  </w:pPr>
                  <w:r>
                    <w:t>0.07</w:t>
                  </w:r>
                </w:p>
              </w:tc>
              <w:tc>
                <w:tcPr>
                  <w:tcW w:w="1596" w:type="pct"/>
                  <w:vMerge w:val="restart"/>
                  <w:tcBorders>
                    <w:top w:val="nil"/>
                    <w:left w:val="single" w:color="auto" w:sz="4" w:space="0"/>
                    <w:bottom w:val="single" w:color="auto" w:sz="4" w:space="0"/>
                    <w:right w:val="single" w:color="auto" w:sz="4" w:space="0"/>
                  </w:tcBorders>
                  <w:shd w:val="clear" w:color="auto" w:fill="auto"/>
                  <w:noWrap/>
                  <w:vAlign w:val="center"/>
                </w:tcPr>
                <w:p>
                  <w:pPr>
                    <w:pStyle w:val="141"/>
                    <w:rPr>
                      <w:rFonts w:hint="default" w:eastAsia="宋体"/>
                      <w:lang w:val="en-US" w:eastAsia="zh-CN"/>
                    </w:rPr>
                  </w:pPr>
                  <w:r>
                    <w:rPr>
                      <w:rFonts w:hint="eastAsia"/>
                    </w:rPr>
                    <w:t>经隔油池、三级沉淀池处理后回用</w:t>
                  </w:r>
                  <w:r>
                    <w:rPr>
                      <w:rFonts w:hint="eastAsia"/>
                      <w:lang w:val="en-US" w:eastAsia="zh-CN"/>
                    </w:rPr>
                    <w:t>场内洒水降尘和站内绿化</w:t>
                  </w:r>
                </w:p>
              </w:tc>
            </w:tr>
            <w:tr>
              <w:tblPrEx>
                <w:tblCellMar>
                  <w:top w:w="0" w:type="dxa"/>
                  <w:left w:w="108" w:type="dxa"/>
                  <w:bottom w:w="0" w:type="dxa"/>
                  <w:right w:w="108" w:type="dxa"/>
                </w:tblCellMar>
              </w:tblPrEx>
              <w:trPr>
                <w:jc w:val="center"/>
              </w:trPr>
              <w:tc>
                <w:tcPr>
                  <w:tcW w:w="869" w:type="pct"/>
                  <w:vMerge w:val="continue"/>
                  <w:tcBorders>
                    <w:top w:val="nil"/>
                    <w:left w:val="single" w:color="auto" w:sz="4" w:space="0"/>
                    <w:bottom w:val="single" w:color="auto" w:sz="4" w:space="0"/>
                    <w:right w:val="single" w:color="auto" w:sz="4" w:space="0"/>
                  </w:tcBorders>
                  <w:vAlign w:val="center"/>
                </w:tcPr>
                <w:p>
                  <w:pPr>
                    <w:pStyle w:val="141"/>
                  </w:pPr>
                </w:p>
              </w:tc>
              <w:tc>
                <w:tcPr>
                  <w:tcW w:w="712" w:type="pct"/>
                  <w:tcBorders>
                    <w:top w:val="nil"/>
                    <w:left w:val="nil"/>
                    <w:bottom w:val="single" w:color="auto" w:sz="4" w:space="0"/>
                    <w:right w:val="single" w:color="auto" w:sz="4" w:space="0"/>
                  </w:tcBorders>
                  <w:shd w:val="clear" w:color="auto" w:fill="auto"/>
                  <w:vAlign w:val="center"/>
                </w:tcPr>
                <w:p>
                  <w:pPr>
                    <w:pStyle w:val="141"/>
                  </w:pPr>
                  <w:r>
                    <w:t>SS</w:t>
                  </w:r>
                </w:p>
              </w:tc>
              <w:tc>
                <w:tcPr>
                  <w:tcW w:w="1030" w:type="pct"/>
                  <w:tcBorders>
                    <w:top w:val="nil"/>
                    <w:left w:val="nil"/>
                    <w:bottom w:val="single" w:color="auto" w:sz="4" w:space="0"/>
                    <w:right w:val="single" w:color="auto" w:sz="4" w:space="0"/>
                  </w:tcBorders>
                  <w:shd w:val="clear" w:color="auto" w:fill="auto"/>
                  <w:vAlign w:val="center"/>
                </w:tcPr>
                <w:p>
                  <w:pPr>
                    <w:pStyle w:val="141"/>
                  </w:pPr>
                  <w:r>
                    <w:t>300</w:t>
                  </w:r>
                </w:p>
              </w:tc>
              <w:tc>
                <w:tcPr>
                  <w:tcW w:w="793" w:type="pct"/>
                  <w:tcBorders>
                    <w:top w:val="nil"/>
                    <w:left w:val="nil"/>
                    <w:bottom w:val="single" w:color="auto" w:sz="4" w:space="0"/>
                    <w:right w:val="single" w:color="auto" w:sz="4" w:space="0"/>
                  </w:tcBorders>
                  <w:shd w:val="clear" w:color="auto" w:fill="auto"/>
                  <w:vAlign w:val="center"/>
                </w:tcPr>
                <w:p>
                  <w:pPr>
                    <w:pStyle w:val="141"/>
                  </w:pPr>
                  <w:r>
                    <w:t>0.1</w:t>
                  </w:r>
                </w:p>
              </w:tc>
              <w:tc>
                <w:tcPr>
                  <w:tcW w:w="1596" w:type="pct"/>
                  <w:vMerge w:val="continue"/>
                  <w:tcBorders>
                    <w:top w:val="nil"/>
                    <w:left w:val="single" w:color="auto" w:sz="4" w:space="0"/>
                    <w:bottom w:val="single" w:color="auto" w:sz="4" w:space="0"/>
                    <w:right w:val="single" w:color="auto" w:sz="4" w:space="0"/>
                  </w:tcBorders>
                  <w:vAlign w:val="center"/>
                </w:tcPr>
                <w:p>
                  <w:pPr>
                    <w:pStyle w:val="141"/>
                  </w:pPr>
                </w:p>
              </w:tc>
            </w:tr>
            <w:tr>
              <w:tblPrEx>
                <w:tblCellMar>
                  <w:top w:w="0" w:type="dxa"/>
                  <w:left w:w="108" w:type="dxa"/>
                  <w:bottom w:w="0" w:type="dxa"/>
                  <w:right w:w="108" w:type="dxa"/>
                </w:tblCellMar>
              </w:tblPrEx>
              <w:trPr>
                <w:jc w:val="center"/>
              </w:trPr>
              <w:tc>
                <w:tcPr>
                  <w:tcW w:w="869" w:type="pct"/>
                  <w:vMerge w:val="continue"/>
                  <w:tcBorders>
                    <w:top w:val="nil"/>
                    <w:left w:val="single" w:color="auto" w:sz="4" w:space="0"/>
                    <w:bottom w:val="single" w:color="auto" w:sz="4" w:space="0"/>
                    <w:right w:val="single" w:color="auto" w:sz="4" w:space="0"/>
                  </w:tcBorders>
                  <w:vAlign w:val="center"/>
                </w:tcPr>
                <w:p>
                  <w:pPr>
                    <w:pStyle w:val="141"/>
                  </w:pPr>
                </w:p>
              </w:tc>
              <w:tc>
                <w:tcPr>
                  <w:tcW w:w="712" w:type="pct"/>
                  <w:tcBorders>
                    <w:top w:val="nil"/>
                    <w:left w:val="nil"/>
                    <w:bottom w:val="single" w:color="auto" w:sz="4" w:space="0"/>
                    <w:right w:val="single" w:color="auto" w:sz="4" w:space="0"/>
                  </w:tcBorders>
                  <w:shd w:val="clear" w:color="auto" w:fill="auto"/>
                  <w:vAlign w:val="center"/>
                </w:tcPr>
                <w:p>
                  <w:pPr>
                    <w:pStyle w:val="141"/>
                  </w:pPr>
                  <w:r>
                    <w:rPr>
                      <w:rFonts w:hint="eastAsia"/>
                    </w:rPr>
                    <w:t>石油类</w:t>
                  </w:r>
                </w:p>
              </w:tc>
              <w:tc>
                <w:tcPr>
                  <w:tcW w:w="1030" w:type="pct"/>
                  <w:tcBorders>
                    <w:top w:val="nil"/>
                    <w:left w:val="nil"/>
                    <w:bottom w:val="single" w:color="auto" w:sz="4" w:space="0"/>
                    <w:right w:val="single" w:color="auto" w:sz="4" w:space="0"/>
                  </w:tcBorders>
                  <w:shd w:val="clear" w:color="auto" w:fill="auto"/>
                  <w:vAlign w:val="center"/>
                </w:tcPr>
                <w:p>
                  <w:pPr>
                    <w:pStyle w:val="141"/>
                  </w:pPr>
                  <w:r>
                    <w:t>80</w:t>
                  </w:r>
                </w:p>
              </w:tc>
              <w:tc>
                <w:tcPr>
                  <w:tcW w:w="793" w:type="pct"/>
                  <w:tcBorders>
                    <w:top w:val="nil"/>
                    <w:left w:val="nil"/>
                    <w:bottom w:val="single" w:color="auto" w:sz="4" w:space="0"/>
                    <w:right w:val="single" w:color="auto" w:sz="4" w:space="0"/>
                  </w:tcBorders>
                  <w:shd w:val="clear" w:color="auto" w:fill="auto"/>
                  <w:vAlign w:val="center"/>
                </w:tcPr>
                <w:p>
                  <w:pPr>
                    <w:pStyle w:val="141"/>
                  </w:pPr>
                  <w:r>
                    <w:t>0.03</w:t>
                  </w:r>
                </w:p>
              </w:tc>
              <w:tc>
                <w:tcPr>
                  <w:tcW w:w="1596" w:type="pct"/>
                  <w:vMerge w:val="continue"/>
                  <w:tcBorders>
                    <w:top w:val="nil"/>
                    <w:left w:val="single" w:color="auto" w:sz="4" w:space="0"/>
                    <w:bottom w:val="single" w:color="auto" w:sz="4" w:space="0"/>
                    <w:right w:val="single" w:color="auto" w:sz="4" w:space="0"/>
                  </w:tcBorders>
                  <w:vAlign w:val="center"/>
                </w:tcPr>
                <w:p>
                  <w:pPr>
                    <w:pStyle w:val="141"/>
                  </w:pPr>
                </w:p>
              </w:tc>
            </w:tr>
          </w:tbl>
          <w:p>
            <w:pPr>
              <w:pStyle w:val="137"/>
              <w:ind w:firstLine="480"/>
            </w:pPr>
            <w:r>
              <w:rPr>
                <w:rFonts w:hint="eastAsia"/>
              </w:rPr>
              <w:t>③初期雨水</w:t>
            </w:r>
          </w:p>
          <w:p>
            <w:pPr>
              <w:pStyle w:val="137"/>
              <w:ind w:firstLine="480"/>
            </w:pPr>
            <w:r>
              <w:rPr>
                <w:rFonts w:hint="eastAsia"/>
              </w:rPr>
              <w:t>研究表明，一般强度降雨很难形成地表径流，雨水通常被蒸发、下渗、吸收等消耗掉，只有大暴雨时，大量雨水短时间内汇集，才会形成地表径流，从而产生对地表冲刷。当遇到暴雨时，地面的污染物和泥沙被冲洗下来，使得径流雨水中含有一定浓度的污染物，主要为悬浮物、石油类。为避免污染附近水体，建设单位拟在站区内设置截流沟，初期雨水经截流沟收集并进入隔油池、三级沉淀池处理后回用</w:t>
            </w:r>
            <w:r>
              <w:rPr>
                <w:rFonts w:hint="eastAsia"/>
                <w:lang w:val="en-US" w:eastAsia="zh-CN"/>
              </w:rPr>
              <w:t>于站内洒水</w:t>
            </w:r>
            <w:r>
              <w:rPr>
                <w:rFonts w:hint="eastAsia"/>
              </w:rPr>
              <w:t>。</w:t>
            </w:r>
          </w:p>
          <w:p>
            <w:pPr>
              <w:pStyle w:val="137"/>
              <w:ind w:firstLine="480"/>
              <w:jc w:val="left"/>
            </w:pPr>
            <w:r>
              <w:rPr>
                <w:rFonts w:hint="eastAsia"/>
              </w:rPr>
              <w:t>初期雨水流量：Q=ψ ·q·F</w:t>
            </w:r>
          </w:p>
          <w:p>
            <w:pPr>
              <w:pStyle w:val="137"/>
              <w:ind w:firstLine="480"/>
            </w:pPr>
            <w:r>
              <w:rPr>
                <w:rFonts w:hint="eastAsia"/>
              </w:rPr>
              <w:t>式中：Q—雨水设计流量，L/s；</w:t>
            </w:r>
          </w:p>
          <w:p>
            <w:pPr>
              <w:pStyle w:val="137"/>
              <w:ind w:firstLine="480"/>
            </w:pPr>
            <w:r>
              <w:rPr>
                <w:rFonts w:hint="eastAsia"/>
              </w:rPr>
              <w:t xml:space="preserve">ψ —径流系数，本项目径流系数取 0.6； </w:t>
            </w:r>
          </w:p>
          <w:p>
            <w:pPr>
              <w:pStyle w:val="137"/>
              <w:ind w:left="-111" w:leftChars="-55" w:hanging="4" w:hangingChars="2"/>
            </w:pPr>
            <w:r>
              <w:rPr>
                <w:rFonts w:hint="eastAsia"/>
              </w:rPr>
              <w:t xml:space="preserve">q—设计暴雨强度，L/s·hm </w:t>
            </w:r>
            <w:r>
              <w:rPr>
                <w:rFonts w:hint="eastAsia"/>
                <w:vertAlign w:val="superscript"/>
              </w:rPr>
              <w:t>2</w:t>
            </w:r>
            <w:r>
              <w:rPr>
                <w:rFonts w:hint="eastAsia"/>
              </w:rPr>
              <w:t>；</w:t>
            </w:r>
          </w:p>
          <w:p>
            <w:pPr>
              <w:pStyle w:val="137"/>
              <w:ind w:firstLine="480"/>
            </w:pPr>
            <w:r>
              <w:rPr>
                <w:rFonts w:hint="eastAsia"/>
              </w:rPr>
              <w:t xml:space="preserve">F—汇水面积（公顷），本项目占地面积取 </w:t>
            </w:r>
            <w:r>
              <w:t>0.14</w:t>
            </w:r>
            <w:r>
              <w:rPr>
                <w:rFonts w:hint="eastAsia"/>
              </w:rPr>
              <w:t>hm</w:t>
            </w:r>
            <w:r>
              <w:rPr>
                <w:rFonts w:hint="eastAsia"/>
                <w:vertAlign w:val="superscript"/>
              </w:rPr>
              <w:t>2</w:t>
            </w:r>
            <w:r>
              <w:rPr>
                <w:rFonts w:hint="eastAsia"/>
              </w:rPr>
              <w:t>。</w:t>
            </w:r>
          </w:p>
          <w:p>
            <w:pPr>
              <w:pStyle w:val="137"/>
              <w:ind w:firstLine="480"/>
            </w:pPr>
            <w:r>
              <w:rPr>
                <w:rFonts w:hint="eastAsia"/>
              </w:rPr>
              <w:t>本项目雨水计算参考《湛江市区暴雨强度公式及计算图表》（2015年11月） 中的湛江市暴雨强度公式：</w:t>
            </w:r>
          </w:p>
          <w:p>
            <w:pPr>
              <w:pStyle w:val="137"/>
              <w:ind w:firstLine="480"/>
              <w:rPr>
                <w:vertAlign w:val="superscript"/>
              </w:rPr>
            </w:pPr>
            <w:r>
              <w:t>q=5666.811/</w:t>
            </w:r>
            <w:r>
              <w:rPr>
                <w:rFonts w:hint="eastAsia"/>
              </w:rPr>
              <w:t>（t</w:t>
            </w:r>
            <w:r>
              <w:t>+21.574</w:t>
            </w:r>
            <w:r>
              <w:rPr>
                <w:rFonts w:hint="default" w:ascii="Times New Roman" w:hAnsi="Times New Roman" w:cs="Times New Roman"/>
              </w:rPr>
              <w:t>）</w:t>
            </w:r>
            <w:r>
              <w:rPr>
                <w:rFonts w:hint="eastAsia"/>
                <w:vertAlign w:val="superscript"/>
              </w:rPr>
              <w:t>0</w:t>
            </w:r>
            <w:r>
              <w:rPr>
                <w:vertAlign w:val="superscript"/>
              </w:rPr>
              <w:t>.767</w:t>
            </w:r>
          </w:p>
          <w:p>
            <w:pPr>
              <w:pStyle w:val="137"/>
              <w:ind w:firstLine="480"/>
            </w:pPr>
            <w:r>
              <w:rPr>
                <w:rFonts w:hint="eastAsia"/>
              </w:rPr>
              <w:t>式中：q—设计暴雨强度，L/s·hm</w:t>
            </w:r>
            <w:r>
              <w:rPr>
                <w:rFonts w:hint="eastAsia"/>
                <w:vertAlign w:val="superscript"/>
              </w:rPr>
              <w:t>2</w:t>
            </w:r>
            <w:r>
              <w:rPr>
                <w:rFonts w:hint="eastAsia"/>
              </w:rPr>
              <w:t>；</w:t>
            </w:r>
          </w:p>
          <w:p>
            <w:pPr>
              <w:pStyle w:val="137"/>
              <w:ind w:firstLine="480"/>
            </w:pPr>
            <w:r>
              <w:rPr>
                <w:rFonts w:hint="eastAsia"/>
              </w:rPr>
              <w:t>P—重现期，取2年。</w:t>
            </w:r>
          </w:p>
          <w:p>
            <w:pPr>
              <w:pStyle w:val="137"/>
              <w:ind w:firstLine="480"/>
            </w:pPr>
            <w:r>
              <w:rPr>
                <w:rFonts w:hint="eastAsia"/>
              </w:rPr>
              <w:t>t—雨水径流时间，s，本项目取15min；</w:t>
            </w:r>
          </w:p>
          <w:p>
            <w:pPr>
              <w:pStyle w:val="137"/>
              <w:ind w:firstLine="0" w:firstLineChars="0"/>
            </w:pPr>
            <w:r>
              <w:rPr>
                <w:rFonts w:hint="eastAsia"/>
              </w:rPr>
              <w:t>根据上式计算得出设计暴雨强度为30.17L/s·hm</w:t>
            </w:r>
            <w:r>
              <w:rPr>
                <w:rFonts w:hint="eastAsia"/>
                <w:vertAlign w:val="superscript"/>
              </w:rPr>
              <w:t>2</w:t>
            </w:r>
            <w:r>
              <w:rPr>
                <w:rFonts w:hint="eastAsia"/>
              </w:rPr>
              <w:t>，雨水设计流量为</w:t>
            </w:r>
            <w:r>
              <w:t>2.53</w:t>
            </w:r>
            <w:r>
              <w:rPr>
                <w:rFonts w:hint="eastAsia"/>
              </w:rPr>
              <w:t>L/s。收集前15min的初期雨水，经计算初期最大雨水量为</w:t>
            </w:r>
            <w:r>
              <w:t>2.28</w:t>
            </w:r>
            <w:r>
              <w:rPr>
                <w:rFonts w:hint="eastAsia"/>
              </w:rPr>
              <w:t>m</w:t>
            </w:r>
            <w:r>
              <w:rPr>
                <w:rFonts w:hint="eastAsia"/>
                <w:vertAlign w:val="superscript"/>
              </w:rPr>
              <w:t>3</w:t>
            </w:r>
            <w:r>
              <w:rPr>
                <w:rFonts w:hint="eastAsia"/>
              </w:rPr>
              <w:t>/次。项目年运行365天，取暴雨日50天，则项目每年初期雨水量约为</w:t>
            </w:r>
            <w:r>
              <w:t>114</w:t>
            </w:r>
            <w:r>
              <w:rPr>
                <w:rFonts w:hint="eastAsia"/>
              </w:rPr>
              <w:t>m</w:t>
            </w:r>
            <w:r>
              <w:rPr>
                <w:rFonts w:hint="eastAsia"/>
                <w:vertAlign w:val="superscript"/>
              </w:rPr>
              <w:t>3</w:t>
            </w:r>
            <w:r>
              <w:rPr>
                <w:rFonts w:hint="eastAsia"/>
              </w:rPr>
              <w:t>/a。</w:t>
            </w:r>
          </w:p>
          <w:p>
            <w:pPr>
              <w:pStyle w:val="137"/>
              <w:ind w:firstLine="480"/>
            </w:pPr>
            <w:r>
              <w:rPr>
                <w:rFonts w:hint="eastAsia"/>
              </w:rPr>
              <w:t>项目初期雨水主要污染物为SS，经类比同类型的项目，初期雨水中污染物的产生情况见</w:t>
            </w:r>
            <w:r>
              <w:rPr>
                <w:rFonts w:hint="eastAsia"/>
                <w:lang w:val="en-US" w:eastAsia="zh-CN"/>
              </w:rPr>
              <w:t>表5-5</w:t>
            </w:r>
            <w:r>
              <w:rPr>
                <w:rFonts w:hint="eastAsia"/>
              </w:rPr>
              <w:t>。</w:t>
            </w:r>
          </w:p>
          <w:p>
            <w:pPr>
              <w:pStyle w:val="143"/>
              <w:keepNext w:val="0"/>
              <w:keepLines w:val="0"/>
              <w:pageBreakBefore w:val="0"/>
              <w:widowControl w:val="0"/>
              <w:kinsoku/>
              <w:wordWrap/>
              <w:overflowPunct/>
              <w:topLinePunct w:val="0"/>
              <w:autoSpaceDE/>
              <w:autoSpaceDN/>
              <w:bidi w:val="0"/>
              <w:adjustRightInd/>
              <w:snapToGrid/>
              <w:spacing w:beforeLines="0"/>
              <w:textAlignment w:val="auto"/>
            </w:pPr>
            <w:bookmarkStart w:id="29" w:name="_Ref45471511"/>
            <w:r>
              <w:rPr>
                <w:rFonts w:hint="eastAsia"/>
              </w:rPr>
              <w:t>表</w:t>
            </w:r>
            <w:bookmarkEnd w:id="29"/>
            <w:r>
              <w:rPr>
                <w:rFonts w:hint="eastAsia"/>
                <w:lang w:val="en-US" w:eastAsia="zh-CN"/>
              </w:rPr>
              <w:t>5-5</w:t>
            </w:r>
            <w:r>
              <w:rPr>
                <w:rFonts w:hint="eastAsia"/>
              </w:rPr>
              <w:t xml:space="preserve">   </w:t>
            </w:r>
            <w:r>
              <w:t>初期雨水主要污染物产生情况表</w:t>
            </w:r>
          </w:p>
          <w:tbl>
            <w:tblPr>
              <w:tblStyle w:val="15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5" w:type="dxa"/>
                <w:bottom w:w="0" w:type="dxa"/>
                <w:right w:w="115" w:type="dxa"/>
              </w:tblCellMar>
            </w:tblPr>
            <w:tblGrid>
              <w:gridCol w:w="2168"/>
              <w:gridCol w:w="2418"/>
              <w:gridCol w:w="2182"/>
              <w:gridCol w:w="2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212" w:type="pct"/>
                  <w:vAlign w:val="center"/>
                </w:tcPr>
                <w:p>
                  <w:pPr>
                    <w:pStyle w:val="141"/>
                  </w:pPr>
                  <w:r>
                    <w:t>污染物</w:t>
                  </w:r>
                </w:p>
              </w:tc>
              <w:tc>
                <w:tcPr>
                  <w:tcW w:w="1351" w:type="pct"/>
                  <w:vAlign w:val="center"/>
                </w:tcPr>
                <w:p>
                  <w:pPr>
                    <w:pStyle w:val="141"/>
                  </w:pPr>
                  <w:r>
                    <w:t>废水量</w:t>
                  </w:r>
                </w:p>
              </w:tc>
              <w:tc>
                <w:tcPr>
                  <w:tcW w:w="1219" w:type="pct"/>
                  <w:vAlign w:val="center"/>
                </w:tcPr>
                <w:p>
                  <w:pPr>
                    <w:pStyle w:val="141"/>
                  </w:pPr>
                  <w:r>
                    <w:rPr>
                      <w:rFonts w:eastAsia="Times New Roman"/>
                      <w:b/>
                    </w:rPr>
                    <w:t>SS</w:t>
                  </w:r>
                </w:p>
              </w:tc>
              <w:tc>
                <w:tcPr>
                  <w:tcW w:w="1219" w:type="pct"/>
                  <w:vAlign w:val="center"/>
                </w:tcPr>
                <w:p>
                  <w:pPr>
                    <w:pStyle w:val="141"/>
                  </w:pPr>
                  <w: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212" w:type="pct"/>
                  <w:vAlign w:val="center"/>
                </w:tcPr>
                <w:p>
                  <w:pPr>
                    <w:pStyle w:val="141"/>
                  </w:pPr>
                  <w:r>
                    <w:t>产生浓度</w:t>
                  </w:r>
                </w:p>
              </w:tc>
              <w:tc>
                <w:tcPr>
                  <w:tcW w:w="1351" w:type="pct"/>
                  <w:vMerge w:val="restart"/>
                  <w:vAlign w:val="center"/>
                </w:tcPr>
                <w:p>
                  <w:pPr>
                    <w:pStyle w:val="141"/>
                  </w:pPr>
                  <w:r>
                    <w:rPr>
                      <w:rFonts w:eastAsia="Times New Roman"/>
                    </w:rPr>
                    <w:t>2.28m</w:t>
                  </w:r>
                  <w:r>
                    <w:rPr>
                      <w:rFonts w:eastAsia="Times New Roman"/>
                      <w:vertAlign w:val="superscript"/>
                    </w:rPr>
                    <w:t>3</w:t>
                  </w:r>
                  <w:r>
                    <w:rPr>
                      <w:rFonts w:eastAsia="Times New Roman"/>
                    </w:rPr>
                    <w:t>/</w:t>
                  </w:r>
                  <w:r>
                    <w:t>次</w:t>
                  </w:r>
                </w:p>
              </w:tc>
              <w:tc>
                <w:tcPr>
                  <w:tcW w:w="1219" w:type="pct"/>
                  <w:vAlign w:val="center"/>
                </w:tcPr>
                <w:p>
                  <w:pPr>
                    <w:pStyle w:val="141"/>
                  </w:pPr>
                  <w:r>
                    <w:rPr>
                      <w:rFonts w:eastAsia="Times New Roman"/>
                    </w:rPr>
                    <w:t>200 mg/L</w:t>
                  </w:r>
                </w:p>
              </w:tc>
              <w:tc>
                <w:tcPr>
                  <w:tcW w:w="1219" w:type="pct"/>
                  <w:vAlign w:val="center"/>
                </w:tcPr>
                <w:p>
                  <w:pPr>
                    <w:pStyle w:val="141"/>
                  </w:pPr>
                  <w:r>
                    <w:rPr>
                      <w:rFonts w:eastAsia="Times New Roman"/>
                    </w:rPr>
                    <w:t>50ml/L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212" w:type="pct"/>
                  <w:vAlign w:val="center"/>
                </w:tcPr>
                <w:p>
                  <w:pPr>
                    <w:pStyle w:val="141"/>
                  </w:pPr>
                  <w:r>
                    <w:t>产生量</w:t>
                  </w:r>
                </w:p>
              </w:tc>
              <w:tc>
                <w:tcPr>
                  <w:tcW w:w="1351" w:type="pct"/>
                  <w:vMerge w:val="continue"/>
                  <w:vAlign w:val="center"/>
                </w:tcPr>
                <w:p>
                  <w:pPr>
                    <w:pStyle w:val="141"/>
                  </w:pPr>
                </w:p>
              </w:tc>
              <w:tc>
                <w:tcPr>
                  <w:tcW w:w="1219" w:type="pct"/>
                  <w:vAlign w:val="center"/>
                </w:tcPr>
                <w:p>
                  <w:pPr>
                    <w:pStyle w:val="141"/>
                  </w:pPr>
                  <w:r>
                    <w:rPr>
                      <w:rFonts w:eastAsia="Times New Roman"/>
                    </w:rPr>
                    <w:t>0.456kg/</w:t>
                  </w:r>
                  <w:r>
                    <w:t>次</w:t>
                  </w:r>
                </w:p>
              </w:tc>
              <w:tc>
                <w:tcPr>
                  <w:tcW w:w="1219" w:type="pct"/>
                  <w:vAlign w:val="center"/>
                </w:tcPr>
                <w:p>
                  <w:pPr>
                    <w:pStyle w:val="141"/>
                  </w:pPr>
                  <w:r>
                    <w:rPr>
                      <w:rFonts w:eastAsia="Times New Roman"/>
                    </w:rPr>
                    <w:t>0.114kg/</w:t>
                  </w:r>
                  <w: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5" w:type="dxa"/>
                  <w:bottom w:w="0" w:type="dxa"/>
                  <w:right w:w="115" w:type="dxa"/>
                </w:tblCellMar>
              </w:tblPrEx>
              <w:trPr>
                <w:jc w:val="center"/>
              </w:trPr>
              <w:tc>
                <w:tcPr>
                  <w:tcW w:w="1212" w:type="pct"/>
                  <w:vAlign w:val="center"/>
                </w:tcPr>
                <w:p>
                  <w:pPr>
                    <w:pStyle w:val="141"/>
                  </w:pPr>
                  <w:r>
                    <w:t>产生量</w:t>
                  </w:r>
                </w:p>
              </w:tc>
              <w:tc>
                <w:tcPr>
                  <w:tcW w:w="1351" w:type="pct"/>
                  <w:vAlign w:val="center"/>
                </w:tcPr>
                <w:p>
                  <w:pPr>
                    <w:pStyle w:val="141"/>
                  </w:pPr>
                  <w:r>
                    <w:rPr>
                      <w:rFonts w:eastAsia="Times New Roman"/>
                    </w:rPr>
                    <w:t>114m</w:t>
                  </w:r>
                  <w:r>
                    <w:rPr>
                      <w:rFonts w:eastAsia="Times New Roman"/>
                      <w:vertAlign w:val="superscript"/>
                    </w:rPr>
                    <w:t>3</w:t>
                  </w:r>
                  <w:r>
                    <w:rPr>
                      <w:rFonts w:eastAsia="Times New Roman"/>
                    </w:rPr>
                    <w:t>/a</w:t>
                  </w:r>
                </w:p>
              </w:tc>
              <w:tc>
                <w:tcPr>
                  <w:tcW w:w="1219" w:type="pct"/>
                  <w:vAlign w:val="center"/>
                </w:tcPr>
                <w:p>
                  <w:pPr>
                    <w:pStyle w:val="141"/>
                  </w:pPr>
                  <w:r>
                    <w:rPr>
                      <w:rFonts w:eastAsia="Times New Roman"/>
                    </w:rPr>
                    <w:t>22.8kg/a</w:t>
                  </w:r>
                </w:p>
              </w:tc>
              <w:tc>
                <w:tcPr>
                  <w:tcW w:w="1219" w:type="pct"/>
                  <w:vAlign w:val="center"/>
                </w:tcPr>
                <w:p>
                  <w:pPr>
                    <w:pStyle w:val="141"/>
                  </w:pPr>
                  <w:r>
                    <w:rPr>
                      <w:rFonts w:eastAsia="Times New Roman"/>
                    </w:rPr>
                    <w:t>5.7kg/a</w:t>
                  </w:r>
                </w:p>
              </w:tc>
            </w:tr>
          </w:tbl>
          <w:p>
            <w:pPr>
              <w:pStyle w:val="137"/>
              <w:ind w:firstLine="480"/>
            </w:pPr>
            <w:r>
              <w:rPr>
                <w:rFonts w:hint="eastAsia"/>
              </w:rPr>
              <w:t>2、废气</w:t>
            </w:r>
          </w:p>
          <w:p>
            <w:pPr>
              <w:pStyle w:val="137"/>
              <w:ind w:firstLine="480"/>
            </w:pPr>
            <w:r>
              <w:rPr>
                <w:rFonts w:hint="eastAsia"/>
              </w:rPr>
              <w:t>本项目营运期废气主要为汽（柴）油的输入油罐、油罐储存、车辆加油等过程中产生的非甲烷总烃，备用发电机废气、油烟废气以及进出车辆尾气等。</w:t>
            </w:r>
          </w:p>
          <w:p>
            <w:pPr>
              <w:pStyle w:val="137"/>
              <w:ind w:firstLine="480"/>
            </w:pPr>
            <w:r>
              <w:rPr>
                <w:rFonts w:hint="eastAsia"/>
              </w:rPr>
              <w:t>1）非甲烷总烃</w:t>
            </w:r>
          </w:p>
          <w:p>
            <w:pPr>
              <w:pStyle w:val="137"/>
              <w:ind w:firstLine="480"/>
            </w:pPr>
            <w:r>
              <w:rPr>
                <w:rFonts w:hint="eastAsia"/>
              </w:rPr>
              <w:t>加油站项目对大气环境的污染，主要是储油罐灌注、油罐车装卸、加油作业等过程造成燃料油以气态形式逸出进人大气环境，从而引起对大气环境的污染。成品油的基本成分是烷烃、芳香烃等碳氢化合物，而能够以气态形式进入大气环境的主要是油品中的烷烃类轻组分，按照污染物类别可将其划分为非甲烷总烃。</w:t>
            </w:r>
          </w:p>
          <w:p>
            <w:pPr>
              <w:pStyle w:val="137"/>
              <w:ind w:firstLine="480"/>
            </w:pPr>
            <w:r>
              <w:rPr>
                <w:rFonts w:hint="eastAsia"/>
              </w:rPr>
              <w:t>①储罐大呼吸损失（卸油）</w:t>
            </w:r>
          </w:p>
          <w:p>
            <w:pPr>
              <w:pStyle w:val="137"/>
              <w:ind w:firstLine="480"/>
            </w:pPr>
            <w:r>
              <w:rPr>
                <w:rFonts w:hint="eastAsia"/>
              </w:rPr>
              <w:t>当油罐进油时，由于罐内液体体积增加，罐内气体压力增加，当压力增至机械呼吸阀压力极限时，呼吸阀自动开启排气。当从油罐输出油料时，罐内液体体积减少，罐内气体压力降低，当压力降至呼吸阀负压极限时，吸进空气。这种由于输转油料致使油罐排除油蒸气和吸入空气所导致的损失叫“大呼吸损失”。根据《空气污染源排放和控制手册》（美国国家环保局）中推荐公式，地下淹没式油罐大呼吸烃类有机物平均排放率为0.88kg/m</w:t>
            </w:r>
            <w:r>
              <w:rPr>
                <w:rFonts w:hint="eastAsia"/>
                <w:vertAlign w:val="superscript"/>
              </w:rPr>
              <w:t>3</w:t>
            </w:r>
            <w:r>
              <w:rPr>
                <w:rFonts w:hint="eastAsia"/>
              </w:rPr>
              <w:t>通过量。</w:t>
            </w:r>
          </w:p>
          <w:p>
            <w:pPr>
              <w:pStyle w:val="137"/>
              <w:ind w:firstLine="480"/>
            </w:pPr>
            <w:r>
              <w:rPr>
                <w:rFonts w:hint="eastAsia"/>
              </w:rPr>
              <w:t>②小呼吸损失</w:t>
            </w:r>
          </w:p>
          <w:p>
            <w:pPr>
              <w:pStyle w:val="137"/>
              <w:ind w:firstLine="480"/>
            </w:pPr>
            <w:r>
              <w:rPr>
                <w:rFonts w:hint="eastAsia"/>
              </w:rPr>
              <w:t>温度、油品蒸发速度、油气浓度和蒸汽压力也随之变化。这种排出油蒸气和吸入空气的过程造成的油气损失称为“小呼吸损失”。根据《空气污染源排放和控制手册》（美国国家环保局）中推荐公式，储油罐小呼吸烃类有机物平均排放率为0.12kg/m</w:t>
            </w:r>
            <w:r>
              <w:rPr>
                <w:rFonts w:hint="eastAsia"/>
                <w:vertAlign w:val="superscript"/>
              </w:rPr>
              <w:t>3</w:t>
            </w:r>
            <w:r>
              <w:rPr>
                <w:rFonts w:hint="eastAsia"/>
              </w:rPr>
              <w:t>通过量。</w:t>
            </w:r>
          </w:p>
          <w:p>
            <w:pPr>
              <w:pStyle w:val="137"/>
              <w:ind w:firstLine="480"/>
            </w:pPr>
            <w:r>
              <w:rPr>
                <w:rFonts w:hint="eastAsia"/>
              </w:rPr>
              <w:t>③加油作业损失</w:t>
            </w:r>
          </w:p>
          <w:p>
            <w:pPr>
              <w:pStyle w:val="137"/>
              <w:ind w:firstLine="480"/>
            </w:pPr>
            <w:r>
              <w:rPr>
                <w:rFonts w:hint="eastAsia"/>
              </w:rPr>
              <w:t>车辆加油时，油品进入汽车油箱,油箱内的烃类气体被油品置换排入大气。车辆加油时造成的烃类气体排放率分别为：置换损失未加控制时是1.08kg/m</w:t>
            </w:r>
            <w:r>
              <w:rPr>
                <w:rFonts w:hint="eastAsia"/>
                <w:vertAlign w:val="superscript"/>
              </w:rPr>
              <w:t>3</w:t>
            </w:r>
            <w:r>
              <w:rPr>
                <w:rFonts w:hint="eastAsia"/>
              </w:rPr>
              <w:t>通过量、置换损失控制时是0.11kg/m</w:t>
            </w:r>
            <w:r>
              <w:rPr>
                <w:rFonts w:hint="eastAsia"/>
                <w:vertAlign w:val="superscript"/>
              </w:rPr>
              <w:t>3</w:t>
            </w:r>
            <w:r>
              <w:rPr>
                <w:rFonts w:hint="eastAsia"/>
              </w:rPr>
              <w:t>通过量。本加油站加油枪都具有自封功能，因此本加油机作业时烃类气体排放率取通过量0.11kg/m</w:t>
            </w:r>
            <w:r>
              <w:rPr>
                <w:rFonts w:hint="eastAsia"/>
                <w:vertAlign w:val="superscript"/>
              </w:rPr>
              <w:t>3</w:t>
            </w:r>
            <w:r>
              <w:rPr>
                <w:rFonts w:hint="eastAsia"/>
              </w:rPr>
              <w:t>。</w:t>
            </w:r>
          </w:p>
          <w:p>
            <w:pPr>
              <w:pStyle w:val="137"/>
              <w:ind w:firstLine="480"/>
            </w:pPr>
            <w:r>
              <w:rPr>
                <w:rFonts w:hint="eastAsia"/>
              </w:rPr>
              <w:t>因为柴油挥发性极差，加油时间短，因此只计算汽油的油气挥发量。本加油站属三级站，预计年销售汽油430t，汽油相对密度本项目取0.72</w:t>
            </w:r>
            <w:r>
              <w:t>t</w:t>
            </w:r>
            <w:r>
              <w:rPr>
                <w:rFonts w:hint="eastAsia"/>
              </w:rPr>
              <w:t>/m</w:t>
            </w:r>
            <w:r>
              <w:rPr>
                <w:rFonts w:hint="eastAsia"/>
                <w:vertAlign w:val="superscript"/>
              </w:rPr>
              <w:t>3</w:t>
            </w:r>
            <w:r>
              <w:rPr>
                <w:rFonts w:hint="eastAsia"/>
              </w:rPr>
              <w:t>，项目营运后油品年通过量或转过量=(</w:t>
            </w:r>
            <w:r>
              <w:t>430</w:t>
            </w:r>
            <w:r>
              <w:rPr>
                <w:rFonts w:hint="eastAsia"/>
              </w:rPr>
              <w:t>÷0.72)=</w:t>
            </w:r>
            <w:r>
              <w:t xml:space="preserve"> 597.22</w:t>
            </w:r>
            <w:r>
              <w:rPr>
                <w:rFonts w:hint="eastAsia"/>
              </w:rPr>
              <w:t>m</w:t>
            </w:r>
            <w:r>
              <w:rPr>
                <w:rFonts w:hint="eastAsia"/>
                <w:vertAlign w:val="superscript"/>
              </w:rPr>
              <w:t>3</w:t>
            </w:r>
            <w:r>
              <w:rPr>
                <w:rFonts w:hint="eastAsia"/>
              </w:rPr>
              <w:t>/a，非甲烷气体排放量见</w:t>
            </w:r>
            <w:r>
              <w:rPr>
                <w:rFonts w:hint="eastAsia"/>
                <w:lang w:val="en-US" w:eastAsia="zh-CN"/>
              </w:rPr>
              <w:t>表5-6</w:t>
            </w:r>
            <w:r>
              <w:rPr>
                <w:rFonts w:hint="eastAsia"/>
              </w:rPr>
              <w:t>。</w:t>
            </w:r>
          </w:p>
          <w:p>
            <w:pPr>
              <w:pStyle w:val="143"/>
              <w:keepNext w:val="0"/>
              <w:keepLines w:val="0"/>
              <w:pageBreakBefore w:val="0"/>
              <w:widowControl w:val="0"/>
              <w:kinsoku/>
              <w:wordWrap/>
              <w:overflowPunct/>
              <w:topLinePunct w:val="0"/>
              <w:autoSpaceDE/>
              <w:autoSpaceDN/>
              <w:bidi w:val="0"/>
              <w:adjustRightInd/>
              <w:snapToGrid/>
              <w:spacing w:beforeLines="0"/>
              <w:textAlignment w:val="auto"/>
            </w:pPr>
            <w:bookmarkStart w:id="30" w:name="_Ref45482150"/>
            <w:r>
              <w:rPr>
                <w:rFonts w:hint="eastAsia"/>
              </w:rPr>
              <w:t>表</w:t>
            </w:r>
            <w:bookmarkEnd w:id="30"/>
            <w:r>
              <w:rPr>
                <w:rFonts w:hint="eastAsia"/>
                <w:lang w:val="en-US" w:eastAsia="zh-CN"/>
              </w:rPr>
              <w:t>5-6</w:t>
            </w:r>
            <w:r>
              <w:rPr>
                <w:rFonts w:hint="eastAsia"/>
              </w:rPr>
              <w:t xml:space="preserve">   项目非甲烷总烃废气损失量表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843"/>
              <w:gridCol w:w="1237"/>
              <w:gridCol w:w="1534"/>
              <w:gridCol w:w="1532"/>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shd w:val="clear" w:color="auto" w:fill="auto"/>
                  <w:vAlign w:val="center"/>
                </w:tcPr>
                <w:p>
                  <w:pPr>
                    <w:pStyle w:val="141"/>
                  </w:pPr>
                  <w:r>
                    <w:rPr>
                      <w:rFonts w:hint="eastAsia"/>
                    </w:rPr>
                    <w:t>项目</w:t>
                  </w:r>
                </w:p>
              </w:tc>
              <w:tc>
                <w:tcPr>
                  <w:tcW w:w="1030" w:type="pct"/>
                  <w:shd w:val="clear" w:color="auto" w:fill="auto"/>
                  <w:vAlign w:val="center"/>
                </w:tcPr>
                <w:p>
                  <w:pPr>
                    <w:pStyle w:val="141"/>
                  </w:pPr>
                  <w:r>
                    <w:rPr>
                      <w:rFonts w:hint="eastAsia"/>
                    </w:rPr>
                    <w:t>排放系数</w:t>
                  </w:r>
                </w:p>
              </w:tc>
              <w:tc>
                <w:tcPr>
                  <w:tcW w:w="691" w:type="pct"/>
                  <w:shd w:val="clear" w:color="auto" w:fill="auto"/>
                  <w:vAlign w:val="center"/>
                </w:tcPr>
                <w:p>
                  <w:pPr>
                    <w:pStyle w:val="141"/>
                  </w:pPr>
                  <w:r>
                    <w:rPr>
                      <w:rFonts w:hint="eastAsia"/>
                    </w:rPr>
                    <w:t>油品通过量</w:t>
                  </w:r>
                  <w:r>
                    <w:t xml:space="preserve"> m</w:t>
                  </w:r>
                  <w:r>
                    <w:rPr>
                      <w:vertAlign w:val="superscript"/>
                    </w:rPr>
                    <w:t>3</w:t>
                  </w:r>
                  <w:r>
                    <w:t>/a</w:t>
                  </w:r>
                </w:p>
              </w:tc>
              <w:tc>
                <w:tcPr>
                  <w:tcW w:w="857" w:type="pct"/>
                  <w:shd w:val="clear" w:color="auto" w:fill="auto"/>
                  <w:vAlign w:val="center"/>
                </w:tcPr>
                <w:p>
                  <w:pPr>
                    <w:pStyle w:val="141"/>
                  </w:pPr>
                  <w:r>
                    <w:rPr>
                      <w:rFonts w:hint="eastAsia"/>
                    </w:rPr>
                    <w:t>废气损失量</w:t>
                  </w:r>
                  <w:r>
                    <w:t xml:space="preserve"> kg/a</w:t>
                  </w:r>
                </w:p>
              </w:tc>
              <w:tc>
                <w:tcPr>
                  <w:tcW w:w="856" w:type="pct"/>
                  <w:vAlign w:val="center"/>
                </w:tcPr>
                <w:p>
                  <w:pPr>
                    <w:pStyle w:val="141"/>
                  </w:pPr>
                  <w:r>
                    <w:t>油气回收处理效率</w:t>
                  </w:r>
                </w:p>
              </w:tc>
              <w:tc>
                <w:tcPr>
                  <w:tcW w:w="855" w:type="pct"/>
                </w:tcPr>
                <w:p>
                  <w:pPr>
                    <w:pStyle w:val="141"/>
                  </w:pPr>
                  <w:r>
                    <w:t>排放量 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shd w:val="clear" w:color="auto" w:fill="auto"/>
                  <w:vAlign w:val="center"/>
                </w:tcPr>
                <w:p>
                  <w:pPr>
                    <w:pStyle w:val="141"/>
                  </w:pPr>
                  <w:r>
                    <w:rPr>
                      <w:rFonts w:hint="eastAsia"/>
                    </w:rPr>
                    <w:t>大呼吸损失</w:t>
                  </w:r>
                </w:p>
              </w:tc>
              <w:tc>
                <w:tcPr>
                  <w:tcW w:w="1030" w:type="pct"/>
                  <w:shd w:val="clear" w:color="auto" w:fill="auto"/>
                  <w:vAlign w:val="center"/>
                </w:tcPr>
                <w:p>
                  <w:pPr>
                    <w:pStyle w:val="141"/>
                  </w:pPr>
                  <w:r>
                    <w:t>0.12kg/m</w:t>
                  </w:r>
                  <w:r>
                    <w:rPr>
                      <w:vertAlign w:val="superscript"/>
                    </w:rPr>
                    <w:t>3</w:t>
                  </w:r>
                  <w:r>
                    <w:t xml:space="preserve"> </w:t>
                  </w:r>
                  <w:r>
                    <w:rPr>
                      <w:rFonts w:hint="eastAsia"/>
                    </w:rPr>
                    <w:t>通过量</w:t>
                  </w:r>
                </w:p>
              </w:tc>
              <w:tc>
                <w:tcPr>
                  <w:tcW w:w="691" w:type="pct"/>
                  <w:vMerge w:val="restart"/>
                  <w:shd w:val="clear" w:color="auto" w:fill="auto"/>
                  <w:vAlign w:val="center"/>
                </w:tcPr>
                <w:p>
                  <w:pPr>
                    <w:pStyle w:val="141"/>
                  </w:pPr>
                  <w:r>
                    <w:t>597.22</w:t>
                  </w:r>
                </w:p>
              </w:tc>
              <w:tc>
                <w:tcPr>
                  <w:tcW w:w="857" w:type="pct"/>
                  <w:shd w:val="clear" w:color="auto" w:fill="auto"/>
                  <w:noWrap/>
                  <w:vAlign w:val="center"/>
                </w:tcPr>
                <w:p>
                  <w:pPr>
                    <w:pStyle w:val="141"/>
                  </w:pPr>
                  <w:r>
                    <w:rPr>
                      <w:rFonts w:hint="eastAsia"/>
                    </w:rPr>
                    <w:t>71.67</w:t>
                  </w:r>
                </w:p>
              </w:tc>
              <w:tc>
                <w:tcPr>
                  <w:tcW w:w="856" w:type="pct"/>
                  <w:vMerge w:val="restart"/>
                  <w:vAlign w:val="center"/>
                </w:tcPr>
                <w:p>
                  <w:pPr>
                    <w:pStyle w:val="141"/>
                  </w:pPr>
                  <w:r>
                    <w:rPr>
                      <w:rFonts w:hint="eastAsia"/>
                    </w:rPr>
                    <w:t>9</w:t>
                  </w:r>
                  <w:r>
                    <w:t>5%</w:t>
                  </w:r>
                </w:p>
              </w:tc>
              <w:tc>
                <w:tcPr>
                  <w:tcW w:w="855" w:type="pct"/>
                  <w:vAlign w:val="bottom"/>
                </w:tcPr>
                <w:p>
                  <w:pPr>
                    <w:pStyle w:val="141"/>
                  </w:pPr>
                  <w:r>
                    <w:rPr>
                      <w:rFonts w:hint="eastAsia"/>
                    </w:rPr>
                    <w:t>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shd w:val="clear" w:color="auto" w:fill="auto"/>
                  <w:vAlign w:val="center"/>
                </w:tcPr>
                <w:p>
                  <w:pPr>
                    <w:pStyle w:val="141"/>
                  </w:pPr>
                  <w:r>
                    <w:rPr>
                      <w:rFonts w:hint="eastAsia"/>
                    </w:rPr>
                    <w:t>小呼吸损失</w:t>
                  </w:r>
                </w:p>
              </w:tc>
              <w:tc>
                <w:tcPr>
                  <w:tcW w:w="1030" w:type="pct"/>
                  <w:shd w:val="clear" w:color="auto" w:fill="auto"/>
                  <w:vAlign w:val="center"/>
                </w:tcPr>
                <w:p>
                  <w:pPr>
                    <w:pStyle w:val="141"/>
                  </w:pPr>
                  <w:r>
                    <w:t>0.88kg/m</w:t>
                  </w:r>
                  <w:r>
                    <w:rPr>
                      <w:vertAlign w:val="superscript"/>
                    </w:rPr>
                    <w:t>3</w:t>
                  </w:r>
                  <w:r>
                    <w:t xml:space="preserve"> </w:t>
                  </w:r>
                  <w:r>
                    <w:rPr>
                      <w:rFonts w:hint="eastAsia"/>
                    </w:rPr>
                    <w:t>通过量</w:t>
                  </w:r>
                </w:p>
              </w:tc>
              <w:tc>
                <w:tcPr>
                  <w:tcW w:w="691" w:type="pct"/>
                  <w:vMerge w:val="continue"/>
                  <w:vAlign w:val="center"/>
                </w:tcPr>
                <w:p>
                  <w:pPr>
                    <w:pStyle w:val="141"/>
                  </w:pPr>
                </w:p>
              </w:tc>
              <w:tc>
                <w:tcPr>
                  <w:tcW w:w="857" w:type="pct"/>
                  <w:shd w:val="clear" w:color="auto" w:fill="auto"/>
                  <w:noWrap/>
                  <w:vAlign w:val="center"/>
                </w:tcPr>
                <w:p>
                  <w:pPr>
                    <w:pStyle w:val="141"/>
                  </w:pPr>
                  <w:r>
                    <w:rPr>
                      <w:rFonts w:hint="eastAsia"/>
                    </w:rPr>
                    <w:t>525.55</w:t>
                  </w:r>
                </w:p>
              </w:tc>
              <w:tc>
                <w:tcPr>
                  <w:tcW w:w="856" w:type="pct"/>
                  <w:vMerge w:val="continue"/>
                </w:tcPr>
                <w:p>
                  <w:pPr>
                    <w:pStyle w:val="141"/>
                  </w:pPr>
                </w:p>
              </w:tc>
              <w:tc>
                <w:tcPr>
                  <w:tcW w:w="855" w:type="pct"/>
                  <w:vAlign w:val="bottom"/>
                </w:tcPr>
                <w:p>
                  <w:pPr>
                    <w:pStyle w:val="141"/>
                  </w:pPr>
                  <w:r>
                    <w:rPr>
                      <w:rFonts w:hint="eastAsia"/>
                    </w:rPr>
                    <w:t>26.28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shd w:val="clear" w:color="auto" w:fill="auto"/>
                  <w:vAlign w:val="center"/>
                </w:tcPr>
                <w:p>
                  <w:pPr>
                    <w:pStyle w:val="141"/>
                  </w:pPr>
                  <w:r>
                    <w:rPr>
                      <w:rFonts w:hint="eastAsia"/>
                    </w:rPr>
                    <w:t>加油机损失</w:t>
                  </w:r>
                </w:p>
              </w:tc>
              <w:tc>
                <w:tcPr>
                  <w:tcW w:w="1030" w:type="pct"/>
                  <w:shd w:val="clear" w:color="auto" w:fill="auto"/>
                  <w:vAlign w:val="center"/>
                </w:tcPr>
                <w:p>
                  <w:pPr>
                    <w:pStyle w:val="141"/>
                  </w:pPr>
                  <w:r>
                    <w:t>0.11kg/m</w:t>
                  </w:r>
                  <w:r>
                    <w:rPr>
                      <w:vertAlign w:val="superscript"/>
                    </w:rPr>
                    <w:t xml:space="preserve">3 </w:t>
                  </w:r>
                  <w:r>
                    <w:rPr>
                      <w:rFonts w:hint="eastAsia"/>
                    </w:rPr>
                    <w:t>通过量</w:t>
                  </w:r>
                </w:p>
              </w:tc>
              <w:tc>
                <w:tcPr>
                  <w:tcW w:w="691" w:type="pct"/>
                  <w:vMerge w:val="continue"/>
                  <w:vAlign w:val="center"/>
                </w:tcPr>
                <w:p>
                  <w:pPr>
                    <w:pStyle w:val="141"/>
                  </w:pPr>
                </w:p>
              </w:tc>
              <w:tc>
                <w:tcPr>
                  <w:tcW w:w="857" w:type="pct"/>
                  <w:shd w:val="clear" w:color="auto" w:fill="auto"/>
                  <w:noWrap/>
                  <w:vAlign w:val="center"/>
                </w:tcPr>
                <w:p>
                  <w:pPr>
                    <w:pStyle w:val="141"/>
                  </w:pPr>
                  <w:r>
                    <w:rPr>
                      <w:rFonts w:hint="eastAsia"/>
                    </w:rPr>
                    <w:t>65.69</w:t>
                  </w:r>
                </w:p>
              </w:tc>
              <w:tc>
                <w:tcPr>
                  <w:tcW w:w="856" w:type="pct"/>
                  <w:vMerge w:val="continue"/>
                </w:tcPr>
                <w:p>
                  <w:pPr>
                    <w:pStyle w:val="141"/>
                  </w:pPr>
                </w:p>
              </w:tc>
              <w:tc>
                <w:tcPr>
                  <w:tcW w:w="855" w:type="pct"/>
                  <w:vAlign w:val="bottom"/>
                </w:tcPr>
                <w:p>
                  <w:pPr>
                    <w:pStyle w:val="141"/>
                  </w:pPr>
                  <w:r>
                    <w:rPr>
                      <w:rFonts w:hint="eastAsia"/>
                    </w:rPr>
                    <w:t>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shd w:val="clear" w:color="auto" w:fill="auto"/>
                  <w:vAlign w:val="center"/>
                </w:tcPr>
                <w:p>
                  <w:pPr>
                    <w:pStyle w:val="141"/>
                  </w:pPr>
                  <w:r>
                    <w:rPr>
                      <w:rFonts w:hint="eastAsia"/>
                    </w:rPr>
                    <w:t>合计</w:t>
                  </w:r>
                </w:p>
              </w:tc>
              <w:tc>
                <w:tcPr>
                  <w:tcW w:w="1030" w:type="pct"/>
                  <w:shd w:val="clear" w:color="auto" w:fill="auto"/>
                  <w:vAlign w:val="center"/>
                </w:tcPr>
                <w:p>
                  <w:pPr>
                    <w:pStyle w:val="141"/>
                  </w:pPr>
                  <w:r>
                    <w:t>/</w:t>
                  </w:r>
                </w:p>
              </w:tc>
              <w:tc>
                <w:tcPr>
                  <w:tcW w:w="691" w:type="pct"/>
                  <w:shd w:val="clear" w:color="auto" w:fill="auto"/>
                  <w:vAlign w:val="center"/>
                </w:tcPr>
                <w:p>
                  <w:pPr>
                    <w:pStyle w:val="141"/>
                  </w:pPr>
                  <w:r>
                    <w:t>/</w:t>
                  </w:r>
                </w:p>
              </w:tc>
              <w:tc>
                <w:tcPr>
                  <w:tcW w:w="857" w:type="pct"/>
                  <w:shd w:val="clear" w:color="auto" w:fill="auto"/>
                  <w:vAlign w:val="center"/>
                </w:tcPr>
                <w:p>
                  <w:pPr>
                    <w:pStyle w:val="141"/>
                  </w:pPr>
                  <w:r>
                    <w:t>662.91</w:t>
                  </w:r>
                </w:p>
              </w:tc>
              <w:tc>
                <w:tcPr>
                  <w:tcW w:w="856" w:type="pct"/>
                  <w:vMerge w:val="continue"/>
                </w:tcPr>
                <w:p>
                  <w:pPr>
                    <w:pStyle w:val="141"/>
                  </w:pPr>
                </w:p>
              </w:tc>
              <w:tc>
                <w:tcPr>
                  <w:tcW w:w="855" w:type="pct"/>
                  <w:vAlign w:val="bottom"/>
                </w:tcPr>
                <w:p>
                  <w:pPr>
                    <w:pStyle w:val="141"/>
                  </w:pPr>
                  <w:r>
                    <w:rPr>
                      <w:rFonts w:hint="eastAsia"/>
                    </w:rPr>
                    <w:t>33.14</w:t>
                  </w:r>
                </w:p>
              </w:tc>
            </w:tr>
          </w:tbl>
          <w:p>
            <w:pPr>
              <w:pStyle w:val="137"/>
              <w:ind w:firstLine="480"/>
            </w:pPr>
            <w:r>
              <w:rPr>
                <w:rFonts w:hint="eastAsia"/>
              </w:rPr>
              <w:t>加油站在储油、卸油、加油机作业过程中采用油气回收系统，该系统的作用是将加油站在储油、卸油、加油过程中产生的油气，通过密闭收集、储存和送入油罐内。本项目采用的油气回收装置的油气回收率为&gt;95%，本评价取95%。因此约有</w:t>
            </w:r>
            <w:r>
              <w:t>33.14</w:t>
            </w:r>
            <w:r>
              <w:rPr>
                <w:rFonts w:hint="eastAsia"/>
              </w:rPr>
              <w:t>kg/a 的非甲烷总烃通过无组织的形式排入大气中。</w:t>
            </w:r>
          </w:p>
          <w:p>
            <w:pPr>
              <w:pStyle w:val="137"/>
              <w:ind w:firstLine="480"/>
            </w:pPr>
            <w:r>
              <w:rPr>
                <w:rFonts w:hint="eastAsia"/>
              </w:rPr>
              <w:t>2）备用发电机尾气</w:t>
            </w:r>
          </w:p>
          <w:p>
            <w:pPr>
              <w:pStyle w:val="137"/>
              <w:ind w:firstLine="480"/>
            </w:pPr>
            <w:r>
              <w:rPr>
                <w:rFonts w:hint="eastAsia"/>
              </w:rPr>
              <w:t>项目设有一台30KW 的备用柴油发电机，使用含硫量不大于0.001%的0#柴油为燃料，于停电时使用。项目所在区域供电情况良好，备用发电机全年使用时间约18h，全年耗油量为0.15t，位于站房，排气筒高度约6m，发电机运行过程中会产生少量SO</w:t>
            </w:r>
            <w:r>
              <w:rPr>
                <w:rFonts w:hint="eastAsia"/>
                <w:vertAlign w:val="subscript"/>
              </w:rPr>
              <w:t>2</w:t>
            </w:r>
            <w:r>
              <w:rPr>
                <w:rFonts w:hint="eastAsia"/>
              </w:rPr>
              <w:t>、NOx及烟尘。参照《环境统计手册》中的产污系数，得出项目备用发电机的污染物排放情况，详见</w:t>
            </w:r>
            <w:r>
              <w:rPr>
                <w:rFonts w:hint="eastAsia"/>
                <w:lang w:val="en-US" w:eastAsia="zh-CN"/>
              </w:rPr>
              <w:t>表5-7</w:t>
            </w:r>
            <w:r>
              <w:rPr>
                <w:rFonts w:hint="eastAsia"/>
              </w:rPr>
              <w:t>。</w:t>
            </w:r>
          </w:p>
          <w:p>
            <w:pPr>
              <w:pStyle w:val="143"/>
              <w:spacing w:before="156"/>
              <w:rPr>
                <w:rFonts w:ascii="宋体" w:cs="宋体"/>
                <w:szCs w:val="24"/>
              </w:rPr>
            </w:pPr>
            <w:bookmarkStart w:id="31" w:name="_Ref45482176"/>
            <w:r>
              <w:rPr>
                <w:rFonts w:hint="eastAsia"/>
              </w:rPr>
              <w:t>表</w:t>
            </w:r>
            <w:bookmarkEnd w:id="31"/>
            <w:r>
              <w:rPr>
                <w:rFonts w:hint="eastAsia"/>
                <w:lang w:val="en-US" w:eastAsia="zh-CN"/>
              </w:rPr>
              <w:t>5-7</w:t>
            </w:r>
            <w:r>
              <w:rPr>
                <w:rFonts w:hint="eastAsia"/>
              </w:rPr>
              <w:t xml:space="preserve">  </w:t>
            </w:r>
            <w:r>
              <w:rPr>
                <w:rFonts w:hint="eastAsia" w:ascii="宋体" w:cs="宋体"/>
                <w:szCs w:val="24"/>
              </w:rPr>
              <w:t>发电机燃油烟气污染负荷一览表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1"/>
              <w:gridCol w:w="2248"/>
              <w:gridCol w:w="911"/>
              <w:gridCol w:w="911"/>
              <w:gridCol w:w="911"/>
              <w:gridCol w:w="1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9" w:type="pct"/>
                  <w:shd w:val="clear" w:color="auto" w:fill="auto"/>
                  <w:vAlign w:val="center"/>
                </w:tcPr>
                <w:p>
                  <w:pPr>
                    <w:pStyle w:val="141"/>
                  </w:pPr>
                  <w:r>
                    <w:rPr>
                      <w:rFonts w:hint="eastAsia"/>
                    </w:rPr>
                    <w:t>类别</w:t>
                  </w:r>
                </w:p>
              </w:tc>
              <w:tc>
                <w:tcPr>
                  <w:tcW w:w="1256" w:type="pct"/>
                  <w:shd w:val="clear" w:color="auto" w:fill="auto"/>
                  <w:vAlign w:val="center"/>
                </w:tcPr>
                <w:p>
                  <w:pPr>
                    <w:pStyle w:val="141"/>
                  </w:pPr>
                  <w:r>
                    <w:rPr>
                      <w:rFonts w:hint="eastAsia"/>
                    </w:rPr>
                    <w:t>污染物</w:t>
                  </w:r>
                </w:p>
              </w:tc>
              <w:tc>
                <w:tcPr>
                  <w:tcW w:w="509" w:type="pct"/>
                  <w:shd w:val="clear" w:color="auto" w:fill="auto"/>
                  <w:vAlign w:val="center"/>
                </w:tcPr>
                <w:p>
                  <w:pPr>
                    <w:pStyle w:val="141"/>
                    <w:rPr>
                      <w:rFonts w:eastAsia="等线"/>
                      <w:b/>
                      <w:bCs/>
                    </w:rPr>
                  </w:pPr>
                  <w:r>
                    <w:rPr>
                      <w:rFonts w:eastAsia="等线"/>
                      <w:b/>
                      <w:bCs/>
                    </w:rPr>
                    <w:t>SO</w:t>
                  </w:r>
                  <w:r>
                    <w:rPr>
                      <w:rFonts w:eastAsia="等线"/>
                      <w:b/>
                      <w:bCs/>
                      <w:vertAlign w:val="subscript"/>
                    </w:rPr>
                    <w:t>2</w:t>
                  </w:r>
                </w:p>
              </w:tc>
              <w:tc>
                <w:tcPr>
                  <w:tcW w:w="509" w:type="pct"/>
                  <w:shd w:val="clear" w:color="auto" w:fill="auto"/>
                  <w:vAlign w:val="center"/>
                </w:tcPr>
                <w:p>
                  <w:pPr>
                    <w:pStyle w:val="141"/>
                    <w:rPr>
                      <w:rFonts w:eastAsia="等线"/>
                      <w:b/>
                      <w:bCs/>
                    </w:rPr>
                  </w:pPr>
                  <w:r>
                    <w:rPr>
                      <w:rFonts w:eastAsia="等线"/>
                      <w:b/>
                      <w:bCs/>
                    </w:rPr>
                    <w:t>NO</w:t>
                  </w:r>
                  <w:r>
                    <w:rPr>
                      <w:rFonts w:eastAsia="等线"/>
                      <w:b/>
                      <w:bCs/>
                      <w:vertAlign w:val="subscript"/>
                    </w:rPr>
                    <w:t>x</w:t>
                  </w:r>
                </w:p>
              </w:tc>
              <w:tc>
                <w:tcPr>
                  <w:tcW w:w="509" w:type="pct"/>
                  <w:shd w:val="clear" w:color="auto" w:fill="auto"/>
                  <w:vAlign w:val="center"/>
                </w:tcPr>
                <w:p>
                  <w:pPr>
                    <w:pStyle w:val="141"/>
                  </w:pPr>
                  <w:r>
                    <w:rPr>
                      <w:rFonts w:hint="eastAsia"/>
                    </w:rPr>
                    <w:t>烟尘</w:t>
                  </w:r>
                </w:p>
              </w:tc>
              <w:tc>
                <w:tcPr>
                  <w:tcW w:w="998" w:type="pct"/>
                  <w:shd w:val="clear" w:color="auto" w:fill="auto"/>
                  <w:vAlign w:val="center"/>
                </w:tcPr>
                <w:p>
                  <w:pPr>
                    <w:pStyle w:val="141"/>
                  </w:pPr>
                  <w:r>
                    <w:rPr>
                      <w:rFonts w:hint="eastAsia"/>
                    </w:rPr>
                    <w:t>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9" w:type="pct"/>
                  <w:vMerge w:val="restart"/>
                  <w:shd w:val="clear" w:color="auto" w:fill="auto"/>
                  <w:vAlign w:val="center"/>
                </w:tcPr>
                <w:p>
                  <w:pPr>
                    <w:pStyle w:val="141"/>
                  </w:pPr>
                  <w:r>
                    <w:rPr>
                      <w:rFonts w:hint="eastAsia"/>
                    </w:rPr>
                    <w:t>单台发电机</w:t>
                  </w:r>
                  <w:r>
                    <w:rPr>
                      <w:rFonts w:hint="eastAsia"/>
                      <w:sz w:val="24"/>
                      <w:szCs w:val="24"/>
                    </w:rPr>
                    <w:t>　</w:t>
                  </w:r>
                </w:p>
              </w:tc>
              <w:tc>
                <w:tcPr>
                  <w:tcW w:w="1256" w:type="pct"/>
                  <w:shd w:val="clear" w:color="auto" w:fill="auto"/>
                  <w:vAlign w:val="center"/>
                </w:tcPr>
                <w:p>
                  <w:pPr>
                    <w:pStyle w:val="141"/>
                  </w:pPr>
                  <w:r>
                    <w:rPr>
                      <w:rFonts w:hint="eastAsia"/>
                    </w:rPr>
                    <w:t>产生系数</w:t>
                  </w:r>
                  <w:r>
                    <w:t>(kg/t·</w:t>
                  </w:r>
                  <w:r>
                    <w:rPr>
                      <w:rFonts w:hint="eastAsia"/>
                    </w:rPr>
                    <w:t>油</w:t>
                  </w:r>
                  <w:r>
                    <w:t>)</w:t>
                  </w:r>
                </w:p>
              </w:tc>
              <w:tc>
                <w:tcPr>
                  <w:tcW w:w="509" w:type="pct"/>
                  <w:shd w:val="clear" w:color="auto" w:fill="auto"/>
                  <w:vAlign w:val="center"/>
                </w:tcPr>
                <w:p>
                  <w:pPr>
                    <w:pStyle w:val="141"/>
                  </w:pPr>
                  <w:r>
                    <w:t>0.01</w:t>
                  </w:r>
                </w:p>
              </w:tc>
              <w:tc>
                <w:tcPr>
                  <w:tcW w:w="509" w:type="pct"/>
                  <w:shd w:val="clear" w:color="auto" w:fill="auto"/>
                  <w:vAlign w:val="center"/>
                </w:tcPr>
                <w:p>
                  <w:pPr>
                    <w:pStyle w:val="141"/>
                  </w:pPr>
                  <w:r>
                    <w:t>0.65</w:t>
                  </w:r>
                </w:p>
              </w:tc>
              <w:tc>
                <w:tcPr>
                  <w:tcW w:w="509" w:type="pct"/>
                  <w:shd w:val="clear" w:color="auto" w:fill="auto"/>
                  <w:vAlign w:val="center"/>
                </w:tcPr>
                <w:p>
                  <w:pPr>
                    <w:pStyle w:val="141"/>
                  </w:pPr>
                  <w:r>
                    <w:t>0.1</w:t>
                  </w:r>
                </w:p>
              </w:tc>
              <w:tc>
                <w:tcPr>
                  <w:tcW w:w="998" w:type="pct"/>
                  <w:shd w:val="clear" w:color="auto" w:fill="auto"/>
                  <w:vAlign w:val="center"/>
                </w:tcPr>
                <w:p>
                  <w:pPr>
                    <w:pStyle w:val="141"/>
                    <w:rPr>
                      <w:rFonts w:eastAsia="等线"/>
                    </w:rPr>
                  </w:pPr>
                  <w:r>
                    <w:rPr>
                      <w:rFonts w:eastAsia="等线"/>
                    </w:rPr>
                    <w:t>15</w:t>
                  </w:r>
                  <w:r>
                    <w:rPr>
                      <w:rFonts w:hint="eastAsia"/>
                    </w:rPr>
                    <w:t>（</w:t>
                  </w:r>
                  <w:r>
                    <w:rPr>
                      <w:rFonts w:eastAsia="等线"/>
                    </w:rPr>
                    <w:t>m</w:t>
                  </w:r>
                  <w:r>
                    <w:rPr>
                      <w:rFonts w:eastAsia="等线"/>
                      <w:vertAlign w:val="superscript"/>
                    </w:rPr>
                    <w:t>3</w:t>
                  </w:r>
                  <w:r>
                    <w:rPr>
                      <w:rFonts w:eastAsia="等线"/>
                    </w:rPr>
                    <w:t>/kg</w:t>
                  </w:r>
                  <w:r>
                    <w:rPr>
                      <w:rFonts w:hint="eastAsia"/>
                    </w:rPr>
                    <w:t>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9" w:type="pct"/>
                  <w:vMerge w:val="continue"/>
                  <w:shd w:val="clear" w:color="auto" w:fill="auto"/>
                  <w:vAlign w:val="center"/>
                </w:tcPr>
                <w:p>
                  <w:pPr>
                    <w:pStyle w:val="141"/>
                    <w:rPr>
                      <w:sz w:val="24"/>
                      <w:szCs w:val="24"/>
                    </w:rPr>
                  </w:pPr>
                </w:p>
              </w:tc>
              <w:tc>
                <w:tcPr>
                  <w:tcW w:w="1256" w:type="pct"/>
                  <w:shd w:val="clear" w:color="auto" w:fill="auto"/>
                  <w:vAlign w:val="center"/>
                </w:tcPr>
                <w:p>
                  <w:pPr>
                    <w:pStyle w:val="141"/>
                  </w:pPr>
                  <w:r>
                    <w:rPr>
                      <w:rFonts w:hint="eastAsia"/>
                    </w:rPr>
                    <w:t>年产生量</w:t>
                  </w:r>
                  <w:r>
                    <w:t>(kg/a)</w:t>
                  </w:r>
                </w:p>
              </w:tc>
              <w:tc>
                <w:tcPr>
                  <w:tcW w:w="509" w:type="pct"/>
                  <w:shd w:val="clear" w:color="auto" w:fill="auto"/>
                  <w:vAlign w:val="center"/>
                </w:tcPr>
                <w:p>
                  <w:pPr>
                    <w:pStyle w:val="141"/>
                  </w:pPr>
                  <w:r>
                    <w:t>0.0015</w:t>
                  </w:r>
                </w:p>
              </w:tc>
              <w:tc>
                <w:tcPr>
                  <w:tcW w:w="509" w:type="pct"/>
                  <w:shd w:val="clear" w:color="auto" w:fill="auto"/>
                  <w:vAlign w:val="center"/>
                </w:tcPr>
                <w:p>
                  <w:pPr>
                    <w:pStyle w:val="141"/>
                  </w:pPr>
                  <w:r>
                    <w:t>0.0975</w:t>
                  </w:r>
                </w:p>
              </w:tc>
              <w:tc>
                <w:tcPr>
                  <w:tcW w:w="509" w:type="pct"/>
                  <w:shd w:val="clear" w:color="auto" w:fill="auto"/>
                  <w:vAlign w:val="center"/>
                </w:tcPr>
                <w:p>
                  <w:pPr>
                    <w:pStyle w:val="141"/>
                  </w:pPr>
                  <w:r>
                    <w:t>0.015</w:t>
                  </w:r>
                </w:p>
              </w:tc>
              <w:tc>
                <w:tcPr>
                  <w:tcW w:w="998" w:type="pct"/>
                  <w:shd w:val="clear" w:color="auto" w:fill="auto"/>
                  <w:vAlign w:val="center"/>
                </w:tcPr>
                <w:p>
                  <w:pPr>
                    <w:pStyle w:val="141"/>
                    <w:rPr>
                      <w:rFonts w:eastAsia="等线"/>
                    </w:rPr>
                  </w:pPr>
                  <w:r>
                    <w:rPr>
                      <w:rFonts w:eastAsia="等线"/>
                    </w:rPr>
                    <w:t xml:space="preserve">2.25×10 </w:t>
                  </w:r>
                  <w:r>
                    <w:rPr>
                      <w:rFonts w:eastAsia="等线"/>
                      <w:vertAlign w:val="superscript"/>
                    </w:rPr>
                    <w:t>3</w:t>
                  </w:r>
                  <w:r>
                    <w:rPr>
                      <w:rFonts w:eastAsia="等线"/>
                    </w:rPr>
                    <w:t>m</w:t>
                  </w:r>
                  <w:r>
                    <w:rPr>
                      <w:rFonts w:eastAsia="等线"/>
                      <w:vertAlign w:val="superscript"/>
                    </w:rPr>
                    <w:t>3</w:t>
                  </w:r>
                  <w:r>
                    <w:rPr>
                      <w:rFonts w:eastAsia="等线"/>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9" w:type="pct"/>
                  <w:vMerge w:val="continue"/>
                  <w:vAlign w:val="center"/>
                </w:tcPr>
                <w:p>
                  <w:pPr>
                    <w:pStyle w:val="141"/>
                    <w:rPr>
                      <w:sz w:val="24"/>
                      <w:szCs w:val="24"/>
                    </w:rPr>
                  </w:pPr>
                </w:p>
              </w:tc>
              <w:tc>
                <w:tcPr>
                  <w:tcW w:w="1256" w:type="pct"/>
                  <w:shd w:val="clear" w:color="auto" w:fill="auto"/>
                  <w:vAlign w:val="center"/>
                </w:tcPr>
                <w:p>
                  <w:pPr>
                    <w:pStyle w:val="141"/>
                  </w:pPr>
                  <w:r>
                    <w:rPr>
                      <w:rFonts w:hint="eastAsia"/>
                    </w:rPr>
                    <w:t>产生浓度</w:t>
                  </w:r>
                  <w:r>
                    <w:t>(mg/m</w:t>
                  </w:r>
                  <w:r>
                    <w:rPr>
                      <w:vertAlign w:val="superscript"/>
                    </w:rPr>
                    <w:t>3</w:t>
                  </w:r>
                  <w:r>
                    <w:t>)</w:t>
                  </w:r>
                </w:p>
              </w:tc>
              <w:tc>
                <w:tcPr>
                  <w:tcW w:w="509" w:type="pct"/>
                  <w:shd w:val="clear" w:color="auto" w:fill="auto"/>
                  <w:vAlign w:val="center"/>
                </w:tcPr>
                <w:p>
                  <w:pPr>
                    <w:pStyle w:val="141"/>
                  </w:pPr>
                  <w:r>
                    <w:t>0.67</w:t>
                  </w:r>
                </w:p>
              </w:tc>
              <w:tc>
                <w:tcPr>
                  <w:tcW w:w="509" w:type="pct"/>
                  <w:shd w:val="clear" w:color="auto" w:fill="auto"/>
                  <w:vAlign w:val="center"/>
                </w:tcPr>
                <w:p>
                  <w:pPr>
                    <w:pStyle w:val="141"/>
                  </w:pPr>
                  <w:r>
                    <w:t>43.33</w:t>
                  </w:r>
                </w:p>
              </w:tc>
              <w:tc>
                <w:tcPr>
                  <w:tcW w:w="509" w:type="pct"/>
                  <w:shd w:val="clear" w:color="auto" w:fill="auto"/>
                  <w:vAlign w:val="center"/>
                </w:tcPr>
                <w:p>
                  <w:pPr>
                    <w:pStyle w:val="141"/>
                  </w:pPr>
                  <w:r>
                    <w:t>6.67</w:t>
                  </w:r>
                </w:p>
              </w:tc>
              <w:tc>
                <w:tcPr>
                  <w:tcW w:w="998" w:type="pct"/>
                  <w:shd w:val="clear" w:color="auto" w:fill="auto"/>
                  <w:vAlign w:val="center"/>
                </w:tcPr>
                <w:p>
                  <w:pPr>
                    <w:pStyle w:val="141"/>
                    <w:rPr>
                      <w:rFonts w:eastAsia="等线"/>
                    </w:rPr>
                  </w:pPr>
                  <w:r>
                    <w:rPr>
                      <w:rFonts w:eastAsia="等线"/>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9" w:type="pct"/>
                  <w:vMerge w:val="continue"/>
                  <w:vAlign w:val="center"/>
                </w:tcPr>
                <w:p>
                  <w:pPr>
                    <w:pStyle w:val="141"/>
                    <w:rPr>
                      <w:sz w:val="24"/>
                      <w:szCs w:val="24"/>
                    </w:rPr>
                  </w:pPr>
                </w:p>
              </w:tc>
              <w:tc>
                <w:tcPr>
                  <w:tcW w:w="1256" w:type="pct"/>
                  <w:shd w:val="clear" w:color="auto" w:fill="auto"/>
                  <w:vAlign w:val="center"/>
                </w:tcPr>
                <w:p>
                  <w:pPr>
                    <w:pStyle w:val="141"/>
                  </w:pPr>
                  <w:r>
                    <w:rPr>
                      <w:rFonts w:hint="eastAsia"/>
                    </w:rPr>
                    <w:t>排放浓度</w:t>
                  </w:r>
                  <w:r>
                    <w:t>(mg/m</w:t>
                  </w:r>
                  <w:r>
                    <w:rPr>
                      <w:vertAlign w:val="superscript"/>
                    </w:rPr>
                    <w:t>3</w:t>
                  </w:r>
                  <w:r>
                    <w:t>)</w:t>
                  </w:r>
                </w:p>
              </w:tc>
              <w:tc>
                <w:tcPr>
                  <w:tcW w:w="509" w:type="pct"/>
                  <w:shd w:val="clear" w:color="auto" w:fill="auto"/>
                  <w:vAlign w:val="center"/>
                </w:tcPr>
                <w:p>
                  <w:pPr>
                    <w:pStyle w:val="141"/>
                  </w:pPr>
                  <w:r>
                    <w:t>0.67</w:t>
                  </w:r>
                </w:p>
              </w:tc>
              <w:tc>
                <w:tcPr>
                  <w:tcW w:w="509" w:type="pct"/>
                  <w:shd w:val="clear" w:color="auto" w:fill="auto"/>
                  <w:vAlign w:val="center"/>
                </w:tcPr>
                <w:p>
                  <w:pPr>
                    <w:pStyle w:val="141"/>
                  </w:pPr>
                  <w:r>
                    <w:t>43.33</w:t>
                  </w:r>
                </w:p>
              </w:tc>
              <w:tc>
                <w:tcPr>
                  <w:tcW w:w="509" w:type="pct"/>
                  <w:shd w:val="clear" w:color="auto" w:fill="auto"/>
                  <w:vAlign w:val="center"/>
                </w:tcPr>
                <w:p>
                  <w:pPr>
                    <w:pStyle w:val="141"/>
                  </w:pPr>
                  <w:r>
                    <w:t>6.67</w:t>
                  </w:r>
                </w:p>
              </w:tc>
              <w:tc>
                <w:tcPr>
                  <w:tcW w:w="998" w:type="pct"/>
                  <w:shd w:val="clear" w:color="auto" w:fill="auto"/>
                  <w:vAlign w:val="center"/>
                </w:tcPr>
                <w:p>
                  <w:pPr>
                    <w:pStyle w:val="141"/>
                    <w:rPr>
                      <w:rFonts w:eastAsia="等线"/>
                    </w:rPr>
                  </w:pPr>
                  <w:r>
                    <w:rPr>
                      <w:rFonts w:eastAsia="等线"/>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9" w:type="pct"/>
                  <w:vMerge w:val="continue"/>
                  <w:vAlign w:val="center"/>
                </w:tcPr>
                <w:p>
                  <w:pPr>
                    <w:pStyle w:val="141"/>
                    <w:rPr>
                      <w:sz w:val="24"/>
                      <w:szCs w:val="24"/>
                    </w:rPr>
                  </w:pPr>
                </w:p>
              </w:tc>
              <w:tc>
                <w:tcPr>
                  <w:tcW w:w="1256" w:type="pct"/>
                  <w:shd w:val="clear" w:color="auto" w:fill="auto"/>
                  <w:vAlign w:val="center"/>
                </w:tcPr>
                <w:p>
                  <w:pPr>
                    <w:pStyle w:val="141"/>
                  </w:pPr>
                  <w:r>
                    <w:rPr>
                      <w:rFonts w:hint="eastAsia"/>
                    </w:rPr>
                    <w:t>年排放量</w:t>
                  </w:r>
                  <w:r>
                    <w:t>(kg/a)</w:t>
                  </w:r>
                </w:p>
              </w:tc>
              <w:tc>
                <w:tcPr>
                  <w:tcW w:w="509" w:type="pct"/>
                  <w:shd w:val="clear" w:color="auto" w:fill="auto"/>
                  <w:vAlign w:val="center"/>
                </w:tcPr>
                <w:p>
                  <w:pPr>
                    <w:pStyle w:val="141"/>
                  </w:pPr>
                  <w:r>
                    <w:t>0.0015</w:t>
                  </w:r>
                </w:p>
              </w:tc>
              <w:tc>
                <w:tcPr>
                  <w:tcW w:w="509" w:type="pct"/>
                  <w:shd w:val="clear" w:color="auto" w:fill="auto"/>
                  <w:vAlign w:val="center"/>
                </w:tcPr>
                <w:p>
                  <w:pPr>
                    <w:pStyle w:val="141"/>
                  </w:pPr>
                  <w:r>
                    <w:t>0.0975</w:t>
                  </w:r>
                </w:p>
              </w:tc>
              <w:tc>
                <w:tcPr>
                  <w:tcW w:w="509" w:type="pct"/>
                  <w:shd w:val="clear" w:color="auto" w:fill="auto"/>
                  <w:vAlign w:val="center"/>
                </w:tcPr>
                <w:p>
                  <w:pPr>
                    <w:pStyle w:val="141"/>
                  </w:pPr>
                  <w:r>
                    <w:t>0.015</w:t>
                  </w:r>
                </w:p>
              </w:tc>
              <w:tc>
                <w:tcPr>
                  <w:tcW w:w="998" w:type="pct"/>
                  <w:shd w:val="clear" w:color="auto" w:fill="auto"/>
                  <w:vAlign w:val="center"/>
                </w:tcPr>
                <w:p>
                  <w:pPr>
                    <w:pStyle w:val="141"/>
                    <w:rPr>
                      <w:rFonts w:eastAsia="等线"/>
                    </w:rPr>
                  </w:pPr>
                  <w:r>
                    <w:rPr>
                      <w:rFonts w:eastAsia="等线"/>
                    </w:rPr>
                    <w:t xml:space="preserve">2.25×10 </w:t>
                  </w:r>
                  <w:r>
                    <w:rPr>
                      <w:rFonts w:eastAsia="等线"/>
                      <w:vertAlign w:val="superscript"/>
                    </w:rPr>
                    <w:t>3</w:t>
                  </w:r>
                  <w:r>
                    <w:rPr>
                      <w:rFonts w:eastAsia="等线"/>
                    </w:rPr>
                    <w:t>m</w:t>
                  </w:r>
                  <w:r>
                    <w:rPr>
                      <w:rFonts w:eastAsia="等线"/>
                      <w:vertAlign w:val="superscript"/>
                    </w:rPr>
                    <w:t>3</w:t>
                  </w:r>
                  <w:r>
                    <w:rPr>
                      <w:rFonts w:eastAsia="等线"/>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9" w:type="pct"/>
                  <w:vMerge w:val="continue"/>
                  <w:vAlign w:val="center"/>
                </w:tcPr>
                <w:p>
                  <w:pPr>
                    <w:pStyle w:val="141"/>
                    <w:rPr>
                      <w:sz w:val="24"/>
                      <w:szCs w:val="24"/>
                    </w:rPr>
                  </w:pPr>
                </w:p>
              </w:tc>
              <w:tc>
                <w:tcPr>
                  <w:tcW w:w="1256" w:type="pct"/>
                  <w:shd w:val="clear" w:color="auto" w:fill="auto"/>
                  <w:vAlign w:val="center"/>
                </w:tcPr>
                <w:p>
                  <w:pPr>
                    <w:pStyle w:val="141"/>
                  </w:pPr>
                  <w:r>
                    <w:rPr>
                      <w:rFonts w:hint="eastAsia"/>
                    </w:rPr>
                    <w:t>排放速率</w:t>
                  </w:r>
                  <w:r>
                    <w:t>(kg/h)</w:t>
                  </w:r>
                </w:p>
              </w:tc>
              <w:tc>
                <w:tcPr>
                  <w:tcW w:w="509" w:type="pct"/>
                  <w:shd w:val="clear" w:color="auto" w:fill="auto"/>
                  <w:vAlign w:val="center"/>
                </w:tcPr>
                <w:p>
                  <w:pPr>
                    <w:pStyle w:val="141"/>
                  </w:pPr>
                  <w:r>
                    <w:t>0.0001</w:t>
                  </w:r>
                </w:p>
              </w:tc>
              <w:tc>
                <w:tcPr>
                  <w:tcW w:w="509" w:type="pct"/>
                  <w:shd w:val="clear" w:color="auto" w:fill="auto"/>
                  <w:vAlign w:val="center"/>
                </w:tcPr>
                <w:p>
                  <w:pPr>
                    <w:pStyle w:val="141"/>
                  </w:pPr>
                  <w:r>
                    <w:t>0.006</w:t>
                  </w:r>
                </w:p>
              </w:tc>
              <w:tc>
                <w:tcPr>
                  <w:tcW w:w="509" w:type="pct"/>
                  <w:shd w:val="clear" w:color="auto" w:fill="auto"/>
                  <w:vAlign w:val="center"/>
                </w:tcPr>
                <w:p>
                  <w:pPr>
                    <w:pStyle w:val="141"/>
                  </w:pPr>
                  <w:r>
                    <w:t>0.001</w:t>
                  </w:r>
                </w:p>
              </w:tc>
              <w:tc>
                <w:tcPr>
                  <w:tcW w:w="998" w:type="pct"/>
                  <w:shd w:val="clear" w:color="auto" w:fill="auto"/>
                  <w:vAlign w:val="center"/>
                </w:tcPr>
                <w:p>
                  <w:pPr>
                    <w:pStyle w:val="141"/>
                    <w:rPr>
                      <w:rFonts w:eastAsia="等线"/>
                    </w:rPr>
                  </w:pPr>
                  <w:r>
                    <w:rPr>
                      <w:rFonts w:eastAsia="等线"/>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9" w:type="pct"/>
                  <w:vMerge w:val="restart"/>
                  <w:shd w:val="clear" w:color="auto" w:fill="auto"/>
                  <w:vAlign w:val="center"/>
                </w:tcPr>
                <w:p>
                  <w:pPr>
                    <w:pStyle w:val="141"/>
                  </w:pPr>
                  <w:r>
                    <w:rPr>
                      <w:rFonts w:hint="eastAsia"/>
                    </w:rPr>
                    <w:t>本项目执行标准（</w:t>
                  </w:r>
                  <w:r>
                    <w:t>DB44/27-2001</w:t>
                  </w:r>
                  <w:r>
                    <w:rPr>
                      <w:rFonts w:hint="eastAsia"/>
                    </w:rPr>
                    <w:t>）</w:t>
                  </w:r>
                  <w:r>
                    <w:rPr>
                      <w:rFonts w:hint="eastAsia" w:ascii="等线" w:hAnsi="等线" w:eastAsia="等线"/>
                      <w:sz w:val="22"/>
                      <w:szCs w:val="22"/>
                    </w:rPr>
                    <w:t>　</w:t>
                  </w:r>
                </w:p>
              </w:tc>
              <w:tc>
                <w:tcPr>
                  <w:tcW w:w="1256" w:type="pct"/>
                  <w:shd w:val="clear" w:color="auto" w:fill="auto"/>
                  <w:vAlign w:val="center"/>
                </w:tcPr>
                <w:p>
                  <w:pPr>
                    <w:pStyle w:val="141"/>
                  </w:pPr>
                  <w:r>
                    <w:rPr>
                      <w:rFonts w:hint="eastAsia"/>
                    </w:rPr>
                    <w:t>排放浓度</w:t>
                  </w:r>
                  <w:r>
                    <w:t>(mg/m</w:t>
                  </w:r>
                  <w:r>
                    <w:rPr>
                      <w:vertAlign w:val="superscript"/>
                    </w:rPr>
                    <w:t>3</w:t>
                  </w:r>
                  <w:r>
                    <w:t>)</w:t>
                  </w:r>
                </w:p>
              </w:tc>
              <w:tc>
                <w:tcPr>
                  <w:tcW w:w="509" w:type="pct"/>
                  <w:shd w:val="clear" w:color="auto" w:fill="auto"/>
                  <w:vAlign w:val="center"/>
                </w:tcPr>
                <w:p>
                  <w:pPr>
                    <w:pStyle w:val="141"/>
                    <w:rPr>
                      <w:rFonts w:eastAsia="等线"/>
                    </w:rPr>
                  </w:pPr>
                  <w:r>
                    <w:rPr>
                      <w:rFonts w:eastAsia="等线"/>
                    </w:rPr>
                    <w:t>500</w:t>
                  </w:r>
                </w:p>
              </w:tc>
              <w:tc>
                <w:tcPr>
                  <w:tcW w:w="509" w:type="pct"/>
                  <w:shd w:val="clear" w:color="auto" w:fill="auto"/>
                  <w:vAlign w:val="center"/>
                </w:tcPr>
                <w:p>
                  <w:pPr>
                    <w:pStyle w:val="141"/>
                    <w:rPr>
                      <w:rFonts w:eastAsia="等线"/>
                    </w:rPr>
                  </w:pPr>
                  <w:r>
                    <w:rPr>
                      <w:rFonts w:eastAsia="等线"/>
                    </w:rPr>
                    <w:t>120</w:t>
                  </w:r>
                </w:p>
              </w:tc>
              <w:tc>
                <w:tcPr>
                  <w:tcW w:w="509" w:type="pct"/>
                  <w:shd w:val="clear" w:color="auto" w:fill="auto"/>
                  <w:vAlign w:val="center"/>
                </w:tcPr>
                <w:p>
                  <w:pPr>
                    <w:pStyle w:val="141"/>
                    <w:rPr>
                      <w:rFonts w:eastAsia="等线"/>
                    </w:rPr>
                  </w:pPr>
                  <w:r>
                    <w:rPr>
                      <w:rFonts w:eastAsia="等线"/>
                    </w:rPr>
                    <w:t>120</w:t>
                  </w:r>
                </w:p>
              </w:tc>
              <w:tc>
                <w:tcPr>
                  <w:tcW w:w="998" w:type="pct"/>
                  <w:shd w:val="clear" w:color="auto" w:fill="auto"/>
                  <w:vAlign w:val="center"/>
                </w:tcPr>
                <w:p>
                  <w:pPr>
                    <w:pStyle w:val="141"/>
                    <w:rPr>
                      <w:rFonts w:eastAsia="等线"/>
                    </w:rPr>
                  </w:pPr>
                  <w:r>
                    <w:rPr>
                      <w:rFonts w:eastAsia="等线"/>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219" w:type="pct"/>
                  <w:vMerge w:val="continue"/>
                  <w:shd w:val="clear" w:color="auto" w:fill="auto"/>
                  <w:vAlign w:val="center"/>
                </w:tcPr>
                <w:p>
                  <w:pPr>
                    <w:pStyle w:val="141"/>
                  </w:pPr>
                </w:p>
              </w:tc>
              <w:tc>
                <w:tcPr>
                  <w:tcW w:w="1256" w:type="pct"/>
                  <w:shd w:val="clear" w:color="auto" w:fill="auto"/>
                  <w:vAlign w:val="center"/>
                </w:tcPr>
                <w:p>
                  <w:pPr>
                    <w:pStyle w:val="141"/>
                  </w:pPr>
                  <w:r>
                    <w:rPr>
                      <w:rFonts w:hint="eastAsia"/>
                    </w:rPr>
                    <w:t>排放速率</w:t>
                  </w:r>
                  <w:r>
                    <w:t>(kg/h)</w:t>
                  </w:r>
                  <w:r>
                    <w:rPr>
                      <w:rFonts w:hint="eastAsia"/>
                    </w:rPr>
                    <w:t>（排气筒高度</w:t>
                  </w:r>
                  <w:r>
                    <w:t>6m</w:t>
                  </w:r>
                  <w:r>
                    <w:rPr>
                      <w:rFonts w:hint="eastAsia"/>
                    </w:rPr>
                    <w:t>）</w:t>
                  </w:r>
                </w:p>
              </w:tc>
              <w:tc>
                <w:tcPr>
                  <w:tcW w:w="509" w:type="pct"/>
                  <w:shd w:val="clear" w:color="auto" w:fill="auto"/>
                  <w:vAlign w:val="center"/>
                </w:tcPr>
                <w:p>
                  <w:pPr>
                    <w:pStyle w:val="141"/>
                    <w:rPr>
                      <w:rFonts w:eastAsia="等线"/>
                    </w:rPr>
                  </w:pPr>
                  <w:r>
                    <w:rPr>
                      <w:rFonts w:eastAsia="等线"/>
                    </w:rPr>
                    <w:t>0.17</w:t>
                  </w:r>
                </w:p>
              </w:tc>
              <w:tc>
                <w:tcPr>
                  <w:tcW w:w="509" w:type="pct"/>
                  <w:shd w:val="clear" w:color="auto" w:fill="auto"/>
                  <w:vAlign w:val="center"/>
                </w:tcPr>
                <w:p>
                  <w:pPr>
                    <w:pStyle w:val="141"/>
                    <w:rPr>
                      <w:rFonts w:eastAsia="等线"/>
                    </w:rPr>
                  </w:pPr>
                  <w:r>
                    <w:rPr>
                      <w:rFonts w:eastAsia="等线"/>
                    </w:rPr>
                    <w:t>0.05</w:t>
                  </w:r>
                </w:p>
              </w:tc>
              <w:tc>
                <w:tcPr>
                  <w:tcW w:w="509" w:type="pct"/>
                  <w:shd w:val="clear" w:color="auto" w:fill="auto"/>
                  <w:vAlign w:val="center"/>
                </w:tcPr>
                <w:p>
                  <w:pPr>
                    <w:pStyle w:val="141"/>
                    <w:rPr>
                      <w:rFonts w:eastAsia="等线"/>
                    </w:rPr>
                  </w:pPr>
                  <w:r>
                    <w:rPr>
                      <w:rFonts w:eastAsia="等线"/>
                    </w:rPr>
                    <w:t>0.23</w:t>
                  </w:r>
                </w:p>
              </w:tc>
              <w:tc>
                <w:tcPr>
                  <w:tcW w:w="998" w:type="pct"/>
                  <w:shd w:val="clear" w:color="auto" w:fill="auto"/>
                  <w:vAlign w:val="center"/>
                </w:tcPr>
                <w:p>
                  <w:pPr>
                    <w:pStyle w:val="141"/>
                    <w:rPr>
                      <w:rFonts w:eastAsia="等线"/>
                    </w:rPr>
                  </w:pPr>
                  <w:r>
                    <w:rPr>
                      <w:rFonts w:eastAsia="等线"/>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9" w:type="pct"/>
                  <w:shd w:val="clear" w:color="auto" w:fill="auto"/>
                  <w:vAlign w:val="center"/>
                </w:tcPr>
                <w:p>
                  <w:pPr>
                    <w:pStyle w:val="141"/>
                  </w:pPr>
                  <w:r>
                    <w:rPr>
                      <w:rFonts w:hint="eastAsia"/>
                    </w:rPr>
                    <w:t>是否达标</w:t>
                  </w:r>
                </w:p>
              </w:tc>
              <w:tc>
                <w:tcPr>
                  <w:tcW w:w="1256" w:type="pct"/>
                  <w:shd w:val="clear" w:color="auto" w:fill="auto"/>
                  <w:vAlign w:val="center"/>
                </w:tcPr>
                <w:p>
                  <w:pPr>
                    <w:pStyle w:val="141"/>
                    <w:rPr>
                      <w:rFonts w:eastAsia="等线"/>
                    </w:rPr>
                  </w:pPr>
                  <w:r>
                    <w:rPr>
                      <w:rFonts w:eastAsia="等线"/>
                    </w:rPr>
                    <w:t>/</w:t>
                  </w:r>
                </w:p>
              </w:tc>
              <w:tc>
                <w:tcPr>
                  <w:tcW w:w="509" w:type="pct"/>
                  <w:shd w:val="clear" w:color="auto" w:fill="auto"/>
                  <w:vAlign w:val="center"/>
                </w:tcPr>
                <w:p>
                  <w:pPr>
                    <w:pStyle w:val="141"/>
                  </w:pPr>
                  <w:r>
                    <w:rPr>
                      <w:rFonts w:hint="eastAsia"/>
                    </w:rPr>
                    <w:t>达标</w:t>
                  </w:r>
                </w:p>
              </w:tc>
              <w:tc>
                <w:tcPr>
                  <w:tcW w:w="509" w:type="pct"/>
                  <w:shd w:val="clear" w:color="auto" w:fill="auto"/>
                  <w:vAlign w:val="center"/>
                </w:tcPr>
                <w:p>
                  <w:pPr>
                    <w:pStyle w:val="141"/>
                  </w:pPr>
                  <w:r>
                    <w:rPr>
                      <w:rFonts w:hint="eastAsia"/>
                    </w:rPr>
                    <w:t>达标</w:t>
                  </w:r>
                </w:p>
              </w:tc>
              <w:tc>
                <w:tcPr>
                  <w:tcW w:w="509" w:type="pct"/>
                  <w:shd w:val="clear" w:color="auto" w:fill="auto"/>
                  <w:vAlign w:val="center"/>
                </w:tcPr>
                <w:p>
                  <w:pPr>
                    <w:pStyle w:val="141"/>
                  </w:pPr>
                  <w:r>
                    <w:rPr>
                      <w:rFonts w:hint="eastAsia"/>
                    </w:rPr>
                    <w:t>达标</w:t>
                  </w:r>
                </w:p>
              </w:tc>
              <w:tc>
                <w:tcPr>
                  <w:tcW w:w="998" w:type="pct"/>
                  <w:shd w:val="clear" w:color="auto" w:fill="auto"/>
                  <w:vAlign w:val="center"/>
                </w:tcPr>
                <w:p>
                  <w:pPr>
                    <w:pStyle w:val="141"/>
                    <w:rPr>
                      <w:rFonts w:eastAsia="等线"/>
                    </w:rPr>
                  </w:pPr>
                  <w:r>
                    <w:rPr>
                      <w:rFonts w:eastAsia="等线"/>
                    </w:rPr>
                    <w:t>/</w:t>
                  </w:r>
                </w:p>
              </w:tc>
            </w:tr>
          </w:tbl>
          <w:p>
            <w:pPr>
              <w:pStyle w:val="137"/>
              <w:ind w:firstLine="480"/>
            </w:pPr>
            <w:r>
              <w:rPr>
                <w:rFonts w:hint="eastAsia"/>
              </w:rPr>
              <w:t>备注：若项目排气筒低于15m，其排放速率限值按外推法计算结果的50%执行。项目废气产生浓度极低，备用发电机自带的水喷淋装置尾气处理效率可忽略不计。</w:t>
            </w:r>
          </w:p>
          <w:p>
            <w:pPr>
              <w:pStyle w:val="137"/>
              <w:ind w:firstLine="480"/>
            </w:pPr>
            <w:r>
              <w:rPr>
                <w:rFonts w:hint="eastAsia"/>
              </w:rPr>
              <w:t>综上，项目备用发电机尾气经设备自带水喷淋装置处理后，引至室外排放能达到广东省《大气污染物排放限值》（DB44/27-2001）第二时段二级标准，对周边大气环境影响不大。</w:t>
            </w:r>
          </w:p>
          <w:p>
            <w:pPr>
              <w:pStyle w:val="137"/>
              <w:ind w:firstLine="480"/>
            </w:pPr>
            <w:r>
              <w:rPr>
                <w:rFonts w:hint="eastAsia"/>
              </w:rPr>
              <w:t>3）车辆尾气</w:t>
            </w:r>
          </w:p>
          <w:p>
            <w:pPr>
              <w:pStyle w:val="137"/>
              <w:ind w:firstLine="480"/>
            </w:pPr>
            <w:r>
              <w:rPr>
                <w:rFonts w:hint="eastAsia"/>
              </w:rPr>
              <w:t>本项目运营期出入场地车辆主要为运输槽车及需要加油的机动车辆。</w:t>
            </w:r>
          </w:p>
          <w:p>
            <w:pPr>
              <w:pStyle w:val="137"/>
              <w:ind w:firstLine="480"/>
            </w:pPr>
            <w:r>
              <w:rPr>
                <w:rFonts w:hint="eastAsia"/>
              </w:rPr>
              <w:t>运输槽车主要以柴油为燃料，都会产生一定量的废气，包括CO、THC、NOx、SO</w:t>
            </w:r>
            <w:r>
              <w:rPr>
                <w:rFonts w:hint="eastAsia"/>
                <w:vertAlign w:val="subscript"/>
              </w:rPr>
              <w:t>2</w:t>
            </w:r>
            <w:r>
              <w:rPr>
                <w:rFonts w:hint="eastAsia"/>
              </w:rPr>
              <w:t>、烟尘等，为无组织排放。</w:t>
            </w:r>
          </w:p>
          <w:p>
            <w:pPr>
              <w:pStyle w:val="137"/>
              <w:ind w:firstLine="480"/>
            </w:pPr>
            <w:r>
              <w:rPr>
                <w:rFonts w:hint="eastAsia"/>
              </w:rPr>
              <w:t>项目在运营期给机动车加油过程中，机动车进站减速加速等过程中会产生汽车尾气，汽车尾气主要污染物含有CO、CO</w:t>
            </w:r>
            <w:r>
              <w:rPr>
                <w:rFonts w:hint="eastAsia"/>
                <w:vertAlign w:val="subscript"/>
              </w:rPr>
              <w:t>2</w:t>
            </w:r>
            <w:r>
              <w:rPr>
                <w:rFonts w:hint="eastAsia"/>
              </w:rPr>
              <w:t>、NO</w:t>
            </w:r>
            <w:r>
              <w:rPr>
                <w:rFonts w:hint="eastAsia"/>
                <w:vertAlign w:val="subscript"/>
              </w:rPr>
              <w:t>X</w:t>
            </w:r>
            <w:r>
              <w:rPr>
                <w:rFonts w:hint="eastAsia"/>
              </w:rPr>
              <w:t>及非甲烷总烃。</w:t>
            </w:r>
          </w:p>
          <w:p>
            <w:pPr>
              <w:pStyle w:val="137"/>
              <w:ind w:firstLine="480"/>
            </w:pPr>
            <w:r>
              <w:rPr>
                <w:rFonts w:hint="eastAsia"/>
              </w:rPr>
              <w:t>3、噪声</w:t>
            </w:r>
          </w:p>
          <w:p>
            <w:pPr>
              <w:pStyle w:val="137"/>
              <w:ind w:firstLine="480"/>
            </w:pPr>
            <w:r>
              <w:rPr>
                <w:rFonts w:hint="eastAsia"/>
              </w:rPr>
              <w:t>本项目主要噪声来源有：进出站车辆产生的交通噪声，备用发电机运行时产生的噪声。车辆产生的交通噪声为60~75dB（A），备用发电机运行时产生的噪声值为</w:t>
            </w:r>
            <w:r>
              <w:t>80</w:t>
            </w:r>
            <w:r>
              <w:rPr>
                <w:rFonts w:hint="eastAsia"/>
              </w:rPr>
              <w:t>dB（A）。</w:t>
            </w:r>
          </w:p>
          <w:p>
            <w:pPr>
              <w:pStyle w:val="137"/>
              <w:ind w:firstLine="480"/>
            </w:pPr>
            <w:r>
              <w:rPr>
                <w:rFonts w:hint="eastAsia"/>
              </w:rPr>
              <w:t>4、固体废物</w:t>
            </w:r>
          </w:p>
          <w:p>
            <w:pPr>
              <w:pStyle w:val="137"/>
              <w:ind w:firstLine="480"/>
            </w:pPr>
            <w:r>
              <w:rPr>
                <w:rFonts w:hint="eastAsia"/>
              </w:rPr>
              <w:t>①生活垃圾</w:t>
            </w:r>
          </w:p>
          <w:p>
            <w:pPr>
              <w:pStyle w:val="137"/>
              <w:ind w:firstLine="480"/>
            </w:pPr>
            <w:r>
              <w:rPr>
                <w:rFonts w:hint="eastAsia"/>
              </w:rPr>
              <w:t>项目劳动定员</w:t>
            </w:r>
            <w:r>
              <w:t>8</w:t>
            </w:r>
            <w:r>
              <w:rPr>
                <w:rFonts w:hint="eastAsia"/>
              </w:rPr>
              <w:t>人，往来旅客</w:t>
            </w:r>
            <w:r>
              <w:t>200</w:t>
            </w:r>
            <w:r>
              <w:rPr>
                <w:rFonts w:hint="eastAsia"/>
              </w:rPr>
              <w:t>人/d。在站内食宿人员生活垃圾按1kg/人·d 计，往来旅客生活垃圾按0.1kg/人·d 计算，则生活垃圾产生总量为1</w:t>
            </w:r>
            <w:r>
              <w:t>0.22</w:t>
            </w:r>
            <w:r>
              <w:rPr>
                <w:rFonts w:hint="eastAsia"/>
              </w:rPr>
              <w:t>t/a。通过站区内垃圾筒收集后再由当地环卫部门统一收运处理。</w:t>
            </w:r>
          </w:p>
          <w:p>
            <w:pPr>
              <w:pStyle w:val="137"/>
              <w:ind w:firstLine="480"/>
            </w:pPr>
            <w:r>
              <w:rPr>
                <w:rFonts w:hint="eastAsia"/>
              </w:rPr>
              <w:t>②废含油抹布</w:t>
            </w:r>
          </w:p>
          <w:p>
            <w:pPr>
              <w:pStyle w:val="137"/>
              <w:ind w:firstLine="480"/>
            </w:pPr>
            <w:r>
              <w:rPr>
                <w:rFonts w:hint="eastAsia"/>
              </w:rPr>
              <w:t>类比同类项目，项目设备维修过程会产生一定量废抹布，产生量约为0.01t/a。根据《国家危险废物名录》（2016年8月1日起施行），废含油抹布属于危险废物，废物类别为HW49。</w:t>
            </w:r>
          </w:p>
          <w:p>
            <w:pPr>
              <w:pStyle w:val="137"/>
              <w:ind w:firstLine="480"/>
            </w:pPr>
            <w:r>
              <w:rPr>
                <w:rFonts w:hint="eastAsia"/>
              </w:rPr>
              <w:t>③废油及油泥</w:t>
            </w:r>
          </w:p>
          <w:p>
            <w:pPr>
              <w:pStyle w:val="137"/>
              <w:ind w:firstLine="480"/>
            </w:pPr>
            <w:r>
              <w:rPr>
                <w:rFonts w:hint="eastAsia"/>
              </w:rPr>
              <w:t>类比同类项目，项目隔油池产生废油（每年清理一次）约0.0</w:t>
            </w:r>
            <w:r>
              <w:t>2</w:t>
            </w:r>
            <w:r>
              <w:rPr>
                <w:rFonts w:hint="eastAsia"/>
              </w:rPr>
              <w:t>t/a，清罐作业每五年进行一次，每次产生油泥约0.05t。根据《国家危险废物名录》（2016年8月1日起施行），废油及油泥属于危险废物，危险废物类别为HW08，建设单位严格按照《危险废物转移联单管理办法》执行，委托有相关危险废物处理资质的单位收运处理。由于项目危险废物产生周期较长，隔油池及油罐清理前即联系相关单位处理，一产生就处理，不在站内设危险废物暂存场所。</w:t>
            </w:r>
          </w:p>
          <w:p>
            <w:pPr>
              <w:pStyle w:val="143"/>
              <w:keepNext w:val="0"/>
              <w:keepLines w:val="0"/>
              <w:pageBreakBefore w:val="0"/>
              <w:widowControl w:val="0"/>
              <w:kinsoku/>
              <w:wordWrap/>
              <w:overflowPunct/>
              <w:topLinePunct w:val="0"/>
              <w:autoSpaceDE/>
              <w:autoSpaceDN/>
              <w:bidi w:val="0"/>
              <w:adjustRightInd/>
              <w:snapToGrid/>
              <w:spacing w:beforeLines="0"/>
              <w:textAlignment w:val="auto"/>
              <w:rPr>
                <w:rFonts w:hint="eastAsia"/>
              </w:rPr>
            </w:pPr>
          </w:p>
          <w:p>
            <w:pPr>
              <w:pStyle w:val="143"/>
              <w:keepNext w:val="0"/>
              <w:keepLines w:val="0"/>
              <w:pageBreakBefore w:val="0"/>
              <w:widowControl w:val="0"/>
              <w:kinsoku/>
              <w:wordWrap/>
              <w:overflowPunct/>
              <w:topLinePunct w:val="0"/>
              <w:autoSpaceDE/>
              <w:autoSpaceDN/>
              <w:bidi w:val="0"/>
              <w:adjustRightInd/>
              <w:snapToGrid/>
              <w:spacing w:beforeLines="0"/>
              <w:textAlignment w:val="auto"/>
              <w:rPr>
                <w:rFonts w:hint="eastAsia"/>
              </w:rPr>
            </w:pPr>
          </w:p>
          <w:p>
            <w:pPr>
              <w:pStyle w:val="143"/>
              <w:keepNext w:val="0"/>
              <w:keepLines w:val="0"/>
              <w:pageBreakBefore w:val="0"/>
              <w:widowControl w:val="0"/>
              <w:kinsoku/>
              <w:wordWrap/>
              <w:overflowPunct/>
              <w:topLinePunct w:val="0"/>
              <w:autoSpaceDE/>
              <w:autoSpaceDN/>
              <w:bidi w:val="0"/>
              <w:adjustRightInd/>
              <w:snapToGrid/>
              <w:spacing w:beforeLines="0"/>
              <w:textAlignment w:val="auto"/>
            </w:pPr>
            <w:r>
              <w:rPr>
                <w:rFonts w:hint="eastAsia"/>
              </w:rPr>
              <w:t>表</w:t>
            </w:r>
            <w:r>
              <w:rPr>
                <w:rFonts w:hint="eastAsia"/>
                <w:lang w:val="en-US" w:eastAsia="zh-CN"/>
              </w:rPr>
              <w:t>5-8</w:t>
            </w:r>
            <w:r>
              <w:t xml:space="preserve"> </w:t>
            </w:r>
            <w:r>
              <w:rPr>
                <w:rFonts w:hint="eastAsia"/>
              </w:rPr>
              <w:t xml:space="preserve">   </w:t>
            </w:r>
            <w:r>
              <w:t>危险废物产生情况一览表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735"/>
              <w:gridCol w:w="816"/>
              <w:gridCol w:w="1287"/>
              <w:gridCol w:w="770"/>
              <w:gridCol w:w="980"/>
              <w:gridCol w:w="600"/>
              <w:gridCol w:w="680"/>
              <w:gridCol w:w="610"/>
              <w:gridCol w:w="740"/>
              <w:gridCol w:w="668"/>
              <w:gridCol w:w="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 w:type="pct"/>
                  <w:tcBorders>
                    <w:tl2br w:val="nil"/>
                    <w:tr2bl w:val="nil"/>
                  </w:tcBorders>
                  <w:vAlign w:val="center"/>
                </w:tcPr>
                <w:p>
                  <w:pPr>
                    <w:pStyle w:val="141"/>
                  </w:pPr>
                  <w:r>
                    <w:t>序号</w:t>
                  </w:r>
                </w:p>
              </w:tc>
              <w:tc>
                <w:tcPr>
                  <w:tcW w:w="410" w:type="pct"/>
                  <w:tcBorders>
                    <w:tl2br w:val="nil"/>
                    <w:tr2bl w:val="nil"/>
                  </w:tcBorders>
                  <w:vAlign w:val="center"/>
                </w:tcPr>
                <w:p>
                  <w:pPr>
                    <w:pStyle w:val="141"/>
                  </w:pPr>
                  <w:r>
                    <w:t>危险废物名称</w:t>
                  </w:r>
                </w:p>
              </w:tc>
              <w:tc>
                <w:tcPr>
                  <w:tcW w:w="455" w:type="pct"/>
                  <w:tcBorders>
                    <w:tl2br w:val="nil"/>
                    <w:tr2bl w:val="nil"/>
                  </w:tcBorders>
                  <w:vAlign w:val="center"/>
                </w:tcPr>
                <w:p>
                  <w:pPr>
                    <w:pStyle w:val="141"/>
                  </w:pPr>
                  <w:r>
                    <w:t>危险废物类别</w:t>
                  </w:r>
                </w:p>
              </w:tc>
              <w:tc>
                <w:tcPr>
                  <w:tcW w:w="719" w:type="pct"/>
                  <w:tcBorders>
                    <w:tl2br w:val="nil"/>
                    <w:tr2bl w:val="nil"/>
                  </w:tcBorders>
                  <w:vAlign w:val="center"/>
                </w:tcPr>
                <w:p>
                  <w:pPr>
                    <w:pStyle w:val="141"/>
                  </w:pPr>
                  <w:r>
                    <w:t>危险废物代码</w:t>
                  </w:r>
                </w:p>
              </w:tc>
              <w:tc>
                <w:tcPr>
                  <w:tcW w:w="430" w:type="pct"/>
                  <w:tcBorders>
                    <w:tl2br w:val="nil"/>
                    <w:tr2bl w:val="nil"/>
                  </w:tcBorders>
                  <w:vAlign w:val="center"/>
                </w:tcPr>
                <w:p>
                  <w:pPr>
                    <w:pStyle w:val="141"/>
                  </w:pPr>
                  <w:r>
                    <w:t>产生量（吨/年）</w:t>
                  </w:r>
                </w:p>
              </w:tc>
              <w:tc>
                <w:tcPr>
                  <w:tcW w:w="547" w:type="pct"/>
                  <w:tcBorders>
                    <w:tl2br w:val="nil"/>
                    <w:tr2bl w:val="nil"/>
                  </w:tcBorders>
                  <w:vAlign w:val="center"/>
                </w:tcPr>
                <w:p>
                  <w:pPr>
                    <w:pStyle w:val="141"/>
                  </w:pPr>
                  <w:r>
                    <w:t>产生工序及装置</w:t>
                  </w:r>
                </w:p>
              </w:tc>
              <w:tc>
                <w:tcPr>
                  <w:tcW w:w="335" w:type="pct"/>
                  <w:tcBorders>
                    <w:tl2br w:val="nil"/>
                    <w:tr2bl w:val="nil"/>
                  </w:tcBorders>
                  <w:vAlign w:val="center"/>
                </w:tcPr>
                <w:p>
                  <w:pPr>
                    <w:pStyle w:val="141"/>
                  </w:pPr>
                  <w:r>
                    <w:t>形态</w:t>
                  </w:r>
                </w:p>
              </w:tc>
              <w:tc>
                <w:tcPr>
                  <w:tcW w:w="379" w:type="pct"/>
                  <w:tcBorders>
                    <w:tl2br w:val="nil"/>
                    <w:tr2bl w:val="nil"/>
                  </w:tcBorders>
                  <w:vAlign w:val="center"/>
                </w:tcPr>
                <w:p>
                  <w:pPr>
                    <w:pStyle w:val="141"/>
                  </w:pPr>
                  <w:r>
                    <w:t>主要成分</w:t>
                  </w:r>
                </w:p>
              </w:tc>
              <w:tc>
                <w:tcPr>
                  <w:tcW w:w="340" w:type="pct"/>
                  <w:tcBorders>
                    <w:tl2br w:val="nil"/>
                    <w:tr2bl w:val="nil"/>
                  </w:tcBorders>
                  <w:vAlign w:val="center"/>
                </w:tcPr>
                <w:p>
                  <w:pPr>
                    <w:pStyle w:val="141"/>
                  </w:pPr>
                  <w:r>
                    <w:t>有害成分</w:t>
                  </w:r>
                </w:p>
              </w:tc>
              <w:tc>
                <w:tcPr>
                  <w:tcW w:w="413" w:type="pct"/>
                  <w:tcBorders>
                    <w:tl2br w:val="nil"/>
                    <w:tr2bl w:val="nil"/>
                  </w:tcBorders>
                  <w:vAlign w:val="center"/>
                </w:tcPr>
                <w:p>
                  <w:pPr>
                    <w:pStyle w:val="141"/>
                  </w:pPr>
                  <w:r>
                    <w:t>产废周期</w:t>
                  </w:r>
                </w:p>
              </w:tc>
              <w:tc>
                <w:tcPr>
                  <w:tcW w:w="373" w:type="pct"/>
                  <w:tcBorders>
                    <w:tl2br w:val="nil"/>
                    <w:tr2bl w:val="nil"/>
                  </w:tcBorders>
                  <w:vAlign w:val="center"/>
                </w:tcPr>
                <w:p>
                  <w:pPr>
                    <w:pStyle w:val="141"/>
                  </w:pPr>
                  <w:r>
                    <w:t>危险</w:t>
                  </w:r>
                </w:p>
                <w:p>
                  <w:pPr>
                    <w:pStyle w:val="141"/>
                  </w:pPr>
                  <w:r>
                    <w:t>特性</w:t>
                  </w:r>
                </w:p>
              </w:tc>
              <w:tc>
                <w:tcPr>
                  <w:tcW w:w="355" w:type="pct"/>
                  <w:tcBorders>
                    <w:tl2br w:val="nil"/>
                    <w:tr2bl w:val="nil"/>
                  </w:tcBorders>
                  <w:vAlign w:val="center"/>
                </w:tcPr>
                <w:p>
                  <w:pPr>
                    <w:pStyle w:val="141"/>
                  </w:pPr>
                  <w: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 w:type="pct"/>
                  <w:tcBorders>
                    <w:tl2br w:val="nil"/>
                    <w:tr2bl w:val="nil"/>
                  </w:tcBorders>
                  <w:vAlign w:val="center"/>
                </w:tcPr>
                <w:p>
                  <w:pPr>
                    <w:pStyle w:val="141"/>
                  </w:pPr>
                  <w:r>
                    <w:rPr>
                      <w:rFonts w:hint="eastAsia"/>
                    </w:rPr>
                    <w:t>1</w:t>
                  </w:r>
                </w:p>
              </w:tc>
              <w:tc>
                <w:tcPr>
                  <w:tcW w:w="410" w:type="pct"/>
                  <w:tcBorders>
                    <w:tl2br w:val="nil"/>
                    <w:tr2bl w:val="nil"/>
                  </w:tcBorders>
                  <w:vAlign w:val="center"/>
                </w:tcPr>
                <w:p>
                  <w:pPr>
                    <w:pStyle w:val="141"/>
                  </w:pPr>
                  <w:r>
                    <w:rPr>
                      <w:rFonts w:hint="eastAsia"/>
                    </w:rPr>
                    <w:t>废油</w:t>
                  </w:r>
                </w:p>
              </w:tc>
              <w:tc>
                <w:tcPr>
                  <w:tcW w:w="455" w:type="pct"/>
                  <w:tcBorders>
                    <w:tl2br w:val="nil"/>
                    <w:tr2bl w:val="nil"/>
                  </w:tcBorders>
                  <w:vAlign w:val="center"/>
                </w:tcPr>
                <w:p>
                  <w:pPr>
                    <w:pStyle w:val="141"/>
                  </w:pPr>
                  <w:r>
                    <w:rPr>
                      <w:rFonts w:hint="eastAsia"/>
                    </w:rPr>
                    <w:t>HW08</w:t>
                  </w:r>
                </w:p>
              </w:tc>
              <w:tc>
                <w:tcPr>
                  <w:tcW w:w="719" w:type="pct"/>
                  <w:tcBorders>
                    <w:tl2br w:val="nil"/>
                    <w:tr2bl w:val="nil"/>
                  </w:tcBorders>
                  <w:vAlign w:val="center"/>
                </w:tcPr>
                <w:p>
                  <w:pPr>
                    <w:pStyle w:val="141"/>
                  </w:pPr>
                  <w:r>
                    <w:rPr>
                      <w:rFonts w:hint="eastAsia"/>
                    </w:rPr>
                    <w:t>900-</w:t>
                  </w:r>
                  <w:r>
                    <w:t>210</w:t>
                  </w:r>
                  <w:r>
                    <w:rPr>
                      <w:rFonts w:hint="eastAsia"/>
                    </w:rPr>
                    <w:t>-</w:t>
                  </w:r>
                  <w:r>
                    <w:t>08</w:t>
                  </w:r>
                </w:p>
              </w:tc>
              <w:tc>
                <w:tcPr>
                  <w:tcW w:w="430" w:type="pct"/>
                  <w:tcBorders>
                    <w:tl2br w:val="nil"/>
                    <w:tr2bl w:val="nil"/>
                  </w:tcBorders>
                  <w:vAlign w:val="center"/>
                </w:tcPr>
                <w:p>
                  <w:pPr>
                    <w:pStyle w:val="141"/>
                  </w:pPr>
                  <w:r>
                    <w:rPr>
                      <w:rFonts w:hint="eastAsia"/>
                    </w:rPr>
                    <w:t>0</w:t>
                  </w:r>
                  <w:r>
                    <w:t>.02</w:t>
                  </w:r>
                </w:p>
              </w:tc>
              <w:tc>
                <w:tcPr>
                  <w:tcW w:w="547" w:type="pct"/>
                  <w:tcBorders>
                    <w:tl2br w:val="nil"/>
                    <w:tr2bl w:val="nil"/>
                  </w:tcBorders>
                  <w:vAlign w:val="center"/>
                </w:tcPr>
                <w:p>
                  <w:pPr>
                    <w:pStyle w:val="141"/>
                  </w:pPr>
                  <w:r>
                    <w:rPr>
                      <w:rFonts w:hint="eastAsia"/>
                    </w:rPr>
                    <w:t>隔油池清理</w:t>
                  </w:r>
                </w:p>
              </w:tc>
              <w:tc>
                <w:tcPr>
                  <w:tcW w:w="335" w:type="pct"/>
                  <w:tcBorders>
                    <w:tl2br w:val="nil"/>
                    <w:tr2bl w:val="nil"/>
                  </w:tcBorders>
                  <w:vAlign w:val="center"/>
                </w:tcPr>
                <w:p>
                  <w:pPr>
                    <w:pStyle w:val="141"/>
                  </w:pPr>
                  <w:r>
                    <w:rPr>
                      <w:rFonts w:hint="eastAsia"/>
                    </w:rPr>
                    <w:t>液体</w:t>
                  </w:r>
                </w:p>
              </w:tc>
              <w:tc>
                <w:tcPr>
                  <w:tcW w:w="379" w:type="pct"/>
                  <w:tcBorders>
                    <w:tl2br w:val="nil"/>
                    <w:tr2bl w:val="nil"/>
                  </w:tcBorders>
                  <w:vAlign w:val="center"/>
                </w:tcPr>
                <w:p>
                  <w:pPr>
                    <w:pStyle w:val="141"/>
                  </w:pPr>
                  <w:r>
                    <w:rPr>
                      <w:rFonts w:hint="eastAsia"/>
                    </w:rPr>
                    <w:t>矿物油</w:t>
                  </w:r>
                </w:p>
              </w:tc>
              <w:tc>
                <w:tcPr>
                  <w:tcW w:w="340" w:type="pct"/>
                  <w:tcBorders>
                    <w:tl2br w:val="nil"/>
                    <w:tr2bl w:val="nil"/>
                  </w:tcBorders>
                  <w:vAlign w:val="center"/>
                </w:tcPr>
                <w:p>
                  <w:pPr>
                    <w:pStyle w:val="141"/>
                  </w:pPr>
                  <w:r>
                    <w:rPr>
                      <w:rFonts w:hint="eastAsia"/>
                    </w:rPr>
                    <w:t>矿物油</w:t>
                  </w:r>
                </w:p>
              </w:tc>
              <w:tc>
                <w:tcPr>
                  <w:tcW w:w="413" w:type="pct"/>
                  <w:tcBorders>
                    <w:tl2br w:val="nil"/>
                    <w:tr2bl w:val="nil"/>
                  </w:tcBorders>
                  <w:vAlign w:val="center"/>
                </w:tcPr>
                <w:p>
                  <w:pPr>
                    <w:pStyle w:val="141"/>
                  </w:pPr>
                  <w:r>
                    <w:t>1a/</w:t>
                  </w:r>
                  <w:r>
                    <w:rPr>
                      <w:rFonts w:hint="eastAsia"/>
                    </w:rPr>
                    <w:t>次</w:t>
                  </w:r>
                </w:p>
              </w:tc>
              <w:tc>
                <w:tcPr>
                  <w:tcW w:w="373" w:type="pct"/>
                  <w:tcBorders>
                    <w:tl2br w:val="nil"/>
                    <w:tr2bl w:val="nil"/>
                  </w:tcBorders>
                  <w:vAlign w:val="center"/>
                </w:tcPr>
                <w:p>
                  <w:pPr>
                    <w:pStyle w:val="141"/>
                  </w:pPr>
                  <w:r>
                    <w:rPr>
                      <w:rFonts w:hint="eastAsia"/>
                    </w:rPr>
                    <w:t>T</w:t>
                  </w:r>
                  <w:r>
                    <w:t>/I</w:t>
                  </w:r>
                </w:p>
              </w:tc>
              <w:tc>
                <w:tcPr>
                  <w:tcW w:w="355" w:type="pct"/>
                  <w:vMerge w:val="restart"/>
                  <w:tcBorders>
                    <w:tl2br w:val="nil"/>
                    <w:tr2bl w:val="nil"/>
                  </w:tcBorders>
                  <w:vAlign w:val="center"/>
                </w:tcPr>
                <w:p>
                  <w:pPr>
                    <w:pStyle w:val="141"/>
                  </w:pPr>
                  <w:r>
                    <w:rPr>
                      <w:rFonts w:hint="eastAsia"/>
                    </w:rPr>
                    <w:t>委托有资质单位收运处理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 w:type="pct"/>
                  <w:tcBorders>
                    <w:tl2br w:val="nil"/>
                    <w:tr2bl w:val="nil"/>
                  </w:tcBorders>
                  <w:vAlign w:val="center"/>
                </w:tcPr>
                <w:p>
                  <w:pPr>
                    <w:pStyle w:val="141"/>
                  </w:pPr>
                  <w:r>
                    <w:rPr>
                      <w:rFonts w:hint="eastAsia"/>
                    </w:rPr>
                    <w:t>2</w:t>
                  </w:r>
                </w:p>
              </w:tc>
              <w:tc>
                <w:tcPr>
                  <w:tcW w:w="410" w:type="pct"/>
                  <w:tcBorders>
                    <w:tl2br w:val="nil"/>
                    <w:tr2bl w:val="nil"/>
                  </w:tcBorders>
                  <w:vAlign w:val="center"/>
                </w:tcPr>
                <w:p>
                  <w:pPr>
                    <w:pStyle w:val="141"/>
                  </w:pPr>
                  <w:r>
                    <w:rPr>
                      <w:rFonts w:hint="eastAsia"/>
                    </w:rPr>
                    <w:t>油泥</w:t>
                  </w:r>
                </w:p>
              </w:tc>
              <w:tc>
                <w:tcPr>
                  <w:tcW w:w="455" w:type="pct"/>
                  <w:tcBorders>
                    <w:tl2br w:val="nil"/>
                    <w:tr2bl w:val="nil"/>
                  </w:tcBorders>
                  <w:vAlign w:val="center"/>
                </w:tcPr>
                <w:p>
                  <w:pPr>
                    <w:pStyle w:val="141"/>
                  </w:pPr>
                  <w:r>
                    <w:rPr>
                      <w:rFonts w:hint="eastAsia"/>
                    </w:rPr>
                    <w:t>HW08</w:t>
                  </w:r>
                </w:p>
              </w:tc>
              <w:tc>
                <w:tcPr>
                  <w:tcW w:w="719" w:type="pct"/>
                  <w:tcBorders>
                    <w:tl2br w:val="nil"/>
                    <w:tr2bl w:val="nil"/>
                  </w:tcBorders>
                  <w:vAlign w:val="center"/>
                </w:tcPr>
                <w:p>
                  <w:pPr>
                    <w:pStyle w:val="141"/>
                  </w:pPr>
                  <w:r>
                    <w:rPr>
                      <w:rFonts w:hint="eastAsia"/>
                    </w:rPr>
                    <w:t>900-</w:t>
                  </w:r>
                  <w:r>
                    <w:t>221</w:t>
                  </w:r>
                  <w:r>
                    <w:rPr>
                      <w:rFonts w:hint="eastAsia"/>
                    </w:rPr>
                    <w:t>-</w:t>
                  </w:r>
                  <w:r>
                    <w:t>08</w:t>
                  </w:r>
                </w:p>
              </w:tc>
              <w:tc>
                <w:tcPr>
                  <w:tcW w:w="430" w:type="pct"/>
                  <w:tcBorders>
                    <w:tl2br w:val="nil"/>
                    <w:tr2bl w:val="nil"/>
                  </w:tcBorders>
                  <w:vAlign w:val="center"/>
                </w:tcPr>
                <w:p>
                  <w:pPr>
                    <w:pStyle w:val="141"/>
                  </w:pPr>
                  <w:r>
                    <w:rPr>
                      <w:rFonts w:hint="eastAsia"/>
                    </w:rPr>
                    <w:t>0</w:t>
                  </w:r>
                  <w:r>
                    <w:t>.05</w:t>
                  </w:r>
                </w:p>
              </w:tc>
              <w:tc>
                <w:tcPr>
                  <w:tcW w:w="547" w:type="pct"/>
                  <w:tcBorders>
                    <w:tl2br w:val="nil"/>
                    <w:tr2bl w:val="nil"/>
                  </w:tcBorders>
                  <w:vAlign w:val="center"/>
                </w:tcPr>
                <w:p>
                  <w:pPr>
                    <w:pStyle w:val="141"/>
                  </w:pPr>
                  <w:r>
                    <w:rPr>
                      <w:rFonts w:hint="eastAsia"/>
                    </w:rPr>
                    <w:t>油罐清理</w:t>
                  </w:r>
                </w:p>
              </w:tc>
              <w:tc>
                <w:tcPr>
                  <w:tcW w:w="335" w:type="pct"/>
                  <w:tcBorders>
                    <w:tl2br w:val="nil"/>
                    <w:tr2bl w:val="nil"/>
                  </w:tcBorders>
                  <w:vAlign w:val="center"/>
                </w:tcPr>
                <w:p>
                  <w:pPr>
                    <w:pStyle w:val="141"/>
                  </w:pPr>
                  <w:r>
                    <w:rPr>
                      <w:rFonts w:hint="eastAsia"/>
                    </w:rPr>
                    <w:t>液体</w:t>
                  </w:r>
                </w:p>
              </w:tc>
              <w:tc>
                <w:tcPr>
                  <w:tcW w:w="379" w:type="pct"/>
                  <w:tcBorders>
                    <w:tl2br w:val="nil"/>
                    <w:tr2bl w:val="nil"/>
                  </w:tcBorders>
                  <w:vAlign w:val="center"/>
                </w:tcPr>
                <w:p>
                  <w:pPr>
                    <w:pStyle w:val="141"/>
                  </w:pPr>
                  <w:r>
                    <w:rPr>
                      <w:rFonts w:hint="eastAsia"/>
                    </w:rPr>
                    <w:t>矿物油</w:t>
                  </w:r>
                </w:p>
              </w:tc>
              <w:tc>
                <w:tcPr>
                  <w:tcW w:w="340" w:type="pct"/>
                  <w:tcBorders>
                    <w:tl2br w:val="nil"/>
                    <w:tr2bl w:val="nil"/>
                  </w:tcBorders>
                  <w:vAlign w:val="center"/>
                </w:tcPr>
                <w:p>
                  <w:pPr>
                    <w:pStyle w:val="141"/>
                  </w:pPr>
                  <w:r>
                    <w:rPr>
                      <w:rFonts w:hint="eastAsia"/>
                    </w:rPr>
                    <w:t>矿物油</w:t>
                  </w:r>
                </w:p>
              </w:tc>
              <w:tc>
                <w:tcPr>
                  <w:tcW w:w="413" w:type="pct"/>
                  <w:tcBorders>
                    <w:tl2br w:val="nil"/>
                    <w:tr2bl w:val="nil"/>
                  </w:tcBorders>
                  <w:vAlign w:val="center"/>
                </w:tcPr>
                <w:p>
                  <w:pPr>
                    <w:pStyle w:val="141"/>
                  </w:pPr>
                  <w:r>
                    <w:t>5a</w:t>
                  </w:r>
                  <w:r>
                    <w:rPr>
                      <w:rFonts w:hint="eastAsia"/>
                    </w:rPr>
                    <w:t>/次</w:t>
                  </w:r>
                </w:p>
              </w:tc>
              <w:tc>
                <w:tcPr>
                  <w:tcW w:w="373" w:type="pct"/>
                  <w:tcBorders>
                    <w:tl2br w:val="nil"/>
                    <w:tr2bl w:val="nil"/>
                  </w:tcBorders>
                  <w:vAlign w:val="center"/>
                </w:tcPr>
                <w:p>
                  <w:pPr>
                    <w:pStyle w:val="141"/>
                  </w:pPr>
                  <w:r>
                    <w:rPr>
                      <w:rFonts w:hint="eastAsia"/>
                    </w:rPr>
                    <w:t>T</w:t>
                  </w:r>
                  <w:r>
                    <w:t>/I</w:t>
                  </w:r>
                </w:p>
              </w:tc>
              <w:tc>
                <w:tcPr>
                  <w:tcW w:w="355" w:type="pct"/>
                  <w:vMerge w:val="continue"/>
                  <w:tcBorders>
                    <w:tl2br w:val="nil"/>
                    <w:tr2bl w:val="nil"/>
                  </w:tcBorders>
                  <w:vAlign w:val="center"/>
                </w:tcPr>
                <w:p>
                  <w:pPr>
                    <w:pStyle w:val="141"/>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 w:type="pct"/>
                  <w:tcBorders>
                    <w:tl2br w:val="nil"/>
                    <w:tr2bl w:val="nil"/>
                  </w:tcBorders>
                  <w:vAlign w:val="center"/>
                </w:tcPr>
                <w:p>
                  <w:pPr>
                    <w:pStyle w:val="141"/>
                  </w:pPr>
                  <w:r>
                    <w:rPr>
                      <w:rFonts w:hint="eastAsia"/>
                    </w:rPr>
                    <w:t>3</w:t>
                  </w:r>
                </w:p>
              </w:tc>
              <w:tc>
                <w:tcPr>
                  <w:tcW w:w="410" w:type="pct"/>
                  <w:tcBorders>
                    <w:tl2br w:val="nil"/>
                    <w:tr2bl w:val="nil"/>
                  </w:tcBorders>
                  <w:vAlign w:val="center"/>
                </w:tcPr>
                <w:p>
                  <w:pPr>
                    <w:pStyle w:val="141"/>
                  </w:pPr>
                  <w:r>
                    <w:rPr>
                      <w:rFonts w:hint="eastAsia"/>
                    </w:rPr>
                    <w:t>废含油抹布</w:t>
                  </w:r>
                </w:p>
              </w:tc>
              <w:tc>
                <w:tcPr>
                  <w:tcW w:w="455" w:type="pct"/>
                  <w:tcBorders>
                    <w:tl2br w:val="nil"/>
                    <w:tr2bl w:val="nil"/>
                  </w:tcBorders>
                  <w:vAlign w:val="center"/>
                </w:tcPr>
                <w:p>
                  <w:pPr>
                    <w:pStyle w:val="141"/>
                  </w:pPr>
                  <w:r>
                    <w:rPr>
                      <w:rFonts w:hint="eastAsia"/>
                    </w:rPr>
                    <w:t>HW49</w:t>
                  </w:r>
                </w:p>
              </w:tc>
              <w:tc>
                <w:tcPr>
                  <w:tcW w:w="719" w:type="pct"/>
                  <w:tcBorders>
                    <w:tl2br w:val="nil"/>
                    <w:tr2bl w:val="nil"/>
                  </w:tcBorders>
                  <w:vAlign w:val="center"/>
                </w:tcPr>
                <w:p>
                  <w:pPr>
                    <w:pStyle w:val="141"/>
                  </w:pPr>
                  <w:r>
                    <w:rPr>
                      <w:rFonts w:hint="eastAsia"/>
                    </w:rPr>
                    <w:t>900-</w:t>
                  </w:r>
                  <w:r>
                    <w:t>041</w:t>
                  </w:r>
                  <w:r>
                    <w:rPr>
                      <w:rFonts w:hint="eastAsia"/>
                    </w:rPr>
                    <w:t>-</w:t>
                  </w:r>
                  <w:r>
                    <w:t>49</w:t>
                  </w:r>
                </w:p>
              </w:tc>
              <w:tc>
                <w:tcPr>
                  <w:tcW w:w="430" w:type="pct"/>
                  <w:tcBorders>
                    <w:tl2br w:val="nil"/>
                    <w:tr2bl w:val="nil"/>
                  </w:tcBorders>
                  <w:vAlign w:val="center"/>
                </w:tcPr>
                <w:p>
                  <w:pPr>
                    <w:pStyle w:val="141"/>
                  </w:pPr>
                  <w:r>
                    <w:rPr>
                      <w:rFonts w:hint="eastAsia"/>
                    </w:rPr>
                    <w:t>0</w:t>
                  </w:r>
                  <w:r>
                    <w:t>.01</w:t>
                  </w:r>
                </w:p>
              </w:tc>
              <w:tc>
                <w:tcPr>
                  <w:tcW w:w="547" w:type="pct"/>
                  <w:tcBorders>
                    <w:tl2br w:val="nil"/>
                    <w:tr2bl w:val="nil"/>
                  </w:tcBorders>
                  <w:vAlign w:val="center"/>
                </w:tcPr>
                <w:p>
                  <w:pPr>
                    <w:pStyle w:val="141"/>
                  </w:pPr>
                  <w:r>
                    <w:rPr>
                      <w:rFonts w:hint="eastAsia"/>
                    </w:rPr>
                    <w:t>机械维修</w:t>
                  </w:r>
                </w:p>
              </w:tc>
              <w:tc>
                <w:tcPr>
                  <w:tcW w:w="335" w:type="pct"/>
                  <w:tcBorders>
                    <w:tl2br w:val="nil"/>
                    <w:tr2bl w:val="nil"/>
                  </w:tcBorders>
                  <w:vAlign w:val="center"/>
                </w:tcPr>
                <w:p>
                  <w:pPr>
                    <w:pStyle w:val="141"/>
                  </w:pPr>
                  <w:r>
                    <w:rPr>
                      <w:rFonts w:hint="eastAsia"/>
                    </w:rPr>
                    <w:t>固体</w:t>
                  </w:r>
                </w:p>
              </w:tc>
              <w:tc>
                <w:tcPr>
                  <w:tcW w:w="379" w:type="pct"/>
                  <w:tcBorders>
                    <w:tl2br w:val="nil"/>
                    <w:tr2bl w:val="nil"/>
                  </w:tcBorders>
                  <w:vAlign w:val="center"/>
                </w:tcPr>
                <w:p>
                  <w:pPr>
                    <w:pStyle w:val="141"/>
                  </w:pPr>
                  <w:r>
                    <w:rPr>
                      <w:rFonts w:hint="eastAsia"/>
                    </w:rPr>
                    <w:t>机油</w:t>
                  </w:r>
                </w:p>
              </w:tc>
              <w:tc>
                <w:tcPr>
                  <w:tcW w:w="340" w:type="pct"/>
                  <w:tcBorders>
                    <w:tl2br w:val="nil"/>
                    <w:tr2bl w:val="nil"/>
                  </w:tcBorders>
                  <w:vAlign w:val="center"/>
                </w:tcPr>
                <w:p>
                  <w:pPr>
                    <w:pStyle w:val="141"/>
                  </w:pPr>
                  <w:r>
                    <w:rPr>
                      <w:rFonts w:hint="eastAsia"/>
                    </w:rPr>
                    <w:t>机油</w:t>
                  </w:r>
                </w:p>
              </w:tc>
              <w:tc>
                <w:tcPr>
                  <w:tcW w:w="413" w:type="pct"/>
                  <w:tcBorders>
                    <w:tl2br w:val="nil"/>
                    <w:tr2bl w:val="nil"/>
                  </w:tcBorders>
                  <w:vAlign w:val="center"/>
                </w:tcPr>
                <w:p>
                  <w:pPr>
                    <w:pStyle w:val="141"/>
                  </w:pPr>
                  <w:r>
                    <w:t>/</w:t>
                  </w:r>
                </w:p>
              </w:tc>
              <w:tc>
                <w:tcPr>
                  <w:tcW w:w="373" w:type="pct"/>
                  <w:tcBorders>
                    <w:tl2br w:val="nil"/>
                    <w:tr2bl w:val="nil"/>
                  </w:tcBorders>
                  <w:vAlign w:val="center"/>
                </w:tcPr>
                <w:p>
                  <w:pPr>
                    <w:pStyle w:val="141"/>
                  </w:pPr>
                  <w:r>
                    <w:rPr>
                      <w:rFonts w:hint="eastAsia"/>
                    </w:rPr>
                    <w:t>T</w:t>
                  </w:r>
                  <w:r>
                    <w:t>/In</w:t>
                  </w:r>
                </w:p>
              </w:tc>
              <w:tc>
                <w:tcPr>
                  <w:tcW w:w="355" w:type="pct"/>
                  <w:vMerge w:val="continue"/>
                  <w:tcBorders>
                    <w:tl2br w:val="nil"/>
                    <w:tr2bl w:val="nil"/>
                  </w:tcBorders>
                  <w:vAlign w:val="center"/>
                </w:tcPr>
                <w:p>
                  <w:pPr>
                    <w:pStyle w:val="141"/>
                  </w:pPr>
                </w:p>
              </w:tc>
            </w:tr>
          </w:tbl>
          <w:p>
            <w:pPr>
              <w:pStyle w:val="148"/>
            </w:pPr>
            <w:r>
              <w:rPr>
                <w:rFonts w:hint="eastAsia"/>
              </w:rPr>
              <w:t>注：危险特性，包括腐蚀性（Corrosivity, C）、毒性（Toxicity,T）、易燃性（Ignitability, I）、反应性（Reactivity, R）和感染性（Infectivity,In）。</w:t>
            </w:r>
          </w:p>
          <w:p>
            <w:pPr>
              <w:pStyle w:val="29"/>
              <w:spacing w:after="0" w:line="360" w:lineRule="auto"/>
              <w:ind w:firstLine="480" w:firstLineChars="200"/>
              <w:rPr>
                <w:sz w:val="24"/>
                <w:lang w:bidi="zh-CN"/>
              </w:rPr>
            </w:pPr>
          </w:p>
        </w:tc>
      </w:tr>
    </w:tbl>
    <w:p>
      <w:pPr>
        <w:spacing w:before="100" w:beforeAutospacing="1" w:line="240" w:lineRule="auto"/>
        <w:outlineLvl w:val="0"/>
        <w:rPr>
          <w:b/>
          <w:sz w:val="30"/>
        </w:rPr>
      </w:pPr>
      <w:bookmarkStart w:id="32" w:name="_Toc24336"/>
      <w:r>
        <w:rPr>
          <w:rFonts w:hAnsi="宋体"/>
          <w:b/>
          <w:sz w:val="30"/>
        </w:rPr>
        <w:t>项目主要污染物产生及预计排放情况</w:t>
      </w:r>
      <w:bookmarkEnd w:id="32"/>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798"/>
        <w:gridCol w:w="1849"/>
        <w:gridCol w:w="1387"/>
        <w:gridCol w:w="2235"/>
        <w:gridCol w:w="22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tcBorders>
              <w:tl2br w:val="nil"/>
              <w:tr2bl w:val="nil"/>
            </w:tcBorders>
            <w:vAlign w:val="center"/>
          </w:tcPr>
          <w:p>
            <w:pPr>
              <w:pStyle w:val="141"/>
            </w:pPr>
            <w:r>
              <w:t>内容</w:t>
            </w:r>
          </w:p>
          <w:p>
            <w:pPr>
              <w:pStyle w:val="141"/>
            </w:pPr>
          </w:p>
          <w:p>
            <w:pPr>
              <w:pStyle w:val="141"/>
            </w:pPr>
            <w:r>
              <w:t>类型</w:t>
            </w:r>
          </w:p>
        </w:tc>
        <w:tc>
          <w:tcPr>
            <w:tcW w:w="1443" w:type="pct"/>
            <w:gridSpan w:val="2"/>
            <w:tcBorders>
              <w:tl2br w:val="nil"/>
              <w:tr2bl w:val="nil"/>
            </w:tcBorders>
            <w:vAlign w:val="center"/>
          </w:tcPr>
          <w:p>
            <w:pPr>
              <w:pStyle w:val="141"/>
            </w:pPr>
            <w:r>
              <w:t>排放源</w:t>
            </w:r>
          </w:p>
          <w:p>
            <w:pPr>
              <w:pStyle w:val="141"/>
            </w:pPr>
            <w:r>
              <w:t>（编号）</w:t>
            </w:r>
          </w:p>
        </w:tc>
        <w:tc>
          <w:tcPr>
            <w:tcW w:w="756" w:type="pct"/>
            <w:tcBorders>
              <w:tl2br w:val="nil"/>
              <w:tr2bl w:val="nil"/>
            </w:tcBorders>
            <w:vAlign w:val="center"/>
          </w:tcPr>
          <w:p>
            <w:pPr>
              <w:pStyle w:val="141"/>
            </w:pPr>
            <w:r>
              <w:t>污染物</w:t>
            </w:r>
          </w:p>
          <w:p>
            <w:pPr>
              <w:pStyle w:val="141"/>
            </w:pPr>
            <w:r>
              <w:t>名  称</w:t>
            </w:r>
          </w:p>
        </w:tc>
        <w:tc>
          <w:tcPr>
            <w:tcW w:w="1218" w:type="pct"/>
            <w:tcBorders>
              <w:tl2br w:val="nil"/>
              <w:tr2bl w:val="nil"/>
            </w:tcBorders>
            <w:vAlign w:val="center"/>
          </w:tcPr>
          <w:p>
            <w:pPr>
              <w:pStyle w:val="141"/>
            </w:pPr>
            <w:r>
              <w:t>处理前产生浓度及产生量（单位）</w:t>
            </w:r>
          </w:p>
        </w:tc>
        <w:tc>
          <w:tcPr>
            <w:tcW w:w="1233" w:type="pct"/>
            <w:tcBorders>
              <w:tl2br w:val="nil"/>
              <w:tr2bl w:val="nil"/>
            </w:tcBorders>
            <w:vAlign w:val="center"/>
          </w:tcPr>
          <w:p>
            <w:pPr>
              <w:pStyle w:val="141"/>
            </w:pPr>
            <w:r>
              <w:t>排放浓度及排放量（单位）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restart"/>
            <w:tcBorders>
              <w:tl2br w:val="nil"/>
              <w:tr2bl w:val="nil"/>
            </w:tcBorders>
            <w:vAlign w:val="center"/>
          </w:tcPr>
          <w:p>
            <w:pPr>
              <w:pStyle w:val="141"/>
            </w:pPr>
            <w:r>
              <w:t>大</w:t>
            </w:r>
          </w:p>
          <w:p>
            <w:pPr>
              <w:pStyle w:val="141"/>
            </w:pPr>
            <w:r>
              <w:t>气</w:t>
            </w:r>
          </w:p>
          <w:p>
            <w:pPr>
              <w:pStyle w:val="141"/>
            </w:pPr>
            <w:r>
              <w:t>污</w:t>
            </w:r>
          </w:p>
          <w:p>
            <w:pPr>
              <w:pStyle w:val="141"/>
            </w:pPr>
            <w:r>
              <w:t>染</w:t>
            </w:r>
          </w:p>
          <w:p>
            <w:pPr>
              <w:pStyle w:val="141"/>
            </w:pPr>
            <w:r>
              <w:t>物</w:t>
            </w:r>
          </w:p>
        </w:tc>
        <w:tc>
          <w:tcPr>
            <w:tcW w:w="435" w:type="pct"/>
            <w:vMerge w:val="restart"/>
            <w:tcBorders>
              <w:tl2br w:val="nil"/>
              <w:tr2bl w:val="nil"/>
            </w:tcBorders>
            <w:vAlign w:val="center"/>
          </w:tcPr>
          <w:p>
            <w:pPr>
              <w:pStyle w:val="141"/>
            </w:pPr>
            <w:r>
              <w:t>施工期</w:t>
            </w:r>
          </w:p>
        </w:tc>
        <w:tc>
          <w:tcPr>
            <w:tcW w:w="1008" w:type="pct"/>
            <w:tcBorders>
              <w:tl2br w:val="nil"/>
              <w:tr2bl w:val="nil"/>
            </w:tcBorders>
            <w:vAlign w:val="center"/>
          </w:tcPr>
          <w:p>
            <w:pPr>
              <w:pStyle w:val="141"/>
            </w:pPr>
            <w:r>
              <w:t>大气扬尘</w:t>
            </w:r>
          </w:p>
        </w:tc>
        <w:tc>
          <w:tcPr>
            <w:tcW w:w="756" w:type="pct"/>
            <w:tcBorders>
              <w:tl2br w:val="nil"/>
              <w:tr2bl w:val="nil"/>
            </w:tcBorders>
            <w:shd w:val="clear" w:color="auto" w:fill="auto"/>
            <w:vAlign w:val="center"/>
          </w:tcPr>
          <w:p>
            <w:pPr>
              <w:pStyle w:val="141"/>
            </w:pPr>
            <w:r>
              <w:t>总悬浮颗粒物</w:t>
            </w:r>
          </w:p>
        </w:tc>
        <w:tc>
          <w:tcPr>
            <w:tcW w:w="1218" w:type="pct"/>
            <w:tcBorders>
              <w:tl2br w:val="nil"/>
              <w:tr2bl w:val="nil"/>
            </w:tcBorders>
            <w:shd w:val="clear" w:color="auto" w:fill="auto"/>
            <w:vAlign w:val="center"/>
          </w:tcPr>
          <w:p>
            <w:pPr>
              <w:pStyle w:val="141"/>
            </w:pPr>
            <w:r>
              <w:rPr>
                <w:rFonts w:hint="eastAsia"/>
              </w:rPr>
              <w:t>扬尘强度：0.1mg/m</w:t>
            </w:r>
            <w:r>
              <w:rPr>
                <w:rFonts w:hint="eastAsia"/>
                <w:vertAlign w:val="superscript"/>
              </w:rPr>
              <w:t>2</w:t>
            </w:r>
            <w:r>
              <w:rPr>
                <w:rFonts w:hint="eastAsia"/>
              </w:rPr>
              <w:t>·s</w:t>
            </w:r>
          </w:p>
          <w:p>
            <w:pPr>
              <w:pStyle w:val="141"/>
            </w:pPr>
            <w:r>
              <w:rPr>
                <w:rFonts w:hint="eastAsia"/>
              </w:rPr>
              <w:t>产生量：3.18kg/d</w:t>
            </w:r>
          </w:p>
        </w:tc>
        <w:tc>
          <w:tcPr>
            <w:tcW w:w="1233" w:type="pct"/>
            <w:tcBorders>
              <w:tl2br w:val="nil"/>
              <w:tr2bl w:val="nil"/>
            </w:tcBorders>
            <w:shd w:val="clear" w:color="auto" w:fill="auto"/>
            <w:vAlign w:val="center"/>
          </w:tcPr>
          <w:p>
            <w:pPr>
              <w:pStyle w:val="141"/>
            </w:pPr>
            <w:r>
              <w:rPr>
                <w:rFonts w:hint="eastAsia"/>
              </w:rPr>
              <w:t>扬尘强度：0.1mg/m</w:t>
            </w:r>
            <w:r>
              <w:rPr>
                <w:rFonts w:hint="eastAsia"/>
                <w:vertAlign w:val="superscript"/>
              </w:rPr>
              <w:t>2</w:t>
            </w:r>
            <w:r>
              <w:rPr>
                <w:rFonts w:hint="eastAsia"/>
              </w:rPr>
              <w:t>·s</w:t>
            </w:r>
          </w:p>
          <w:p>
            <w:pPr>
              <w:pStyle w:val="141"/>
            </w:pPr>
            <w:r>
              <w:rPr>
                <w:rFonts w:hint="eastAsia"/>
              </w:rPr>
              <w:t>产生量：3.18kg/d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vAlign w:val="center"/>
          </w:tcPr>
          <w:p>
            <w:pPr>
              <w:pStyle w:val="141"/>
            </w:pPr>
          </w:p>
        </w:tc>
        <w:tc>
          <w:tcPr>
            <w:tcW w:w="435" w:type="pct"/>
            <w:vMerge w:val="continue"/>
            <w:tcBorders>
              <w:tl2br w:val="nil"/>
              <w:tr2bl w:val="nil"/>
            </w:tcBorders>
            <w:vAlign w:val="center"/>
          </w:tcPr>
          <w:p>
            <w:pPr>
              <w:pStyle w:val="141"/>
            </w:pPr>
          </w:p>
        </w:tc>
        <w:tc>
          <w:tcPr>
            <w:tcW w:w="1008" w:type="pct"/>
            <w:tcBorders>
              <w:tl2br w:val="nil"/>
              <w:tr2bl w:val="nil"/>
            </w:tcBorders>
            <w:vAlign w:val="center"/>
          </w:tcPr>
          <w:p>
            <w:pPr>
              <w:pStyle w:val="141"/>
            </w:pPr>
            <w:r>
              <w:t>机械燃油</w:t>
            </w:r>
            <w:r>
              <w:rPr>
                <w:rFonts w:hint="eastAsia"/>
              </w:rPr>
              <w:t>废气</w:t>
            </w:r>
          </w:p>
        </w:tc>
        <w:tc>
          <w:tcPr>
            <w:tcW w:w="756" w:type="pct"/>
            <w:tcBorders>
              <w:tl2br w:val="nil"/>
              <w:tr2bl w:val="nil"/>
            </w:tcBorders>
            <w:shd w:val="clear" w:color="auto" w:fill="auto"/>
            <w:vAlign w:val="center"/>
          </w:tcPr>
          <w:p>
            <w:pPr>
              <w:pStyle w:val="141"/>
            </w:pPr>
            <w:r>
              <w:rPr>
                <w:rFonts w:hint="eastAsia"/>
              </w:rPr>
              <w:t>NOx、碳氢化合物、CO 等</w:t>
            </w:r>
          </w:p>
        </w:tc>
        <w:tc>
          <w:tcPr>
            <w:tcW w:w="1218" w:type="pct"/>
            <w:tcBorders>
              <w:tl2br w:val="nil"/>
              <w:tr2bl w:val="nil"/>
            </w:tcBorders>
            <w:shd w:val="clear" w:color="auto" w:fill="auto"/>
            <w:vAlign w:val="center"/>
          </w:tcPr>
          <w:p>
            <w:pPr>
              <w:pStyle w:val="141"/>
            </w:pPr>
            <w:r>
              <w:t>少量</w:t>
            </w:r>
          </w:p>
        </w:tc>
        <w:tc>
          <w:tcPr>
            <w:tcW w:w="1233" w:type="pct"/>
            <w:tcBorders>
              <w:tl2br w:val="nil"/>
              <w:tr2bl w:val="nil"/>
            </w:tcBorders>
            <w:shd w:val="clear" w:color="auto" w:fill="auto"/>
            <w:vAlign w:val="center"/>
          </w:tcPr>
          <w:p>
            <w:pPr>
              <w:pStyle w:val="141"/>
            </w:pPr>
            <w:r>
              <w:t>少量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vAlign w:val="center"/>
          </w:tcPr>
          <w:p>
            <w:pPr>
              <w:pStyle w:val="141"/>
            </w:pPr>
          </w:p>
        </w:tc>
        <w:tc>
          <w:tcPr>
            <w:tcW w:w="435" w:type="pct"/>
            <w:vMerge w:val="continue"/>
            <w:tcBorders>
              <w:tl2br w:val="nil"/>
              <w:tr2bl w:val="nil"/>
            </w:tcBorders>
            <w:vAlign w:val="center"/>
          </w:tcPr>
          <w:p>
            <w:pPr>
              <w:pStyle w:val="141"/>
            </w:pPr>
          </w:p>
        </w:tc>
        <w:tc>
          <w:tcPr>
            <w:tcW w:w="1008" w:type="pct"/>
            <w:tcBorders>
              <w:tl2br w:val="nil"/>
              <w:tr2bl w:val="nil"/>
            </w:tcBorders>
            <w:vAlign w:val="center"/>
          </w:tcPr>
          <w:p>
            <w:pPr>
              <w:pStyle w:val="141"/>
            </w:pPr>
            <w:r>
              <w:rPr>
                <w:rFonts w:hint="eastAsia"/>
              </w:rPr>
              <w:t>装修材料</w:t>
            </w:r>
          </w:p>
        </w:tc>
        <w:tc>
          <w:tcPr>
            <w:tcW w:w="756" w:type="pct"/>
            <w:tcBorders>
              <w:tl2br w:val="nil"/>
              <w:tr2bl w:val="nil"/>
            </w:tcBorders>
            <w:shd w:val="clear" w:color="auto" w:fill="auto"/>
            <w:vAlign w:val="center"/>
          </w:tcPr>
          <w:p>
            <w:pPr>
              <w:pStyle w:val="141"/>
            </w:pPr>
            <w:r>
              <w:rPr>
                <w:rFonts w:hint="eastAsia"/>
              </w:rPr>
              <w:t>挥发性有机化合物（VOC）</w:t>
            </w:r>
          </w:p>
        </w:tc>
        <w:tc>
          <w:tcPr>
            <w:tcW w:w="1218" w:type="pct"/>
            <w:tcBorders>
              <w:tl2br w:val="nil"/>
              <w:tr2bl w:val="nil"/>
            </w:tcBorders>
            <w:shd w:val="clear" w:color="auto" w:fill="auto"/>
            <w:vAlign w:val="center"/>
          </w:tcPr>
          <w:p>
            <w:pPr>
              <w:pStyle w:val="141"/>
            </w:pPr>
            <w:r>
              <w:t>少量</w:t>
            </w:r>
          </w:p>
        </w:tc>
        <w:tc>
          <w:tcPr>
            <w:tcW w:w="1233" w:type="pct"/>
            <w:tcBorders>
              <w:tl2br w:val="nil"/>
              <w:tr2bl w:val="nil"/>
            </w:tcBorders>
            <w:shd w:val="clear" w:color="auto" w:fill="auto"/>
            <w:vAlign w:val="center"/>
          </w:tcPr>
          <w:p>
            <w:pPr>
              <w:pStyle w:val="141"/>
            </w:pPr>
            <w:r>
              <w:t>少量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vAlign w:val="center"/>
          </w:tcPr>
          <w:p>
            <w:pPr>
              <w:pStyle w:val="141"/>
            </w:pPr>
          </w:p>
        </w:tc>
        <w:tc>
          <w:tcPr>
            <w:tcW w:w="435" w:type="pct"/>
            <w:vMerge w:val="restart"/>
            <w:tcBorders>
              <w:tl2br w:val="nil"/>
              <w:tr2bl w:val="nil"/>
            </w:tcBorders>
            <w:vAlign w:val="center"/>
          </w:tcPr>
          <w:p>
            <w:pPr>
              <w:pStyle w:val="141"/>
            </w:pPr>
            <w:r>
              <w:rPr>
                <w:rFonts w:hint="eastAsia"/>
              </w:rPr>
              <w:t>营运期</w:t>
            </w:r>
          </w:p>
        </w:tc>
        <w:tc>
          <w:tcPr>
            <w:tcW w:w="1008" w:type="pct"/>
            <w:tcBorders>
              <w:tl2br w:val="nil"/>
              <w:tr2bl w:val="nil"/>
            </w:tcBorders>
            <w:vAlign w:val="center"/>
          </w:tcPr>
          <w:p>
            <w:pPr>
              <w:pStyle w:val="141"/>
            </w:pPr>
            <w:r>
              <w:rPr>
                <w:rFonts w:hint="eastAsia"/>
              </w:rPr>
              <w:t>油气</w:t>
            </w:r>
          </w:p>
        </w:tc>
        <w:tc>
          <w:tcPr>
            <w:tcW w:w="756" w:type="pct"/>
            <w:tcBorders>
              <w:tl2br w:val="nil"/>
              <w:tr2bl w:val="nil"/>
            </w:tcBorders>
            <w:shd w:val="clear" w:color="auto" w:fill="auto"/>
            <w:vAlign w:val="center"/>
          </w:tcPr>
          <w:p>
            <w:pPr>
              <w:pStyle w:val="141"/>
            </w:pPr>
            <w:r>
              <w:t>非甲烷</w:t>
            </w:r>
            <w:r>
              <w:rPr>
                <w:rFonts w:hint="eastAsia"/>
              </w:rPr>
              <w:t>总烃</w:t>
            </w:r>
          </w:p>
        </w:tc>
        <w:tc>
          <w:tcPr>
            <w:tcW w:w="1218" w:type="pct"/>
            <w:tcBorders>
              <w:tl2br w:val="nil"/>
              <w:tr2bl w:val="nil"/>
            </w:tcBorders>
            <w:shd w:val="clear" w:color="auto" w:fill="auto"/>
            <w:vAlign w:val="center"/>
          </w:tcPr>
          <w:p>
            <w:pPr>
              <w:pStyle w:val="141"/>
            </w:pPr>
            <w:r>
              <w:t>662.91</w:t>
            </w:r>
            <w:r>
              <w:rPr>
                <w:rFonts w:hint="eastAsia"/>
              </w:rPr>
              <w:t>k</w:t>
            </w:r>
            <w:r>
              <w:t>g/a</w:t>
            </w:r>
          </w:p>
        </w:tc>
        <w:tc>
          <w:tcPr>
            <w:tcW w:w="1233" w:type="pct"/>
            <w:tcBorders>
              <w:tl2br w:val="nil"/>
              <w:tr2bl w:val="nil"/>
            </w:tcBorders>
            <w:shd w:val="clear" w:color="auto" w:fill="auto"/>
            <w:vAlign w:val="center"/>
          </w:tcPr>
          <w:p>
            <w:pPr>
              <w:pStyle w:val="141"/>
            </w:pPr>
            <w:r>
              <w:t>33.14</w:t>
            </w:r>
            <w:r>
              <w:rPr>
                <w:rFonts w:hint="eastAsia"/>
              </w:rPr>
              <w:t>k</w:t>
            </w:r>
            <w:r>
              <w:t>g/a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vAlign w:val="center"/>
          </w:tcPr>
          <w:p>
            <w:pPr>
              <w:pStyle w:val="141"/>
            </w:pPr>
          </w:p>
        </w:tc>
        <w:tc>
          <w:tcPr>
            <w:tcW w:w="435" w:type="pct"/>
            <w:vMerge w:val="continue"/>
            <w:tcBorders>
              <w:tl2br w:val="nil"/>
              <w:tr2bl w:val="nil"/>
            </w:tcBorders>
            <w:vAlign w:val="center"/>
          </w:tcPr>
          <w:p>
            <w:pPr>
              <w:pStyle w:val="141"/>
            </w:pPr>
          </w:p>
        </w:tc>
        <w:tc>
          <w:tcPr>
            <w:tcW w:w="1008" w:type="pct"/>
            <w:tcBorders>
              <w:tl2br w:val="nil"/>
              <w:tr2bl w:val="nil"/>
            </w:tcBorders>
            <w:vAlign w:val="center"/>
          </w:tcPr>
          <w:p>
            <w:pPr>
              <w:pStyle w:val="141"/>
            </w:pPr>
            <w:r>
              <w:t>车辆尾气</w:t>
            </w:r>
          </w:p>
        </w:tc>
        <w:tc>
          <w:tcPr>
            <w:tcW w:w="756" w:type="pct"/>
            <w:tcBorders>
              <w:tl2br w:val="nil"/>
              <w:tr2bl w:val="nil"/>
            </w:tcBorders>
            <w:shd w:val="clear" w:color="auto" w:fill="auto"/>
            <w:vAlign w:val="center"/>
          </w:tcPr>
          <w:p>
            <w:pPr>
              <w:pStyle w:val="141"/>
            </w:pPr>
            <w:r>
              <w:rPr>
                <w:rFonts w:hint="eastAsia"/>
              </w:rPr>
              <w:t>N</w:t>
            </w:r>
            <w:r>
              <w:t>Ox，</w:t>
            </w:r>
            <w:r>
              <w:rPr>
                <w:rFonts w:hint="eastAsia"/>
              </w:rPr>
              <w:t>碳氢化合物、</w:t>
            </w:r>
            <w:r>
              <w:t>CO等</w:t>
            </w:r>
          </w:p>
        </w:tc>
        <w:tc>
          <w:tcPr>
            <w:tcW w:w="1218" w:type="pct"/>
            <w:tcBorders>
              <w:tl2br w:val="nil"/>
              <w:tr2bl w:val="nil"/>
            </w:tcBorders>
            <w:shd w:val="clear" w:color="auto" w:fill="auto"/>
            <w:vAlign w:val="center"/>
          </w:tcPr>
          <w:p>
            <w:pPr>
              <w:pStyle w:val="141"/>
            </w:pPr>
            <w:r>
              <w:t>少量</w:t>
            </w:r>
          </w:p>
        </w:tc>
        <w:tc>
          <w:tcPr>
            <w:tcW w:w="1233" w:type="pct"/>
            <w:tcBorders>
              <w:tl2br w:val="nil"/>
              <w:tr2bl w:val="nil"/>
            </w:tcBorders>
            <w:shd w:val="clear" w:color="auto" w:fill="auto"/>
            <w:vAlign w:val="center"/>
          </w:tcPr>
          <w:p>
            <w:pPr>
              <w:pStyle w:val="141"/>
            </w:pPr>
            <w:r>
              <w:t>少量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vAlign w:val="center"/>
          </w:tcPr>
          <w:p>
            <w:pPr>
              <w:pStyle w:val="141"/>
            </w:pPr>
          </w:p>
        </w:tc>
        <w:tc>
          <w:tcPr>
            <w:tcW w:w="435" w:type="pct"/>
            <w:vMerge w:val="continue"/>
            <w:tcBorders>
              <w:tl2br w:val="nil"/>
              <w:tr2bl w:val="nil"/>
            </w:tcBorders>
            <w:vAlign w:val="center"/>
          </w:tcPr>
          <w:p>
            <w:pPr>
              <w:pStyle w:val="141"/>
            </w:pPr>
          </w:p>
        </w:tc>
        <w:tc>
          <w:tcPr>
            <w:tcW w:w="1008" w:type="pct"/>
            <w:vMerge w:val="restart"/>
            <w:tcBorders>
              <w:tl2br w:val="nil"/>
              <w:tr2bl w:val="nil"/>
            </w:tcBorders>
            <w:vAlign w:val="center"/>
          </w:tcPr>
          <w:p>
            <w:pPr>
              <w:pStyle w:val="141"/>
            </w:pPr>
            <w:r>
              <w:t>备用发电机尾气</w:t>
            </w:r>
          </w:p>
        </w:tc>
        <w:tc>
          <w:tcPr>
            <w:tcW w:w="756" w:type="pct"/>
            <w:tcBorders>
              <w:tl2br w:val="nil"/>
              <w:tr2bl w:val="nil"/>
            </w:tcBorders>
            <w:shd w:val="clear" w:color="auto" w:fill="auto"/>
            <w:vAlign w:val="center"/>
          </w:tcPr>
          <w:p>
            <w:pPr>
              <w:pStyle w:val="141"/>
            </w:pPr>
            <w:r>
              <w:rPr>
                <w:rFonts w:hint="eastAsia"/>
              </w:rPr>
              <w:t>S</w:t>
            </w:r>
            <w:r>
              <w:t>O</w:t>
            </w:r>
            <w:r>
              <w:rPr>
                <w:vertAlign w:val="subscript"/>
              </w:rPr>
              <w:t>2</w:t>
            </w:r>
          </w:p>
        </w:tc>
        <w:tc>
          <w:tcPr>
            <w:tcW w:w="1218" w:type="pct"/>
            <w:tcBorders>
              <w:tl2br w:val="nil"/>
              <w:tr2bl w:val="nil"/>
            </w:tcBorders>
            <w:shd w:val="clear" w:color="auto" w:fill="auto"/>
            <w:vAlign w:val="center"/>
          </w:tcPr>
          <w:p>
            <w:pPr>
              <w:pStyle w:val="141"/>
            </w:pPr>
            <w:r>
              <w:rPr>
                <w:rFonts w:hint="eastAsia"/>
              </w:rPr>
              <w:t>0.67</w:t>
            </w:r>
            <w:r>
              <w:t>mg/m</w:t>
            </w:r>
            <w:r>
              <w:rPr>
                <w:vertAlign w:val="superscript"/>
              </w:rPr>
              <w:t>3</w:t>
            </w:r>
            <w:r>
              <w:rPr>
                <w:rFonts w:hint="eastAsia"/>
              </w:rPr>
              <w:t>，0.0015kg</w:t>
            </w:r>
            <w:r>
              <w:t>/a</w:t>
            </w:r>
          </w:p>
        </w:tc>
        <w:tc>
          <w:tcPr>
            <w:tcW w:w="1233" w:type="pct"/>
            <w:tcBorders>
              <w:tl2br w:val="nil"/>
              <w:tr2bl w:val="nil"/>
            </w:tcBorders>
            <w:shd w:val="clear" w:color="auto" w:fill="auto"/>
            <w:vAlign w:val="center"/>
          </w:tcPr>
          <w:p>
            <w:pPr>
              <w:pStyle w:val="141"/>
            </w:pPr>
            <w:r>
              <w:rPr>
                <w:rFonts w:hint="eastAsia"/>
              </w:rPr>
              <w:t>0.67</w:t>
            </w:r>
            <w:r>
              <w:t>mg/m</w:t>
            </w:r>
            <w:r>
              <w:rPr>
                <w:vertAlign w:val="superscript"/>
              </w:rPr>
              <w:t>3</w:t>
            </w:r>
            <w:r>
              <w:rPr>
                <w:rFonts w:hint="eastAsia"/>
              </w:rPr>
              <w:t>，0.0015kg</w:t>
            </w:r>
            <w: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vAlign w:val="center"/>
          </w:tcPr>
          <w:p>
            <w:pPr>
              <w:pStyle w:val="141"/>
            </w:pPr>
          </w:p>
        </w:tc>
        <w:tc>
          <w:tcPr>
            <w:tcW w:w="435" w:type="pct"/>
            <w:vMerge w:val="continue"/>
            <w:tcBorders>
              <w:tl2br w:val="nil"/>
              <w:tr2bl w:val="nil"/>
            </w:tcBorders>
            <w:vAlign w:val="center"/>
          </w:tcPr>
          <w:p>
            <w:pPr>
              <w:pStyle w:val="141"/>
            </w:pPr>
          </w:p>
        </w:tc>
        <w:tc>
          <w:tcPr>
            <w:tcW w:w="1008" w:type="pct"/>
            <w:vMerge w:val="continue"/>
            <w:tcBorders>
              <w:tl2br w:val="nil"/>
              <w:tr2bl w:val="nil"/>
            </w:tcBorders>
            <w:vAlign w:val="center"/>
          </w:tcPr>
          <w:p>
            <w:pPr>
              <w:pStyle w:val="141"/>
            </w:pPr>
          </w:p>
        </w:tc>
        <w:tc>
          <w:tcPr>
            <w:tcW w:w="756" w:type="pct"/>
            <w:tcBorders>
              <w:tl2br w:val="nil"/>
              <w:tr2bl w:val="nil"/>
            </w:tcBorders>
            <w:shd w:val="clear" w:color="auto" w:fill="auto"/>
            <w:vAlign w:val="center"/>
          </w:tcPr>
          <w:p>
            <w:pPr>
              <w:pStyle w:val="141"/>
            </w:pPr>
            <w:r>
              <w:rPr>
                <w:rFonts w:hint="eastAsia"/>
              </w:rPr>
              <w:t>N</w:t>
            </w:r>
            <w:r>
              <w:t>O</w:t>
            </w:r>
            <w:r>
              <w:rPr>
                <w:vertAlign w:val="subscript"/>
              </w:rPr>
              <w:t>X</w:t>
            </w:r>
          </w:p>
        </w:tc>
        <w:tc>
          <w:tcPr>
            <w:tcW w:w="1218" w:type="pct"/>
            <w:tcBorders>
              <w:tl2br w:val="nil"/>
              <w:tr2bl w:val="nil"/>
            </w:tcBorders>
            <w:shd w:val="clear" w:color="auto" w:fill="auto"/>
            <w:vAlign w:val="center"/>
          </w:tcPr>
          <w:p>
            <w:pPr>
              <w:pStyle w:val="141"/>
            </w:pPr>
            <w:r>
              <w:rPr>
                <w:rFonts w:hint="eastAsia"/>
              </w:rPr>
              <w:t>43.33</w:t>
            </w:r>
            <w:r>
              <w:t>mg/m</w:t>
            </w:r>
            <w:r>
              <w:rPr>
                <w:vertAlign w:val="superscript"/>
              </w:rPr>
              <w:t>3</w:t>
            </w:r>
            <w:r>
              <w:rPr>
                <w:rFonts w:hint="eastAsia"/>
              </w:rPr>
              <w:t>，0.0975kg</w:t>
            </w:r>
            <w:r>
              <w:t>/a</w:t>
            </w:r>
          </w:p>
        </w:tc>
        <w:tc>
          <w:tcPr>
            <w:tcW w:w="1233" w:type="pct"/>
            <w:tcBorders>
              <w:tl2br w:val="nil"/>
              <w:tr2bl w:val="nil"/>
            </w:tcBorders>
            <w:shd w:val="clear" w:color="auto" w:fill="auto"/>
            <w:vAlign w:val="center"/>
          </w:tcPr>
          <w:p>
            <w:pPr>
              <w:pStyle w:val="141"/>
            </w:pPr>
            <w:r>
              <w:rPr>
                <w:rFonts w:hint="eastAsia"/>
              </w:rPr>
              <w:t>43.33</w:t>
            </w:r>
            <w:r>
              <w:t>mg/m</w:t>
            </w:r>
            <w:r>
              <w:rPr>
                <w:vertAlign w:val="superscript"/>
              </w:rPr>
              <w:t>3</w:t>
            </w:r>
            <w:r>
              <w:rPr>
                <w:rFonts w:hint="eastAsia"/>
              </w:rPr>
              <w:t>，0.0975kg</w:t>
            </w:r>
            <w: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vAlign w:val="center"/>
          </w:tcPr>
          <w:p>
            <w:pPr>
              <w:pStyle w:val="141"/>
            </w:pPr>
          </w:p>
        </w:tc>
        <w:tc>
          <w:tcPr>
            <w:tcW w:w="435" w:type="pct"/>
            <w:vMerge w:val="continue"/>
            <w:tcBorders>
              <w:tl2br w:val="nil"/>
              <w:tr2bl w:val="nil"/>
            </w:tcBorders>
            <w:vAlign w:val="center"/>
          </w:tcPr>
          <w:p>
            <w:pPr>
              <w:pStyle w:val="141"/>
              <w:rPr>
                <w:bCs/>
              </w:rPr>
            </w:pPr>
          </w:p>
        </w:tc>
        <w:tc>
          <w:tcPr>
            <w:tcW w:w="1008" w:type="pct"/>
            <w:vMerge w:val="continue"/>
            <w:tcBorders>
              <w:tl2br w:val="nil"/>
              <w:tr2bl w:val="nil"/>
            </w:tcBorders>
            <w:vAlign w:val="center"/>
          </w:tcPr>
          <w:p>
            <w:pPr>
              <w:pStyle w:val="141"/>
              <w:rPr>
                <w:bCs/>
              </w:rPr>
            </w:pPr>
          </w:p>
        </w:tc>
        <w:tc>
          <w:tcPr>
            <w:tcW w:w="756" w:type="pct"/>
            <w:tcBorders>
              <w:tl2br w:val="nil"/>
              <w:tr2bl w:val="nil"/>
            </w:tcBorders>
            <w:shd w:val="clear" w:color="auto" w:fill="auto"/>
            <w:vAlign w:val="center"/>
          </w:tcPr>
          <w:p>
            <w:pPr>
              <w:pStyle w:val="141"/>
              <w:rPr>
                <w:rFonts w:ascii="宋体"/>
              </w:rPr>
            </w:pPr>
            <w:r>
              <w:rPr>
                <w:rFonts w:hint="eastAsia" w:ascii="宋体"/>
              </w:rPr>
              <w:t>烟尘</w:t>
            </w:r>
          </w:p>
        </w:tc>
        <w:tc>
          <w:tcPr>
            <w:tcW w:w="1218" w:type="pct"/>
            <w:tcBorders>
              <w:tl2br w:val="nil"/>
              <w:tr2bl w:val="nil"/>
            </w:tcBorders>
            <w:shd w:val="clear" w:color="auto" w:fill="auto"/>
            <w:vAlign w:val="center"/>
          </w:tcPr>
          <w:p>
            <w:pPr>
              <w:pStyle w:val="141"/>
              <w:rPr>
                <w:rFonts w:eastAsia="Times New Roman"/>
              </w:rPr>
            </w:pPr>
            <w:r>
              <w:t>6.67mg/m</w:t>
            </w:r>
            <w:r>
              <w:rPr>
                <w:vertAlign w:val="superscript"/>
              </w:rPr>
              <w:t>3</w:t>
            </w:r>
            <w:r>
              <w:rPr>
                <w:rFonts w:hint="eastAsia"/>
                <w:bCs/>
              </w:rPr>
              <w:t>，0</w:t>
            </w:r>
            <w:r>
              <w:rPr>
                <w:bCs/>
              </w:rPr>
              <w:t>.015k</w:t>
            </w:r>
            <w:r>
              <w:rPr>
                <w:rFonts w:hint="eastAsia"/>
              </w:rPr>
              <w:t>g</w:t>
            </w:r>
            <w:r>
              <w:t>/a</w:t>
            </w:r>
          </w:p>
        </w:tc>
        <w:tc>
          <w:tcPr>
            <w:tcW w:w="1233" w:type="pct"/>
            <w:tcBorders>
              <w:tl2br w:val="nil"/>
              <w:tr2bl w:val="nil"/>
            </w:tcBorders>
            <w:shd w:val="clear" w:color="auto" w:fill="auto"/>
            <w:vAlign w:val="center"/>
          </w:tcPr>
          <w:p>
            <w:pPr>
              <w:pStyle w:val="141"/>
              <w:rPr>
                <w:rFonts w:eastAsia="Times New Roman"/>
              </w:rPr>
            </w:pPr>
            <w:r>
              <w:t>6.67mg/m</w:t>
            </w:r>
            <w:r>
              <w:rPr>
                <w:vertAlign w:val="superscript"/>
              </w:rPr>
              <w:t>3</w:t>
            </w:r>
            <w:r>
              <w:rPr>
                <w:rFonts w:hint="eastAsia"/>
                <w:bCs/>
              </w:rPr>
              <w:t>，0</w:t>
            </w:r>
            <w:r>
              <w:rPr>
                <w:bCs/>
              </w:rPr>
              <w:t>.015k</w:t>
            </w:r>
            <w:r>
              <w:rPr>
                <w:rFonts w:hint="eastAsia"/>
              </w:rPr>
              <w:t>g</w:t>
            </w:r>
            <w: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restart"/>
            <w:tcBorders>
              <w:tl2br w:val="nil"/>
              <w:tr2bl w:val="nil"/>
            </w:tcBorders>
            <w:vAlign w:val="center"/>
          </w:tcPr>
          <w:p>
            <w:pPr>
              <w:pStyle w:val="141"/>
            </w:pPr>
            <w:r>
              <w:t>水</w:t>
            </w:r>
          </w:p>
          <w:p>
            <w:pPr>
              <w:pStyle w:val="141"/>
            </w:pPr>
            <w:r>
              <w:t>污</w:t>
            </w:r>
          </w:p>
          <w:p>
            <w:pPr>
              <w:pStyle w:val="141"/>
            </w:pPr>
            <w:r>
              <w:t>染</w:t>
            </w:r>
          </w:p>
          <w:p>
            <w:pPr>
              <w:pStyle w:val="141"/>
            </w:pPr>
            <w:r>
              <w:t>物</w:t>
            </w:r>
          </w:p>
        </w:tc>
        <w:tc>
          <w:tcPr>
            <w:tcW w:w="435" w:type="pct"/>
            <w:vMerge w:val="restart"/>
            <w:tcBorders>
              <w:tl2br w:val="nil"/>
              <w:tr2bl w:val="nil"/>
            </w:tcBorders>
            <w:vAlign w:val="center"/>
          </w:tcPr>
          <w:p>
            <w:pPr>
              <w:pStyle w:val="141"/>
            </w:pPr>
            <w:r>
              <w:rPr>
                <w:rFonts w:hint="eastAsia"/>
              </w:rPr>
              <w:t>施工期</w:t>
            </w:r>
          </w:p>
        </w:tc>
        <w:tc>
          <w:tcPr>
            <w:tcW w:w="1008" w:type="pct"/>
            <w:vMerge w:val="restart"/>
            <w:tcBorders>
              <w:tl2br w:val="nil"/>
              <w:tr2bl w:val="nil"/>
            </w:tcBorders>
            <w:vAlign w:val="center"/>
          </w:tcPr>
          <w:p>
            <w:pPr>
              <w:pStyle w:val="141"/>
            </w:pPr>
            <w:r>
              <w:t>生活污水</w:t>
            </w:r>
            <w:r>
              <w:rPr>
                <w:rFonts w:hint="eastAsia"/>
              </w:rPr>
              <w:t>(</w:t>
            </w:r>
            <w:r>
              <w:t>45.9</w:t>
            </w:r>
            <w:r>
              <w:rPr>
                <w:rFonts w:hint="eastAsia"/>
                <w:lang w:val="en-US" w:eastAsia="zh-CN"/>
              </w:rPr>
              <w:t>m</w:t>
            </w:r>
            <w:r>
              <w:rPr>
                <w:rFonts w:hint="eastAsia"/>
                <w:vertAlign w:val="superscript"/>
                <w:lang w:val="en-US" w:eastAsia="zh-CN"/>
              </w:rPr>
              <w:t>3</w:t>
            </w:r>
            <w:r>
              <w:t>)</w:t>
            </w:r>
          </w:p>
        </w:tc>
        <w:tc>
          <w:tcPr>
            <w:tcW w:w="756" w:type="pct"/>
            <w:tcBorders>
              <w:tl2br w:val="nil"/>
              <w:tr2bl w:val="nil"/>
            </w:tcBorders>
            <w:shd w:val="clear" w:color="auto" w:fill="auto"/>
            <w:vAlign w:val="center"/>
          </w:tcPr>
          <w:p>
            <w:pPr>
              <w:pStyle w:val="141"/>
            </w:pPr>
            <w:r>
              <w:rPr>
                <w:rFonts w:hint="eastAsia"/>
              </w:rPr>
              <w:t>C</w:t>
            </w:r>
            <w:r>
              <w:t>OD</w:t>
            </w:r>
          </w:p>
        </w:tc>
        <w:tc>
          <w:tcPr>
            <w:tcW w:w="1218" w:type="pct"/>
            <w:tcBorders>
              <w:tl2br w:val="nil"/>
              <w:tr2bl w:val="nil"/>
            </w:tcBorders>
            <w:shd w:val="clear" w:color="auto" w:fill="auto"/>
            <w:vAlign w:val="center"/>
          </w:tcPr>
          <w:p>
            <w:pPr>
              <w:pStyle w:val="141"/>
            </w:pPr>
            <w:r>
              <w:t>400</w:t>
            </w:r>
            <w:r>
              <w:rPr>
                <w:rFonts w:hint="eastAsia"/>
              </w:rPr>
              <w:t>m</w:t>
            </w:r>
            <w:r>
              <w:t>g/l，</w:t>
            </w:r>
            <w:r>
              <w:rPr>
                <w:rFonts w:hint="eastAsia"/>
              </w:rPr>
              <w:t>1</w:t>
            </w:r>
            <w:r>
              <w:t>8.36</w:t>
            </w:r>
            <w:r>
              <w:rPr>
                <w:rFonts w:hint="eastAsia"/>
              </w:rPr>
              <w:t>k</w:t>
            </w:r>
            <w:r>
              <w:t>g</w:t>
            </w:r>
          </w:p>
        </w:tc>
        <w:tc>
          <w:tcPr>
            <w:tcW w:w="1233" w:type="pct"/>
            <w:vMerge w:val="restart"/>
            <w:tcBorders>
              <w:tl2br w:val="nil"/>
              <w:tr2bl w:val="nil"/>
            </w:tcBorders>
            <w:shd w:val="clear" w:color="auto" w:fill="auto"/>
            <w:vAlign w:val="center"/>
          </w:tcPr>
          <w:p>
            <w:pPr>
              <w:pStyle w:val="141"/>
            </w:pPr>
            <w:r>
              <w:rPr>
                <w:rFonts w:hint="eastAsia"/>
              </w:rPr>
              <w:t>建立流动厕所，收集统</w:t>
            </w:r>
          </w:p>
          <w:p>
            <w:pPr>
              <w:pStyle w:val="141"/>
            </w:pPr>
            <w:r>
              <w:rPr>
                <w:rFonts w:hint="eastAsia"/>
              </w:rPr>
              <w:t>一后交由环卫部门清运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vAlign w:val="center"/>
          </w:tcPr>
          <w:p>
            <w:pPr>
              <w:pStyle w:val="141"/>
            </w:pPr>
          </w:p>
        </w:tc>
        <w:tc>
          <w:tcPr>
            <w:tcW w:w="435" w:type="pct"/>
            <w:vMerge w:val="continue"/>
            <w:tcBorders>
              <w:tl2br w:val="nil"/>
              <w:tr2bl w:val="nil"/>
            </w:tcBorders>
            <w:vAlign w:val="center"/>
          </w:tcPr>
          <w:p>
            <w:pPr>
              <w:pStyle w:val="141"/>
            </w:pPr>
          </w:p>
        </w:tc>
        <w:tc>
          <w:tcPr>
            <w:tcW w:w="1008" w:type="pct"/>
            <w:vMerge w:val="continue"/>
            <w:tcBorders>
              <w:tl2br w:val="nil"/>
              <w:tr2bl w:val="nil"/>
            </w:tcBorders>
            <w:vAlign w:val="center"/>
          </w:tcPr>
          <w:p>
            <w:pPr>
              <w:pStyle w:val="141"/>
            </w:pPr>
          </w:p>
        </w:tc>
        <w:tc>
          <w:tcPr>
            <w:tcW w:w="756" w:type="pct"/>
            <w:tcBorders>
              <w:tl2br w:val="nil"/>
              <w:tr2bl w:val="nil"/>
            </w:tcBorders>
            <w:shd w:val="clear" w:color="auto" w:fill="auto"/>
            <w:vAlign w:val="center"/>
          </w:tcPr>
          <w:p>
            <w:pPr>
              <w:pStyle w:val="141"/>
            </w:pPr>
            <w:r>
              <w:rPr>
                <w:rFonts w:hint="eastAsia"/>
              </w:rPr>
              <w:t>B</w:t>
            </w:r>
            <w:r>
              <w:t>OD</w:t>
            </w:r>
            <w:r>
              <w:rPr>
                <w:vertAlign w:val="subscript"/>
              </w:rPr>
              <w:t>5</w:t>
            </w:r>
          </w:p>
        </w:tc>
        <w:tc>
          <w:tcPr>
            <w:tcW w:w="1218" w:type="pct"/>
            <w:tcBorders>
              <w:tl2br w:val="nil"/>
              <w:tr2bl w:val="nil"/>
            </w:tcBorders>
            <w:shd w:val="clear" w:color="auto" w:fill="auto"/>
            <w:vAlign w:val="center"/>
          </w:tcPr>
          <w:p>
            <w:pPr>
              <w:pStyle w:val="141"/>
            </w:pPr>
            <w:r>
              <w:rPr>
                <w:rFonts w:hint="eastAsia"/>
              </w:rPr>
              <w:t>2</w:t>
            </w:r>
            <w:r>
              <w:t>00mg/l，</w:t>
            </w:r>
            <w:r>
              <w:rPr>
                <w:rFonts w:hint="eastAsia"/>
              </w:rPr>
              <w:t>9</w:t>
            </w:r>
            <w:r>
              <w:t>.18</w:t>
            </w:r>
            <w:r>
              <w:rPr>
                <w:rFonts w:hint="eastAsia"/>
              </w:rPr>
              <w:t>k</w:t>
            </w:r>
            <w:r>
              <w:t>g</w:t>
            </w:r>
          </w:p>
        </w:tc>
        <w:tc>
          <w:tcPr>
            <w:tcW w:w="1233" w:type="pct"/>
            <w:vMerge w:val="continue"/>
            <w:tcBorders>
              <w:tl2br w:val="nil"/>
              <w:tr2bl w:val="nil"/>
            </w:tcBorders>
            <w:shd w:val="clear" w:color="auto" w:fill="auto"/>
            <w:vAlign w:val="center"/>
          </w:tcPr>
          <w:p>
            <w:pPr>
              <w:pStyle w:val="141"/>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vAlign w:val="center"/>
          </w:tcPr>
          <w:p>
            <w:pPr>
              <w:pStyle w:val="141"/>
            </w:pPr>
          </w:p>
        </w:tc>
        <w:tc>
          <w:tcPr>
            <w:tcW w:w="435" w:type="pct"/>
            <w:vMerge w:val="continue"/>
            <w:tcBorders>
              <w:tl2br w:val="nil"/>
              <w:tr2bl w:val="nil"/>
            </w:tcBorders>
            <w:vAlign w:val="center"/>
          </w:tcPr>
          <w:p>
            <w:pPr>
              <w:pStyle w:val="141"/>
            </w:pPr>
          </w:p>
        </w:tc>
        <w:tc>
          <w:tcPr>
            <w:tcW w:w="1008" w:type="pct"/>
            <w:vMerge w:val="continue"/>
            <w:tcBorders>
              <w:tl2br w:val="nil"/>
              <w:tr2bl w:val="nil"/>
            </w:tcBorders>
            <w:vAlign w:val="center"/>
          </w:tcPr>
          <w:p>
            <w:pPr>
              <w:pStyle w:val="141"/>
            </w:pPr>
          </w:p>
        </w:tc>
        <w:tc>
          <w:tcPr>
            <w:tcW w:w="756" w:type="pct"/>
            <w:tcBorders>
              <w:tl2br w:val="nil"/>
              <w:tr2bl w:val="nil"/>
            </w:tcBorders>
            <w:shd w:val="clear" w:color="auto" w:fill="auto"/>
            <w:vAlign w:val="center"/>
          </w:tcPr>
          <w:p>
            <w:pPr>
              <w:pStyle w:val="141"/>
            </w:pPr>
            <w:r>
              <w:rPr>
                <w:rFonts w:hint="eastAsia"/>
              </w:rPr>
              <w:t>S</w:t>
            </w:r>
            <w:r>
              <w:t>S</w:t>
            </w:r>
          </w:p>
        </w:tc>
        <w:tc>
          <w:tcPr>
            <w:tcW w:w="1218" w:type="pct"/>
            <w:tcBorders>
              <w:tl2br w:val="nil"/>
              <w:tr2bl w:val="nil"/>
            </w:tcBorders>
            <w:shd w:val="clear" w:color="auto" w:fill="auto"/>
            <w:vAlign w:val="center"/>
          </w:tcPr>
          <w:p>
            <w:pPr>
              <w:pStyle w:val="141"/>
            </w:pPr>
            <w:r>
              <w:rPr>
                <w:rFonts w:hint="eastAsia"/>
              </w:rPr>
              <w:t>2</w:t>
            </w:r>
            <w:r>
              <w:t>20mg/l，</w:t>
            </w:r>
            <w:r>
              <w:rPr>
                <w:rFonts w:hint="eastAsia"/>
              </w:rPr>
              <w:t>1</w:t>
            </w:r>
            <w:r>
              <w:t>0.1</w:t>
            </w:r>
            <w:r>
              <w:rPr>
                <w:rFonts w:hint="eastAsia"/>
              </w:rPr>
              <w:t>k</w:t>
            </w:r>
            <w:r>
              <w:t>g</w:t>
            </w:r>
          </w:p>
        </w:tc>
        <w:tc>
          <w:tcPr>
            <w:tcW w:w="1233" w:type="pct"/>
            <w:vMerge w:val="continue"/>
            <w:tcBorders>
              <w:tl2br w:val="nil"/>
              <w:tr2bl w:val="nil"/>
            </w:tcBorders>
            <w:shd w:val="clear" w:color="auto" w:fill="auto"/>
            <w:vAlign w:val="center"/>
          </w:tcPr>
          <w:p>
            <w:pPr>
              <w:pStyle w:val="141"/>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350" w:type="pct"/>
            <w:vMerge w:val="continue"/>
            <w:tcBorders>
              <w:tl2br w:val="nil"/>
              <w:tr2bl w:val="nil"/>
            </w:tcBorders>
            <w:vAlign w:val="center"/>
          </w:tcPr>
          <w:p>
            <w:pPr>
              <w:pStyle w:val="141"/>
            </w:pPr>
          </w:p>
        </w:tc>
        <w:tc>
          <w:tcPr>
            <w:tcW w:w="435" w:type="pct"/>
            <w:vMerge w:val="continue"/>
            <w:tcBorders>
              <w:tl2br w:val="nil"/>
              <w:tr2bl w:val="nil"/>
            </w:tcBorders>
            <w:vAlign w:val="center"/>
          </w:tcPr>
          <w:p>
            <w:pPr>
              <w:pStyle w:val="141"/>
            </w:pPr>
          </w:p>
        </w:tc>
        <w:tc>
          <w:tcPr>
            <w:tcW w:w="1008" w:type="pct"/>
            <w:vMerge w:val="continue"/>
            <w:tcBorders>
              <w:tl2br w:val="nil"/>
              <w:tr2bl w:val="nil"/>
            </w:tcBorders>
            <w:vAlign w:val="center"/>
          </w:tcPr>
          <w:p>
            <w:pPr>
              <w:pStyle w:val="141"/>
            </w:pPr>
          </w:p>
        </w:tc>
        <w:tc>
          <w:tcPr>
            <w:tcW w:w="756" w:type="pct"/>
            <w:tcBorders>
              <w:tl2br w:val="nil"/>
              <w:tr2bl w:val="nil"/>
            </w:tcBorders>
            <w:shd w:val="clear" w:color="auto" w:fill="auto"/>
            <w:vAlign w:val="center"/>
          </w:tcPr>
          <w:p>
            <w:pPr>
              <w:pStyle w:val="141"/>
            </w:pPr>
            <w:r>
              <w:t>氨氮</w:t>
            </w:r>
          </w:p>
        </w:tc>
        <w:tc>
          <w:tcPr>
            <w:tcW w:w="1218" w:type="pct"/>
            <w:tcBorders>
              <w:tl2br w:val="nil"/>
              <w:tr2bl w:val="nil"/>
            </w:tcBorders>
            <w:shd w:val="clear" w:color="auto" w:fill="auto"/>
            <w:vAlign w:val="center"/>
          </w:tcPr>
          <w:p>
            <w:pPr>
              <w:pStyle w:val="141"/>
            </w:pPr>
            <w:r>
              <w:rPr>
                <w:rFonts w:hint="eastAsia"/>
              </w:rPr>
              <w:t>2</w:t>
            </w:r>
            <w:r>
              <w:t>5mg/l，</w:t>
            </w:r>
            <w:r>
              <w:rPr>
                <w:rFonts w:hint="eastAsia"/>
              </w:rPr>
              <w:t>1</w:t>
            </w:r>
            <w:r>
              <w:t>.15</w:t>
            </w:r>
            <w:r>
              <w:rPr>
                <w:rFonts w:hint="eastAsia"/>
              </w:rPr>
              <w:t>k</w:t>
            </w:r>
            <w:r>
              <w:t>g</w:t>
            </w:r>
          </w:p>
        </w:tc>
        <w:tc>
          <w:tcPr>
            <w:tcW w:w="1233" w:type="pct"/>
            <w:vMerge w:val="continue"/>
            <w:tcBorders>
              <w:tl2br w:val="nil"/>
              <w:tr2bl w:val="nil"/>
            </w:tcBorders>
            <w:shd w:val="clear" w:color="auto" w:fill="auto"/>
            <w:vAlign w:val="center"/>
          </w:tcPr>
          <w:p>
            <w:pPr>
              <w:pStyle w:val="141"/>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vAlign w:val="center"/>
          </w:tcPr>
          <w:p>
            <w:pPr>
              <w:pStyle w:val="141"/>
            </w:pPr>
          </w:p>
        </w:tc>
        <w:tc>
          <w:tcPr>
            <w:tcW w:w="435" w:type="pct"/>
            <w:vMerge w:val="continue"/>
            <w:tcBorders>
              <w:tl2br w:val="nil"/>
              <w:tr2bl w:val="nil"/>
            </w:tcBorders>
            <w:vAlign w:val="center"/>
          </w:tcPr>
          <w:p>
            <w:pPr>
              <w:pStyle w:val="141"/>
            </w:pPr>
          </w:p>
        </w:tc>
        <w:tc>
          <w:tcPr>
            <w:tcW w:w="1008" w:type="pct"/>
            <w:tcBorders>
              <w:tl2br w:val="nil"/>
              <w:tr2bl w:val="nil"/>
            </w:tcBorders>
            <w:vAlign w:val="center"/>
          </w:tcPr>
          <w:p>
            <w:pPr>
              <w:pStyle w:val="141"/>
            </w:pPr>
            <w:r>
              <w:t>施工废水</w:t>
            </w:r>
            <w:r>
              <w:rPr>
                <w:rFonts w:hint="eastAsia"/>
              </w:rPr>
              <w:t>（5</w:t>
            </w:r>
            <w:r>
              <w:t>1.3</w:t>
            </w:r>
            <w:r>
              <w:rPr>
                <w:rFonts w:hint="eastAsia"/>
                <w:lang w:val="en-US" w:eastAsia="zh-CN"/>
              </w:rPr>
              <w:t>m</w:t>
            </w:r>
            <w:r>
              <w:rPr>
                <w:rFonts w:hint="eastAsia"/>
                <w:vertAlign w:val="superscript"/>
                <w:lang w:val="en-US" w:eastAsia="zh-CN"/>
              </w:rPr>
              <w:t>3</w:t>
            </w:r>
            <w:r>
              <w:rPr>
                <w:rFonts w:hint="eastAsia"/>
              </w:rPr>
              <w:t>）</w:t>
            </w:r>
          </w:p>
        </w:tc>
        <w:tc>
          <w:tcPr>
            <w:tcW w:w="756" w:type="pct"/>
            <w:tcBorders>
              <w:tl2br w:val="nil"/>
              <w:tr2bl w:val="nil"/>
            </w:tcBorders>
            <w:shd w:val="clear" w:color="auto" w:fill="auto"/>
            <w:vAlign w:val="center"/>
          </w:tcPr>
          <w:p>
            <w:pPr>
              <w:pStyle w:val="141"/>
            </w:pPr>
            <w:r>
              <w:t>石油类，</w:t>
            </w:r>
            <w:r>
              <w:rPr>
                <w:rFonts w:hint="eastAsia"/>
              </w:rPr>
              <w:t>S</w:t>
            </w:r>
            <w:r>
              <w:t>S</w:t>
            </w:r>
          </w:p>
        </w:tc>
        <w:tc>
          <w:tcPr>
            <w:tcW w:w="2451" w:type="pct"/>
            <w:gridSpan w:val="2"/>
            <w:tcBorders>
              <w:tl2br w:val="nil"/>
              <w:tr2bl w:val="nil"/>
            </w:tcBorders>
            <w:shd w:val="clear" w:color="auto" w:fill="auto"/>
            <w:vAlign w:val="center"/>
          </w:tcPr>
          <w:p>
            <w:pPr>
              <w:pStyle w:val="141"/>
            </w:pPr>
            <w:r>
              <w:rPr>
                <w:rFonts w:hint="eastAsia"/>
              </w:rPr>
              <w:t>经隔油、沉淀后回用于施工现场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vAlign w:val="center"/>
          </w:tcPr>
          <w:p>
            <w:pPr>
              <w:pStyle w:val="141"/>
            </w:pPr>
          </w:p>
        </w:tc>
        <w:tc>
          <w:tcPr>
            <w:tcW w:w="435" w:type="pct"/>
            <w:vMerge w:val="restart"/>
            <w:tcBorders>
              <w:tl2br w:val="nil"/>
              <w:tr2bl w:val="nil"/>
            </w:tcBorders>
            <w:vAlign w:val="center"/>
          </w:tcPr>
          <w:p>
            <w:pPr>
              <w:pStyle w:val="141"/>
            </w:pPr>
            <w:r>
              <w:rPr>
                <w:rFonts w:hint="eastAsia"/>
              </w:rPr>
              <w:t>营运期</w:t>
            </w:r>
          </w:p>
        </w:tc>
        <w:tc>
          <w:tcPr>
            <w:tcW w:w="1008" w:type="pct"/>
            <w:vMerge w:val="restart"/>
            <w:tcBorders>
              <w:tl2br w:val="nil"/>
              <w:tr2bl w:val="nil"/>
            </w:tcBorders>
            <w:vAlign w:val="center"/>
          </w:tcPr>
          <w:p>
            <w:pPr>
              <w:pStyle w:val="141"/>
            </w:pPr>
            <w:r>
              <w:rPr>
                <w:rFonts w:hint="eastAsia"/>
              </w:rPr>
              <w:t>清洗废水</w:t>
            </w:r>
            <w:r>
              <w:t>（328.5</w:t>
            </w:r>
            <w:r>
              <w:rPr>
                <w:rFonts w:hint="eastAsia"/>
                <w:lang w:val="en-US" w:eastAsia="zh-CN"/>
              </w:rPr>
              <w:t>m</w:t>
            </w:r>
            <w:r>
              <w:rPr>
                <w:rFonts w:hint="eastAsia"/>
                <w:vertAlign w:val="superscript"/>
                <w:lang w:val="en-US" w:eastAsia="zh-CN"/>
              </w:rPr>
              <w:t>3</w:t>
            </w:r>
            <w:r>
              <w:t>/a）</w:t>
            </w:r>
          </w:p>
        </w:tc>
        <w:tc>
          <w:tcPr>
            <w:tcW w:w="756" w:type="pct"/>
            <w:tcBorders>
              <w:tl2br w:val="nil"/>
              <w:tr2bl w:val="nil"/>
            </w:tcBorders>
            <w:shd w:val="clear" w:color="auto" w:fill="auto"/>
            <w:vAlign w:val="center"/>
          </w:tcPr>
          <w:p>
            <w:pPr>
              <w:pStyle w:val="141"/>
            </w:pPr>
            <w:r>
              <w:rPr>
                <w:rFonts w:hint="eastAsia"/>
              </w:rPr>
              <w:t>C</w:t>
            </w:r>
            <w:r>
              <w:t>OD</w:t>
            </w:r>
          </w:p>
        </w:tc>
        <w:tc>
          <w:tcPr>
            <w:tcW w:w="1218" w:type="pct"/>
            <w:tcBorders>
              <w:tl2br w:val="nil"/>
              <w:tr2bl w:val="nil"/>
            </w:tcBorders>
            <w:shd w:val="clear" w:color="auto" w:fill="auto"/>
            <w:vAlign w:val="center"/>
          </w:tcPr>
          <w:p>
            <w:pPr>
              <w:pStyle w:val="141"/>
            </w:pPr>
            <w:r>
              <w:t>200mg/l，</w:t>
            </w:r>
            <w:r>
              <w:rPr>
                <w:rFonts w:hint="eastAsia"/>
              </w:rPr>
              <w:t>0</w:t>
            </w:r>
            <w:r>
              <w:t>.07</w:t>
            </w:r>
            <w:r>
              <w:rPr>
                <w:rFonts w:hint="eastAsia"/>
              </w:rPr>
              <w:t>t</w:t>
            </w:r>
            <w:r>
              <w:t>/a</w:t>
            </w:r>
          </w:p>
        </w:tc>
        <w:tc>
          <w:tcPr>
            <w:tcW w:w="1233" w:type="pct"/>
            <w:vMerge w:val="restart"/>
            <w:tcBorders>
              <w:tl2br w:val="nil"/>
              <w:tr2bl w:val="nil"/>
            </w:tcBorders>
            <w:shd w:val="clear" w:color="auto" w:fill="auto"/>
            <w:vAlign w:val="center"/>
          </w:tcPr>
          <w:p>
            <w:pPr>
              <w:pStyle w:val="141"/>
              <w:rPr>
                <w:rFonts w:hint="default" w:eastAsia="宋体"/>
                <w:lang w:val="en-US" w:eastAsia="zh-CN"/>
              </w:rPr>
            </w:pPr>
            <w:r>
              <w:rPr>
                <w:rFonts w:hint="eastAsia"/>
              </w:rPr>
              <w:t>经隔油池、三级沉淀池处理后后回用</w:t>
            </w:r>
            <w:r>
              <w:rPr>
                <w:rFonts w:hint="eastAsia"/>
                <w:lang w:val="en-US" w:eastAsia="zh-CN"/>
              </w:rPr>
              <w:t>站内洒水降尘和站内绿化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vAlign w:val="center"/>
          </w:tcPr>
          <w:p>
            <w:pPr>
              <w:pStyle w:val="141"/>
            </w:pPr>
          </w:p>
        </w:tc>
        <w:tc>
          <w:tcPr>
            <w:tcW w:w="435" w:type="pct"/>
            <w:vMerge w:val="continue"/>
            <w:tcBorders>
              <w:tl2br w:val="nil"/>
              <w:tr2bl w:val="nil"/>
            </w:tcBorders>
            <w:vAlign w:val="center"/>
          </w:tcPr>
          <w:p>
            <w:pPr>
              <w:pStyle w:val="141"/>
            </w:pPr>
          </w:p>
        </w:tc>
        <w:tc>
          <w:tcPr>
            <w:tcW w:w="1008" w:type="pct"/>
            <w:vMerge w:val="continue"/>
            <w:tcBorders>
              <w:tl2br w:val="nil"/>
              <w:tr2bl w:val="nil"/>
            </w:tcBorders>
            <w:vAlign w:val="center"/>
          </w:tcPr>
          <w:p>
            <w:pPr>
              <w:pStyle w:val="141"/>
            </w:pPr>
          </w:p>
        </w:tc>
        <w:tc>
          <w:tcPr>
            <w:tcW w:w="756" w:type="pct"/>
            <w:tcBorders>
              <w:tl2br w:val="nil"/>
              <w:tr2bl w:val="nil"/>
            </w:tcBorders>
            <w:shd w:val="clear" w:color="auto" w:fill="auto"/>
            <w:vAlign w:val="center"/>
          </w:tcPr>
          <w:p>
            <w:pPr>
              <w:pStyle w:val="141"/>
            </w:pPr>
            <w:r>
              <w:rPr>
                <w:rFonts w:hint="eastAsia"/>
              </w:rPr>
              <w:t>S</w:t>
            </w:r>
            <w:r>
              <w:t>S</w:t>
            </w:r>
          </w:p>
        </w:tc>
        <w:tc>
          <w:tcPr>
            <w:tcW w:w="1218" w:type="pct"/>
            <w:tcBorders>
              <w:tl2br w:val="nil"/>
              <w:tr2bl w:val="nil"/>
            </w:tcBorders>
            <w:shd w:val="clear" w:color="auto" w:fill="auto"/>
            <w:vAlign w:val="center"/>
          </w:tcPr>
          <w:p>
            <w:pPr>
              <w:pStyle w:val="141"/>
            </w:pPr>
            <w:r>
              <w:t>300mg/l，</w:t>
            </w:r>
            <w:r>
              <w:rPr>
                <w:rFonts w:hint="eastAsia"/>
              </w:rPr>
              <w:t>0</w:t>
            </w:r>
            <w:r>
              <w:t>.1</w:t>
            </w:r>
            <w:r>
              <w:rPr>
                <w:rFonts w:hint="eastAsia"/>
              </w:rPr>
              <w:t>t</w:t>
            </w:r>
            <w:r>
              <w:t>/a</w:t>
            </w:r>
          </w:p>
        </w:tc>
        <w:tc>
          <w:tcPr>
            <w:tcW w:w="1233" w:type="pct"/>
            <w:vMerge w:val="continue"/>
            <w:tcBorders>
              <w:tl2br w:val="nil"/>
              <w:tr2bl w:val="nil"/>
            </w:tcBorders>
            <w:shd w:val="clear" w:color="auto" w:fill="auto"/>
            <w:vAlign w:val="center"/>
          </w:tcPr>
          <w:p>
            <w:pPr>
              <w:pStyle w:val="141"/>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vAlign w:val="center"/>
          </w:tcPr>
          <w:p>
            <w:pPr>
              <w:pStyle w:val="141"/>
            </w:pPr>
          </w:p>
        </w:tc>
        <w:tc>
          <w:tcPr>
            <w:tcW w:w="435" w:type="pct"/>
            <w:vMerge w:val="continue"/>
            <w:tcBorders>
              <w:tl2br w:val="nil"/>
              <w:tr2bl w:val="nil"/>
            </w:tcBorders>
            <w:vAlign w:val="center"/>
          </w:tcPr>
          <w:p>
            <w:pPr>
              <w:pStyle w:val="141"/>
            </w:pPr>
          </w:p>
        </w:tc>
        <w:tc>
          <w:tcPr>
            <w:tcW w:w="1008" w:type="pct"/>
            <w:vMerge w:val="continue"/>
            <w:tcBorders>
              <w:tl2br w:val="nil"/>
              <w:tr2bl w:val="nil"/>
            </w:tcBorders>
            <w:vAlign w:val="center"/>
          </w:tcPr>
          <w:p>
            <w:pPr>
              <w:pStyle w:val="141"/>
            </w:pPr>
          </w:p>
        </w:tc>
        <w:tc>
          <w:tcPr>
            <w:tcW w:w="756" w:type="pct"/>
            <w:tcBorders>
              <w:tl2br w:val="nil"/>
              <w:tr2bl w:val="nil"/>
            </w:tcBorders>
            <w:shd w:val="clear" w:color="auto" w:fill="auto"/>
            <w:vAlign w:val="center"/>
          </w:tcPr>
          <w:p>
            <w:pPr>
              <w:pStyle w:val="141"/>
            </w:pPr>
            <w:r>
              <w:t>石油类</w:t>
            </w:r>
          </w:p>
        </w:tc>
        <w:tc>
          <w:tcPr>
            <w:tcW w:w="1218" w:type="pct"/>
            <w:tcBorders>
              <w:tl2br w:val="nil"/>
              <w:tr2bl w:val="nil"/>
            </w:tcBorders>
            <w:shd w:val="clear" w:color="auto" w:fill="auto"/>
            <w:vAlign w:val="center"/>
          </w:tcPr>
          <w:p>
            <w:pPr>
              <w:pStyle w:val="141"/>
            </w:pPr>
            <w:r>
              <w:t>80mg/l，</w:t>
            </w:r>
            <w:r>
              <w:rPr>
                <w:rFonts w:hint="eastAsia"/>
              </w:rPr>
              <w:t>0</w:t>
            </w:r>
            <w:r>
              <w:t>.03</w:t>
            </w:r>
            <w:r>
              <w:rPr>
                <w:rFonts w:hint="eastAsia"/>
              </w:rPr>
              <w:t>t</w:t>
            </w:r>
            <w:r>
              <w:t>/a</w:t>
            </w:r>
          </w:p>
        </w:tc>
        <w:tc>
          <w:tcPr>
            <w:tcW w:w="1233" w:type="pct"/>
            <w:vMerge w:val="continue"/>
            <w:tcBorders>
              <w:tl2br w:val="nil"/>
              <w:tr2bl w:val="nil"/>
            </w:tcBorders>
            <w:shd w:val="clear" w:color="auto" w:fill="auto"/>
            <w:vAlign w:val="center"/>
          </w:tcPr>
          <w:p>
            <w:pPr>
              <w:pStyle w:val="141"/>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350" w:type="pct"/>
            <w:vMerge w:val="continue"/>
            <w:tcBorders>
              <w:tl2br w:val="nil"/>
              <w:tr2bl w:val="nil"/>
            </w:tcBorders>
            <w:vAlign w:val="center"/>
          </w:tcPr>
          <w:p>
            <w:pPr>
              <w:pStyle w:val="141"/>
            </w:pPr>
          </w:p>
        </w:tc>
        <w:tc>
          <w:tcPr>
            <w:tcW w:w="435" w:type="pct"/>
            <w:vMerge w:val="continue"/>
            <w:tcBorders>
              <w:tl2br w:val="nil"/>
              <w:tr2bl w:val="nil"/>
            </w:tcBorders>
            <w:vAlign w:val="center"/>
          </w:tcPr>
          <w:p>
            <w:pPr>
              <w:pStyle w:val="141"/>
            </w:pPr>
          </w:p>
        </w:tc>
        <w:tc>
          <w:tcPr>
            <w:tcW w:w="1008" w:type="pct"/>
            <w:vMerge w:val="restart"/>
            <w:tcBorders>
              <w:tl2br w:val="nil"/>
              <w:tr2bl w:val="nil"/>
            </w:tcBorders>
            <w:vAlign w:val="center"/>
          </w:tcPr>
          <w:p>
            <w:pPr>
              <w:pStyle w:val="141"/>
            </w:pPr>
            <w:r>
              <w:t>初期雨水</w:t>
            </w:r>
            <w:r>
              <w:rPr>
                <w:rFonts w:hint="eastAsia"/>
              </w:rPr>
              <w:t>（1</w:t>
            </w:r>
            <w:r>
              <w:t>14</w:t>
            </w:r>
            <w:r>
              <w:rPr>
                <w:rFonts w:hint="eastAsia"/>
                <w:lang w:val="en-US" w:eastAsia="zh-CN"/>
              </w:rPr>
              <w:t>m</w:t>
            </w:r>
            <w:r>
              <w:rPr>
                <w:rFonts w:hint="eastAsia"/>
                <w:vertAlign w:val="superscript"/>
                <w:lang w:val="en-US" w:eastAsia="zh-CN"/>
              </w:rPr>
              <w:t>3</w:t>
            </w:r>
            <w:r>
              <w:t>/a</w:t>
            </w:r>
            <w:r>
              <w:rPr>
                <w:rFonts w:hint="eastAsia"/>
              </w:rPr>
              <w:t>）</w:t>
            </w:r>
          </w:p>
        </w:tc>
        <w:tc>
          <w:tcPr>
            <w:tcW w:w="756" w:type="pct"/>
            <w:tcBorders>
              <w:tl2br w:val="nil"/>
              <w:tr2bl w:val="nil"/>
            </w:tcBorders>
            <w:shd w:val="clear" w:color="auto" w:fill="auto"/>
            <w:vAlign w:val="center"/>
          </w:tcPr>
          <w:p>
            <w:pPr>
              <w:pStyle w:val="141"/>
            </w:pPr>
            <w:r>
              <w:rPr>
                <w:rFonts w:hint="eastAsia"/>
              </w:rPr>
              <w:t>S</w:t>
            </w:r>
            <w:r>
              <w:t>S</w:t>
            </w:r>
          </w:p>
        </w:tc>
        <w:tc>
          <w:tcPr>
            <w:tcW w:w="1218" w:type="pct"/>
            <w:tcBorders>
              <w:tl2br w:val="nil"/>
              <w:tr2bl w:val="nil"/>
            </w:tcBorders>
            <w:shd w:val="clear" w:color="auto" w:fill="auto"/>
            <w:vAlign w:val="center"/>
          </w:tcPr>
          <w:p>
            <w:pPr>
              <w:pStyle w:val="141"/>
            </w:pPr>
            <w:r>
              <w:t>200mg/l，</w:t>
            </w:r>
            <w:r>
              <w:rPr>
                <w:rFonts w:hint="eastAsia"/>
              </w:rPr>
              <w:t>2</w:t>
            </w:r>
            <w:r>
              <w:t>2.8</w:t>
            </w:r>
            <w:r>
              <w:rPr>
                <w:rFonts w:hint="eastAsia"/>
              </w:rPr>
              <w:t>k</w:t>
            </w:r>
            <w:r>
              <w:t>g/a</w:t>
            </w:r>
          </w:p>
        </w:tc>
        <w:tc>
          <w:tcPr>
            <w:tcW w:w="1233" w:type="pct"/>
            <w:vMerge w:val="restart"/>
            <w:tcBorders>
              <w:tl2br w:val="nil"/>
              <w:tr2bl w:val="nil"/>
            </w:tcBorders>
            <w:shd w:val="clear" w:color="auto" w:fill="auto"/>
            <w:vAlign w:val="center"/>
          </w:tcPr>
          <w:p>
            <w:pPr>
              <w:pStyle w:val="141"/>
              <w:rPr>
                <w:rFonts w:hint="default" w:eastAsia="宋体"/>
                <w:lang w:val="en-US" w:eastAsia="zh-CN"/>
              </w:rPr>
            </w:pPr>
            <w:r>
              <w:rPr>
                <w:rFonts w:hint="eastAsia"/>
              </w:rPr>
              <w:t>初期雨水经截流沟收集并进入隔油池、三级沉淀池处理后回用</w:t>
            </w:r>
            <w:r>
              <w:rPr>
                <w:rFonts w:hint="eastAsia"/>
                <w:lang w:val="en-US" w:eastAsia="zh-CN"/>
              </w:rPr>
              <w:t>站内洒水降尘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vAlign w:val="center"/>
          </w:tcPr>
          <w:p>
            <w:pPr>
              <w:pStyle w:val="141"/>
            </w:pPr>
          </w:p>
        </w:tc>
        <w:tc>
          <w:tcPr>
            <w:tcW w:w="435" w:type="pct"/>
            <w:vMerge w:val="continue"/>
            <w:tcBorders>
              <w:tl2br w:val="nil"/>
              <w:tr2bl w:val="nil"/>
            </w:tcBorders>
            <w:vAlign w:val="center"/>
          </w:tcPr>
          <w:p>
            <w:pPr>
              <w:pStyle w:val="141"/>
            </w:pPr>
          </w:p>
        </w:tc>
        <w:tc>
          <w:tcPr>
            <w:tcW w:w="1008" w:type="pct"/>
            <w:vMerge w:val="continue"/>
            <w:tcBorders>
              <w:tl2br w:val="nil"/>
              <w:tr2bl w:val="nil"/>
            </w:tcBorders>
            <w:vAlign w:val="center"/>
          </w:tcPr>
          <w:p>
            <w:pPr>
              <w:pStyle w:val="141"/>
            </w:pPr>
          </w:p>
        </w:tc>
        <w:tc>
          <w:tcPr>
            <w:tcW w:w="756" w:type="pct"/>
            <w:tcBorders>
              <w:tl2br w:val="nil"/>
              <w:tr2bl w:val="nil"/>
            </w:tcBorders>
            <w:shd w:val="clear" w:color="auto" w:fill="auto"/>
            <w:vAlign w:val="center"/>
          </w:tcPr>
          <w:p>
            <w:pPr>
              <w:pStyle w:val="141"/>
            </w:pPr>
            <w:r>
              <w:rPr>
                <w:rFonts w:hint="eastAsia"/>
              </w:rPr>
              <w:t>石油类</w:t>
            </w:r>
          </w:p>
        </w:tc>
        <w:tc>
          <w:tcPr>
            <w:tcW w:w="1218" w:type="pct"/>
            <w:tcBorders>
              <w:tl2br w:val="nil"/>
              <w:tr2bl w:val="nil"/>
            </w:tcBorders>
            <w:shd w:val="clear" w:color="auto" w:fill="auto"/>
            <w:vAlign w:val="center"/>
          </w:tcPr>
          <w:p>
            <w:pPr>
              <w:pStyle w:val="141"/>
            </w:pPr>
            <w:r>
              <w:t>50mg/l，</w:t>
            </w:r>
            <w:r>
              <w:rPr>
                <w:rFonts w:hint="eastAsia"/>
              </w:rPr>
              <w:t>5</w:t>
            </w:r>
            <w:r>
              <w:t>.7kg /a</w:t>
            </w:r>
          </w:p>
        </w:tc>
        <w:tc>
          <w:tcPr>
            <w:tcW w:w="1233" w:type="pct"/>
            <w:vMerge w:val="continue"/>
            <w:tcBorders>
              <w:tl2br w:val="nil"/>
              <w:tr2bl w:val="nil"/>
            </w:tcBorders>
            <w:shd w:val="clear" w:color="auto" w:fill="auto"/>
            <w:vAlign w:val="center"/>
          </w:tcPr>
          <w:p>
            <w:pPr>
              <w:pStyle w:val="141"/>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vAlign w:val="center"/>
          </w:tcPr>
          <w:p>
            <w:pPr>
              <w:pStyle w:val="141"/>
            </w:pPr>
          </w:p>
        </w:tc>
        <w:tc>
          <w:tcPr>
            <w:tcW w:w="435" w:type="pct"/>
            <w:vMerge w:val="continue"/>
            <w:tcBorders>
              <w:tl2br w:val="nil"/>
              <w:tr2bl w:val="nil"/>
            </w:tcBorders>
            <w:vAlign w:val="center"/>
          </w:tcPr>
          <w:p>
            <w:pPr>
              <w:pStyle w:val="141"/>
            </w:pPr>
          </w:p>
        </w:tc>
        <w:tc>
          <w:tcPr>
            <w:tcW w:w="1008" w:type="pct"/>
            <w:vMerge w:val="restart"/>
            <w:tcBorders>
              <w:tl2br w:val="nil"/>
              <w:tr2bl w:val="nil"/>
            </w:tcBorders>
            <w:vAlign w:val="center"/>
          </w:tcPr>
          <w:p>
            <w:pPr>
              <w:pStyle w:val="141"/>
            </w:pPr>
            <w:r>
              <w:t>生活污水</w:t>
            </w:r>
            <w:r>
              <w:rPr>
                <w:rFonts w:hint="eastAsia"/>
              </w:rPr>
              <w:t>（</w:t>
            </w:r>
            <w:r>
              <w:t>1649.8</w:t>
            </w:r>
            <w:r>
              <w:rPr>
                <w:rFonts w:hint="eastAsia"/>
                <w:lang w:val="en-US" w:eastAsia="zh-CN"/>
              </w:rPr>
              <w:t>m</w:t>
            </w:r>
            <w:r>
              <w:rPr>
                <w:rFonts w:hint="eastAsia"/>
                <w:vertAlign w:val="superscript"/>
                <w:lang w:val="en-US" w:eastAsia="zh-CN"/>
              </w:rPr>
              <w:t>3</w:t>
            </w:r>
            <w:r>
              <w:t>/a</w:t>
            </w:r>
            <w:r>
              <w:rPr>
                <w:rFonts w:hint="eastAsia"/>
              </w:rPr>
              <w:t>）</w:t>
            </w:r>
          </w:p>
        </w:tc>
        <w:tc>
          <w:tcPr>
            <w:tcW w:w="756" w:type="pct"/>
            <w:tcBorders>
              <w:tl2br w:val="nil"/>
              <w:tr2bl w:val="nil"/>
            </w:tcBorders>
            <w:shd w:val="clear" w:color="auto" w:fill="auto"/>
            <w:vAlign w:val="center"/>
          </w:tcPr>
          <w:p>
            <w:pPr>
              <w:pStyle w:val="141"/>
            </w:pPr>
            <w:r>
              <w:rPr>
                <w:rFonts w:hint="eastAsia"/>
              </w:rPr>
              <w:t>C</w:t>
            </w:r>
            <w:r>
              <w:t>OD</w:t>
            </w:r>
          </w:p>
        </w:tc>
        <w:tc>
          <w:tcPr>
            <w:tcW w:w="1218" w:type="pct"/>
            <w:tcBorders>
              <w:tl2br w:val="nil"/>
              <w:tr2bl w:val="nil"/>
            </w:tcBorders>
            <w:shd w:val="clear" w:color="auto" w:fill="auto"/>
            <w:vAlign w:val="center"/>
          </w:tcPr>
          <w:p>
            <w:pPr>
              <w:pStyle w:val="141"/>
            </w:pPr>
            <w:r>
              <w:t>250mg/l，</w:t>
            </w:r>
            <w:r>
              <w:rPr>
                <w:rFonts w:hint="eastAsia"/>
              </w:rPr>
              <w:t>0</w:t>
            </w:r>
            <w:r>
              <w:t>.41</w:t>
            </w:r>
            <w:r>
              <w:rPr>
                <w:rFonts w:hint="eastAsia"/>
              </w:rPr>
              <w:t>t</w:t>
            </w:r>
            <w:r>
              <w:t>/a</w:t>
            </w:r>
          </w:p>
        </w:tc>
        <w:tc>
          <w:tcPr>
            <w:tcW w:w="1233" w:type="pct"/>
            <w:vMerge w:val="restart"/>
            <w:tcBorders>
              <w:tl2br w:val="nil"/>
              <w:tr2bl w:val="nil"/>
            </w:tcBorders>
            <w:shd w:val="clear" w:color="auto" w:fill="auto"/>
            <w:vAlign w:val="center"/>
          </w:tcPr>
          <w:p>
            <w:pPr>
              <w:pStyle w:val="141"/>
            </w:pPr>
            <w:r>
              <w:t>经三级化粪处理后，</w:t>
            </w:r>
            <w:r>
              <w:rPr>
                <w:rFonts w:hint="eastAsia"/>
              </w:rPr>
              <w:t>由附近村民定期清掏用于肥田回用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vAlign w:val="center"/>
          </w:tcPr>
          <w:p>
            <w:pPr>
              <w:pStyle w:val="141"/>
            </w:pPr>
          </w:p>
        </w:tc>
        <w:tc>
          <w:tcPr>
            <w:tcW w:w="435" w:type="pct"/>
            <w:vMerge w:val="continue"/>
            <w:tcBorders>
              <w:tl2br w:val="nil"/>
              <w:tr2bl w:val="nil"/>
            </w:tcBorders>
            <w:vAlign w:val="center"/>
          </w:tcPr>
          <w:p>
            <w:pPr>
              <w:pStyle w:val="141"/>
            </w:pPr>
          </w:p>
        </w:tc>
        <w:tc>
          <w:tcPr>
            <w:tcW w:w="1008" w:type="pct"/>
            <w:vMerge w:val="continue"/>
            <w:tcBorders>
              <w:tl2br w:val="nil"/>
              <w:tr2bl w:val="nil"/>
            </w:tcBorders>
            <w:vAlign w:val="center"/>
          </w:tcPr>
          <w:p>
            <w:pPr>
              <w:pStyle w:val="141"/>
            </w:pPr>
          </w:p>
        </w:tc>
        <w:tc>
          <w:tcPr>
            <w:tcW w:w="756" w:type="pct"/>
            <w:tcBorders>
              <w:tl2br w:val="nil"/>
              <w:tr2bl w:val="nil"/>
            </w:tcBorders>
            <w:shd w:val="clear" w:color="auto" w:fill="auto"/>
            <w:vAlign w:val="center"/>
          </w:tcPr>
          <w:p>
            <w:pPr>
              <w:pStyle w:val="141"/>
            </w:pPr>
            <w:r>
              <w:rPr>
                <w:rFonts w:hint="eastAsia"/>
              </w:rPr>
              <w:t>B</w:t>
            </w:r>
            <w:r>
              <w:t>OD5</w:t>
            </w:r>
          </w:p>
        </w:tc>
        <w:tc>
          <w:tcPr>
            <w:tcW w:w="1218" w:type="pct"/>
            <w:tcBorders>
              <w:tl2br w:val="nil"/>
              <w:tr2bl w:val="nil"/>
            </w:tcBorders>
            <w:shd w:val="clear" w:color="auto" w:fill="auto"/>
            <w:vAlign w:val="center"/>
          </w:tcPr>
          <w:p>
            <w:pPr>
              <w:pStyle w:val="141"/>
            </w:pPr>
            <w:r>
              <w:t>150mg/l，</w:t>
            </w:r>
            <w:r>
              <w:rPr>
                <w:rFonts w:hint="eastAsia"/>
              </w:rPr>
              <w:t>0</w:t>
            </w:r>
            <w:r>
              <w:t>.25</w:t>
            </w:r>
            <w:r>
              <w:rPr>
                <w:rFonts w:hint="eastAsia"/>
              </w:rPr>
              <w:t>t</w:t>
            </w:r>
            <w:r>
              <w:t>/a</w:t>
            </w:r>
          </w:p>
        </w:tc>
        <w:tc>
          <w:tcPr>
            <w:tcW w:w="1233" w:type="pct"/>
            <w:vMerge w:val="continue"/>
            <w:tcBorders>
              <w:tl2br w:val="nil"/>
              <w:tr2bl w:val="nil"/>
            </w:tcBorders>
            <w:shd w:val="clear" w:color="auto" w:fill="auto"/>
            <w:vAlign w:val="center"/>
          </w:tcPr>
          <w:p>
            <w:pPr>
              <w:pStyle w:val="141"/>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vAlign w:val="center"/>
          </w:tcPr>
          <w:p>
            <w:pPr>
              <w:pStyle w:val="141"/>
            </w:pPr>
          </w:p>
        </w:tc>
        <w:tc>
          <w:tcPr>
            <w:tcW w:w="435" w:type="pct"/>
            <w:vMerge w:val="continue"/>
            <w:tcBorders>
              <w:tl2br w:val="nil"/>
              <w:tr2bl w:val="nil"/>
            </w:tcBorders>
            <w:vAlign w:val="center"/>
          </w:tcPr>
          <w:p>
            <w:pPr>
              <w:pStyle w:val="141"/>
            </w:pPr>
          </w:p>
        </w:tc>
        <w:tc>
          <w:tcPr>
            <w:tcW w:w="1008" w:type="pct"/>
            <w:vMerge w:val="continue"/>
            <w:tcBorders>
              <w:tl2br w:val="nil"/>
              <w:tr2bl w:val="nil"/>
            </w:tcBorders>
            <w:vAlign w:val="center"/>
          </w:tcPr>
          <w:p>
            <w:pPr>
              <w:pStyle w:val="141"/>
            </w:pPr>
          </w:p>
        </w:tc>
        <w:tc>
          <w:tcPr>
            <w:tcW w:w="756" w:type="pct"/>
            <w:tcBorders>
              <w:tl2br w:val="nil"/>
              <w:tr2bl w:val="nil"/>
            </w:tcBorders>
            <w:shd w:val="clear" w:color="auto" w:fill="auto"/>
            <w:vAlign w:val="center"/>
          </w:tcPr>
          <w:p>
            <w:pPr>
              <w:pStyle w:val="141"/>
            </w:pPr>
            <w:r>
              <w:rPr>
                <w:rFonts w:hint="eastAsia"/>
              </w:rPr>
              <w:t>S</w:t>
            </w:r>
            <w:r>
              <w:t>S</w:t>
            </w:r>
          </w:p>
        </w:tc>
        <w:tc>
          <w:tcPr>
            <w:tcW w:w="1218" w:type="pct"/>
            <w:tcBorders>
              <w:tl2br w:val="nil"/>
              <w:tr2bl w:val="nil"/>
            </w:tcBorders>
            <w:shd w:val="clear" w:color="auto" w:fill="auto"/>
            <w:vAlign w:val="center"/>
          </w:tcPr>
          <w:p>
            <w:pPr>
              <w:pStyle w:val="141"/>
            </w:pPr>
            <w:r>
              <w:t>200mg/l，</w:t>
            </w:r>
            <w:r>
              <w:rPr>
                <w:rFonts w:hint="eastAsia"/>
              </w:rPr>
              <w:t>0</w:t>
            </w:r>
            <w:r>
              <w:t>.33</w:t>
            </w:r>
            <w:r>
              <w:rPr>
                <w:rFonts w:hint="eastAsia"/>
              </w:rPr>
              <w:t>t</w:t>
            </w:r>
            <w:r>
              <w:t>/a</w:t>
            </w:r>
          </w:p>
        </w:tc>
        <w:tc>
          <w:tcPr>
            <w:tcW w:w="1233" w:type="pct"/>
            <w:vMerge w:val="continue"/>
            <w:tcBorders>
              <w:tl2br w:val="nil"/>
              <w:tr2bl w:val="nil"/>
            </w:tcBorders>
            <w:shd w:val="clear" w:color="auto" w:fill="auto"/>
            <w:vAlign w:val="center"/>
          </w:tcPr>
          <w:p>
            <w:pPr>
              <w:pStyle w:val="141"/>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vAlign w:val="center"/>
          </w:tcPr>
          <w:p>
            <w:pPr>
              <w:pStyle w:val="141"/>
            </w:pPr>
          </w:p>
        </w:tc>
        <w:tc>
          <w:tcPr>
            <w:tcW w:w="435" w:type="pct"/>
            <w:vMerge w:val="continue"/>
            <w:tcBorders>
              <w:tl2br w:val="nil"/>
              <w:tr2bl w:val="nil"/>
            </w:tcBorders>
            <w:vAlign w:val="center"/>
          </w:tcPr>
          <w:p>
            <w:pPr>
              <w:pStyle w:val="141"/>
            </w:pPr>
          </w:p>
        </w:tc>
        <w:tc>
          <w:tcPr>
            <w:tcW w:w="1008" w:type="pct"/>
            <w:vMerge w:val="continue"/>
            <w:tcBorders>
              <w:tl2br w:val="nil"/>
              <w:tr2bl w:val="nil"/>
            </w:tcBorders>
            <w:vAlign w:val="center"/>
          </w:tcPr>
          <w:p>
            <w:pPr>
              <w:pStyle w:val="141"/>
            </w:pPr>
          </w:p>
        </w:tc>
        <w:tc>
          <w:tcPr>
            <w:tcW w:w="756" w:type="pct"/>
            <w:tcBorders>
              <w:tl2br w:val="nil"/>
              <w:tr2bl w:val="nil"/>
            </w:tcBorders>
            <w:shd w:val="clear" w:color="auto" w:fill="auto"/>
            <w:vAlign w:val="center"/>
          </w:tcPr>
          <w:p>
            <w:pPr>
              <w:pStyle w:val="141"/>
            </w:pPr>
            <w:r>
              <w:t>氨氮</w:t>
            </w:r>
          </w:p>
        </w:tc>
        <w:tc>
          <w:tcPr>
            <w:tcW w:w="1218" w:type="pct"/>
            <w:tcBorders>
              <w:tl2br w:val="nil"/>
              <w:tr2bl w:val="nil"/>
            </w:tcBorders>
            <w:shd w:val="clear" w:color="auto" w:fill="auto"/>
            <w:vAlign w:val="center"/>
          </w:tcPr>
          <w:p>
            <w:pPr>
              <w:pStyle w:val="141"/>
            </w:pPr>
            <w:r>
              <w:t>25mg/l，</w:t>
            </w:r>
            <w:r>
              <w:rPr>
                <w:rFonts w:hint="eastAsia"/>
              </w:rPr>
              <w:t>0</w:t>
            </w:r>
            <w:r>
              <w:t>.04</w:t>
            </w:r>
            <w:r>
              <w:rPr>
                <w:rFonts w:hint="eastAsia"/>
              </w:rPr>
              <w:t>t</w:t>
            </w:r>
            <w:r>
              <w:t>/a</w:t>
            </w:r>
          </w:p>
        </w:tc>
        <w:tc>
          <w:tcPr>
            <w:tcW w:w="1233" w:type="pct"/>
            <w:vMerge w:val="continue"/>
            <w:tcBorders>
              <w:tl2br w:val="nil"/>
              <w:tr2bl w:val="nil"/>
            </w:tcBorders>
            <w:shd w:val="clear" w:color="auto" w:fill="auto"/>
            <w:vAlign w:val="center"/>
          </w:tcPr>
          <w:p>
            <w:pPr>
              <w:pStyle w:val="141"/>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vAlign w:val="center"/>
          </w:tcPr>
          <w:p>
            <w:pPr>
              <w:pStyle w:val="141"/>
            </w:pPr>
          </w:p>
        </w:tc>
        <w:tc>
          <w:tcPr>
            <w:tcW w:w="435" w:type="pct"/>
            <w:vMerge w:val="continue"/>
            <w:tcBorders>
              <w:tl2br w:val="nil"/>
              <w:tr2bl w:val="nil"/>
            </w:tcBorders>
            <w:vAlign w:val="center"/>
          </w:tcPr>
          <w:p>
            <w:pPr>
              <w:pStyle w:val="141"/>
            </w:pPr>
          </w:p>
        </w:tc>
        <w:tc>
          <w:tcPr>
            <w:tcW w:w="1008" w:type="pct"/>
            <w:vMerge w:val="continue"/>
            <w:tcBorders>
              <w:tl2br w:val="nil"/>
              <w:tr2bl w:val="nil"/>
            </w:tcBorders>
            <w:vAlign w:val="center"/>
          </w:tcPr>
          <w:p>
            <w:pPr>
              <w:pStyle w:val="141"/>
            </w:pPr>
          </w:p>
        </w:tc>
        <w:tc>
          <w:tcPr>
            <w:tcW w:w="756" w:type="pct"/>
            <w:tcBorders>
              <w:tl2br w:val="nil"/>
              <w:tr2bl w:val="nil"/>
            </w:tcBorders>
            <w:shd w:val="clear" w:color="auto" w:fill="auto"/>
            <w:vAlign w:val="center"/>
          </w:tcPr>
          <w:p>
            <w:pPr>
              <w:pStyle w:val="141"/>
            </w:pPr>
            <w:r>
              <w:t>动植物油</w:t>
            </w:r>
          </w:p>
        </w:tc>
        <w:tc>
          <w:tcPr>
            <w:tcW w:w="1218" w:type="pct"/>
            <w:tcBorders>
              <w:tl2br w:val="nil"/>
              <w:tr2bl w:val="nil"/>
            </w:tcBorders>
            <w:shd w:val="clear" w:color="auto" w:fill="auto"/>
            <w:vAlign w:val="center"/>
          </w:tcPr>
          <w:p>
            <w:pPr>
              <w:pStyle w:val="141"/>
            </w:pPr>
            <w:r>
              <w:t>50mg/l，</w:t>
            </w:r>
            <w:r>
              <w:rPr>
                <w:rFonts w:hint="eastAsia"/>
              </w:rPr>
              <w:t>0</w:t>
            </w:r>
            <w:r>
              <w:t>.08</w:t>
            </w:r>
            <w:r>
              <w:rPr>
                <w:rFonts w:hint="eastAsia"/>
              </w:rPr>
              <w:t>t</w:t>
            </w:r>
            <w:r>
              <w:t>/a</w:t>
            </w:r>
          </w:p>
        </w:tc>
        <w:tc>
          <w:tcPr>
            <w:tcW w:w="1233" w:type="pct"/>
            <w:vMerge w:val="continue"/>
            <w:tcBorders>
              <w:tl2br w:val="nil"/>
              <w:tr2bl w:val="nil"/>
            </w:tcBorders>
            <w:shd w:val="clear" w:color="auto" w:fill="auto"/>
            <w:vAlign w:val="center"/>
          </w:tcPr>
          <w:p>
            <w:pPr>
              <w:pStyle w:val="141"/>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restart"/>
            <w:tcBorders>
              <w:tl2br w:val="nil"/>
              <w:tr2bl w:val="nil"/>
            </w:tcBorders>
            <w:vAlign w:val="center"/>
          </w:tcPr>
          <w:p>
            <w:pPr>
              <w:pStyle w:val="141"/>
            </w:pPr>
            <w:r>
              <w:t>固体</w:t>
            </w:r>
          </w:p>
          <w:p>
            <w:pPr>
              <w:pStyle w:val="141"/>
            </w:pPr>
            <w:r>
              <w:t>废物</w:t>
            </w:r>
          </w:p>
        </w:tc>
        <w:tc>
          <w:tcPr>
            <w:tcW w:w="435" w:type="pct"/>
            <w:vMerge w:val="restart"/>
            <w:tcBorders>
              <w:tl2br w:val="nil"/>
              <w:tr2bl w:val="nil"/>
            </w:tcBorders>
            <w:vAlign w:val="center"/>
          </w:tcPr>
          <w:p>
            <w:pPr>
              <w:pStyle w:val="141"/>
            </w:pPr>
            <w:r>
              <w:rPr>
                <w:rFonts w:hint="eastAsia"/>
              </w:rPr>
              <w:t>施工期</w:t>
            </w:r>
          </w:p>
        </w:tc>
        <w:tc>
          <w:tcPr>
            <w:tcW w:w="1008" w:type="pct"/>
            <w:tcBorders>
              <w:tl2br w:val="nil"/>
              <w:tr2bl w:val="nil"/>
            </w:tcBorders>
            <w:vAlign w:val="center"/>
          </w:tcPr>
          <w:p>
            <w:pPr>
              <w:pStyle w:val="141"/>
            </w:pPr>
            <w:r>
              <w:rPr>
                <w:rFonts w:hint="eastAsia"/>
              </w:rPr>
              <w:t>建筑垃圾</w:t>
            </w:r>
          </w:p>
        </w:tc>
        <w:tc>
          <w:tcPr>
            <w:tcW w:w="756" w:type="pct"/>
            <w:tcBorders>
              <w:tl2br w:val="nil"/>
              <w:tr2bl w:val="nil"/>
            </w:tcBorders>
            <w:shd w:val="clear" w:color="auto" w:fill="auto"/>
            <w:vAlign w:val="center"/>
          </w:tcPr>
          <w:p>
            <w:pPr>
              <w:pStyle w:val="141"/>
            </w:pPr>
            <w:r>
              <w:rPr>
                <w:rFonts w:hint="eastAsia"/>
              </w:rPr>
              <w:t>建筑垃圾</w:t>
            </w:r>
          </w:p>
        </w:tc>
        <w:tc>
          <w:tcPr>
            <w:tcW w:w="1218" w:type="pct"/>
            <w:tcBorders>
              <w:tl2br w:val="nil"/>
              <w:tr2bl w:val="nil"/>
            </w:tcBorders>
            <w:shd w:val="clear" w:color="auto" w:fill="auto"/>
            <w:vAlign w:val="center"/>
          </w:tcPr>
          <w:p>
            <w:pPr>
              <w:pStyle w:val="141"/>
            </w:pPr>
            <w:r>
              <w:t>19.82</w:t>
            </w:r>
            <w:r>
              <w:rPr>
                <w:rFonts w:hint="eastAsia"/>
              </w:rPr>
              <w:t>t</w:t>
            </w:r>
          </w:p>
        </w:tc>
        <w:tc>
          <w:tcPr>
            <w:tcW w:w="1233" w:type="pct"/>
            <w:tcBorders>
              <w:tl2br w:val="nil"/>
              <w:tr2bl w:val="nil"/>
            </w:tcBorders>
            <w:shd w:val="clear" w:color="auto" w:fill="auto"/>
            <w:vAlign w:val="center"/>
          </w:tcPr>
          <w:p>
            <w:pPr>
              <w:pStyle w:val="141"/>
            </w:pPr>
            <w:r>
              <w:rPr>
                <w:rFonts w:hint="eastAsia"/>
              </w:rPr>
              <w:t>运至指定场所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vAlign w:val="center"/>
          </w:tcPr>
          <w:p>
            <w:pPr>
              <w:pStyle w:val="141"/>
            </w:pPr>
          </w:p>
        </w:tc>
        <w:tc>
          <w:tcPr>
            <w:tcW w:w="435" w:type="pct"/>
            <w:vMerge w:val="continue"/>
            <w:tcBorders>
              <w:tl2br w:val="nil"/>
              <w:tr2bl w:val="nil"/>
            </w:tcBorders>
            <w:vAlign w:val="center"/>
          </w:tcPr>
          <w:p>
            <w:pPr>
              <w:pStyle w:val="141"/>
            </w:pPr>
          </w:p>
        </w:tc>
        <w:tc>
          <w:tcPr>
            <w:tcW w:w="1008" w:type="pct"/>
            <w:tcBorders>
              <w:tl2br w:val="nil"/>
              <w:tr2bl w:val="nil"/>
            </w:tcBorders>
            <w:vAlign w:val="center"/>
          </w:tcPr>
          <w:p>
            <w:pPr>
              <w:pStyle w:val="141"/>
            </w:pPr>
            <w:r>
              <w:rPr>
                <w:rFonts w:hint="eastAsia"/>
              </w:rPr>
              <w:t>余泥</w:t>
            </w:r>
          </w:p>
        </w:tc>
        <w:tc>
          <w:tcPr>
            <w:tcW w:w="756" w:type="pct"/>
            <w:tcBorders>
              <w:tl2br w:val="nil"/>
              <w:tr2bl w:val="nil"/>
            </w:tcBorders>
            <w:shd w:val="clear" w:color="auto" w:fill="auto"/>
            <w:vAlign w:val="center"/>
          </w:tcPr>
          <w:p>
            <w:pPr>
              <w:pStyle w:val="141"/>
            </w:pPr>
            <w:r>
              <w:rPr>
                <w:rFonts w:hint="eastAsia"/>
              </w:rPr>
              <w:t>土石方</w:t>
            </w:r>
          </w:p>
        </w:tc>
        <w:tc>
          <w:tcPr>
            <w:tcW w:w="1218" w:type="pct"/>
            <w:tcBorders>
              <w:tl2br w:val="nil"/>
              <w:tr2bl w:val="nil"/>
            </w:tcBorders>
            <w:shd w:val="clear" w:color="auto" w:fill="auto"/>
            <w:vAlign w:val="center"/>
          </w:tcPr>
          <w:p>
            <w:pPr>
              <w:pStyle w:val="141"/>
            </w:pPr>
            <w:r>
              <w:t>519.25</w:t>
            </w:r>
            <w:r>
              <w:rPr>
                <w:rFonts w:hint="eastAsia"/>
              </w:rPr>
              <w:t>m</w:t>
            </w:r>
            <w:r>
              <w:rPr>
                <w:vertAlign w:val="superscript"/>
              </w:rPr>
              <w:t>3</w:t>
            </w:r>
          </w:p>
        </w:tc>
        <w:tc>
          <w:tcPr>
            <w:tcW w:w="1233" w:type="pct"/>
            <w:tcBorders>
              <w:tl2br w:val="nil"/>
              <w:tr2bl w:val="nil"/>
            </w:tcBorders>
            <w:shd w:val="clear" w:color="auto" w:fill="auto"/>
            <w:vAlign w:val="center"/>
          </w:tcPr>
          <w:p>
            <w:pPr>
              <w:pStyle w:val="141"/>
            </w:pPr>
            <w:r>
              <w:rPr>
                <w:rFonts w:hint="eastAsia"/>
              </w:rPr>
              <w:t>基础填方、站内道路及绿化建筑，没有外排土方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vAlign w:val="center"/>
          </w:tcPr>
          <w:p>
            <w:pPr>
              <w:pStyle w:val="141"/>
            </w:pPr>
          </w:p>
        </w:tc>
        <w:tc>
          <w:tcPr>
            <w:tcW w:w="435" w:type="pct"/>
            <w:vMerge w:val="continue"/>
            <w:tcBorders>
              <w:tl2br w:val="nil"/>
              <w:tr2bl w:val="nil"/>
            </w:tcBorders>
            <w:vAlign w:val="center"/>
          </w:tcPr>
          <w:p>
            <w:pPr>
              <w:pStyle w:val="141"/>
            </w:pPr>
          </w:p>
        </w:tc>
        <w:tc>
          <w:tcPr>
            <w:tcW w:w="1008" w:type="pct"/>
            <w:tcBorders>
              <w:tl2br w:val="nil"/>
              <w:tr2bl w:val="nil"/>
            </w:tcBorders>
            <w:vAlign w:val="center"/>
          </w:tcPr>
          <w:p>
            <w:pPr>
              <w:pStyle w:val="141"/>
            </w:pPr>
            <w:r>
              <w:rPr>
                <w:rFonts w:hint="eastAsia"/>
              </w:rPr>
              <w:t>生活垃圾</w:t>
            </w:r>
          </w:p>
        </w:tc>
        <w:tc>
          <w:tcPr>
            <w:tcW w:w="756" w:type="pct"/>
            <w:tcBorders>
              <w:tl2br w:val="nil"/>
              <w:tr2bl w:val="nil"/>
            </w:tcBorders>
            <w:shd w:val="clear" w:color="auto" w:fill="auto"/>
            <w:vAlign w:val="center"/>
          </w:tcPr>
          <w:p>
            <w:pPr>
              <w:pStyle w:val="141"/>
            </w:pPr>
            <w:r>
              <w:rPr>
                <w:rFonts w:hint="eastAsia"/>
              </w:rPr>
              <w:t>生活垃圾</w:t>
            </w:r>
          </w:p>
        </w:tc>
        <w:tc>
          <w:tcPr>
            <w:tcW w:w="1218" w:type="pct"/>
            <w:tcBorders>
              <w:tl2br w:val="nil"/>
              <w:tr2bl w:val="nil"/>
            </w:tcBorders>
            <w:shd w:val="clear" w:color="auto" w:fill="auto"/>
            <w:vAlign w:val="center"/>
          </w:tcPr>
          <w:p>
            <w:pPr>
              <w:pStyle w:val="141"/>
            </w:pPr>
            <w:r>
              <w:t>0.68t</w:t>
            </w:r>
          </w:p>
        </w:tc>
        <w:tc>
          <w:tcPr>
            <w:tcW w:w="1233" w:type="pct"/>
            <w:tcBorders>
              <w:tl2br w:val="nil"/>
              <w:tr2bl w:val="nil"/>
            </w:tcBorders>
            <w:shd w:val="clear" w:color="auto" w:fill="auto"/>
            <w:vAlign w:val="center"/>
          </w:tcPr>
          <w:p>
            <w:pPr>
              <w:pStyle w:val="141"/>
            </w:pPr>
            <w:r>
              <w:rPr>
                <w:rFonts w:hint="eastAsia"/>
                <w:bCs/>
              </w:rPr>
              <w:t>交由环卫部门统一处理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vAlign w:val="center"/>
          </w:tcPr>
          <w:p>
            <w:pPr>
              <w:pStyle w:val="141"/>
            </w:pPr>
          </w:p>
        </w:tc>
        <w:tc>
          <w:tcPr>
            <w:tcW w:w="435" w:type="pct"/>
            <w:vMerge w:val="restart"/>
            <w:tcBorders>
              <w:tl2br w:val="nil"/>
              <w:tr2bl w:val="nil"/>
            </w:tcBorders>
            <w:vAlign w:val="center"/>
          </w:tcPr>
          <w:p>
            <w:pPr>
              <w:pStyle w:val="141"/>
              <w:rPr>
                <w:bCs/>
              </w:rPr>
            </w:pPr>
            <w:r>
              <w:rPr>
                <w:rFonts w:hint="eastAsia"/>
                <w:bCs/>
              </w:rPr>
              <w:t>运营期</w:t>
            </w:r>
          </w:p>
        </w:tc>
        <w:tc>
          <w:tcPr>
            <w:tcW w:w="1008" w:type="pct"/>
            <w:tcBorders>
              <w:tl2br w:val="nil"/>
              <w:tr2bl w:val="nil"/>
            </w:tcBorders>
            <w:vAlign w:val="center"/>
          </w:tcPr>
          <w:p>
            <w:pPr>
              <w:pStyle w:val="141"/>
            </w:pPr>
            <w:r>
              <w:rPr>
                <w:rFonts w:hint="eastAsia"/>
              </w:rPr>
              <w:t>日常生活</w:t>
            </w:r>
          </w:p>
        </w:tc>
        <w:tc>
          <w:tcPr>
            <w:tcW w:w="756" w:type="pct"/>
            <w:tcBorders>
              <w:tl2br w:val="nil"/>
              <w:tr2bl w:val="nil"/>
            </w:tcBorders>
            <w:vAlign w:val="center"/>
          </w:tcPr>
          <w:p>
            <w:pPr>
              <w:pStyle w:val="141"/>
            </w:pPr>
            <w:r>
              <w:t>生活垃圾</w:t>
            </w:r>
          </w:p>
        </w:tc>
        <w:tc>
          <w:tcPr>
            <w:tcW w:w="1218" w:type="pct"/>
            <w:tcBorders>
              <w:tl2br w:val="nil"/>
              <w:tr2bl w:val="nil"/>
            </w:tcBorders>
            <w:shd w:val="clear" w:color="auto" w:fill="auto"/>
            <w:vAlign w:val="center"/>
          </w:tcPr>
          <w:p>
            <w:pPr>
              <w:pStyle w:val="141"/>
            </w:pPr>
            <w:r>
              <w:t>10.22t/a</w:t>
            </w:r>
          </w:p>
        </w:tc>
        <w:tc>
          <w:tcPr>
            <w:tcW w:w="1233" w:type="pct"/>
            <w:tcBorders>
              <w:tl2br w:val="nil"/>
              <w:tr2bl w:val="nil"/>
            </w:tcBorders>
            <w:shd w:val="clear" w:color="auto" w:fill="auto"/>
            <w:vAlign w:val="center"/>
          </w:tcPr>
          <w:p>
            <w:pPr>
              <w:pStyle w:val="141"/>
              <w:rPr>
                <w:bCs/>
              </w:rPr>
            </w:pPr>
            <w:r>
              <w:rPr>
                <w:rFonts w:hint="eastAsia"/>
                <w:bCs/>
              </w:rPr>
              <w:t>交由环卫部门统一处理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vAlign w:val="center"/>
          </w:tcPr>
          <w:p>
            <w:pPr>
              <w:pStyle w:val="141"/>
            </w:pPr>
          </w:p>
        </w:tc>
        <w:tc>
          <w:tcPr>
            <w:tcW w:w="435" w:type="pct"/>
            <w:vMerge w:val="continue"/>
            <w:tcBorders>
              <w:tl2br w:val="nil"/>
              <w:tr2bl w:val="nil"/>
            </w:tcBorders>
            <w:vAlign w:val="center"/>
          </w:tcPr>
          <w:p>
            <w:pPr>
              <w:pStyle w:val="141"/>
              <w:rPr>
                <w:bCs/>
              </w:rPr>
            </w:pPr>
          </w:p>
        </w:tc>
        <w:tc>
          <w:tcPr>
            <w:tcW w:w="1008" w:type="pct"/>
            <w:vMerge w:val="restart"/>
            <w:tcBorders>
              <w:tl2br w:val="nil"/>
              <w:tr2bl w:val="nil"/>
            </w:tcBorders>
            <w:vAlign w:val="center"/>
          </w:tcPr>
          <w:p>
            <w:pPr>
              <w:pStyle w:val="141"/>
              <w:rPr>
                <w:bCs/>
              </w:rPr>
            </w:pPr>
            <w:r>
              <w:t>危险废物</w:t>
            </w:r>
          </w:p>
        </w:tc>
        <w:tc>
          <w:tcPr>
            <w:tcW w:w="756" w:type="pct"/>
            <w:tcBorders>
              <w:tl2br w:val="nil"/>
              <w:tr2bl w:val="nil"/>
            </w:tcBorders>
            <w:vAlign w:val="center"/>
          </w:tcPr>
          <w:p>
            <w:pPr>
              <w:pStyle w:val="141"/>
            </w:pPr>
            <w:r>
              <w:rPr>
                <w:rFonts w:hint="eastAsia"/>
              </w:rPr>
              <w:t>废含油抹布</w:t>
            </w:r>
          </w:p>
        </w:tc>
        <w:tc>
          <w:tcPr>
            <w:tcW w:w="1218" w:type="pct"/>
            <w:tcBorders>
              <w:tl2br w:val="nil"/>
              <w:tr2bl w:val="nil"/>
            </w:tcBorders>
            <w:shd w:val="clear" w:color="auto" w:fill="auto"/>
            <w:vAlign w:val="center"/>
          </w:tcPr>
          <w:p>
            <w:pPr>
              <w:pStyle w:val="141"/>
              <w:rPr>
                <w:bCs/>
                <w:vertAlign w:val="superscript"/>
              </w:rPr>
            </w:pPr>
            <w:r>
              <w:t>0</w:t>
            </w:r>
            <w:r>
              <w:rPr>
                <w:rFonts w:hint="eastAsia"/>
              </w:rPr>
              <w:t>.</w:t>
            </w:r>
            <w:r>
              <w:t>01t/a</w:t>
            </w:r>
          </w:p>
        </w:tc>
        <w:tc>
          <w:tcPr>
            <w:tcW w:w="1233" w:type="pct"/>
            <w:vMerge w:val="restart"/>
            <w:tcBorders>
              <w:tl2br w:val="nil"/>
              <w:tr2bl w:val="nil"/>
            </w:tcBorders>
            <w:shd w:val="clear" w:color="auto" w:fill="auto"/>
            <w:vAlign w:val="center"/>
          </w:tcPr>
          <w:p>
            <w:pPr>
              <w:pStyle w:val="141"/>
              <w:rPr>
                <w:bCs/>
              </w:rPr>
            </w:pPr>
            <w:r>
              <w:rPr>
                <w:rFonts w:hint="eastAsia"/>
                <w:bCs/>
              </w:rPr>
              <w:t>交有相关资质的单位收运处理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vAlign w:val="center"/>
          </w:tcPr>
          <w:p>
            <w:pPr>
              <w:pStyle w:val="141"/>
            </w:pPr>
          </w:p>
        </w:tc>
        <w:tc>
          <w:tcPr>
            <w:tcW w:w="435" w:type="pct"/>
            <w:vMerge w:val="continue"/>
            <w:tcBorders>
              <w:tl2br w:val="nil"/>
              <w:tr2bl w:val="nil"/>
            </w:tcBorders>
            <w:vAlign w:val="center"/>
          </w:tcPr>
          <w:p>
            <w:pPr>
              <w:pStyle w:val="141"/>
              <w:rPr>
                <w:bCs/>
              </w:rPr>
            </w:pPr>
          </w:p>
        </w:tc>
        <w:tc>
          <w:tcPr>
            <w:tcW w:w="1008" w:type="pct"/>
            <w:vMerge w:val="continue"/>
            <w:tcBorders>
              <w:tl2br w:val="nil"/>
              <w:tr2bl w:val="nil"/>
            </w:tcBorders>
            <w:vAlign w:val="center"/>
          </w:tcPr>
          <w:p>
            <w:pPr>
              <w:pStyle w:val="141"/>
            </w:pPr>
          </w:p>
        </w:tc>
        <w:tc>
          <w:tcPr>
            <w:tcW w:w="756" w:type="pct"/>
            <w:tcBorders>
              <w:tl2br w:val="nil"/>
              <w:tr2bl w:val="nil"/>
            </w:tcBorders>
            <w:vAlign w:val="center"/>
          </w:tcPr>
          <w:p>
            <w:pPr>
              <w:pStyle w:val="141"/>
            </w:pPr>
            <w:r>
              <w:rPr>
                <w:rFonts w:hint="eastAsia"/>
              </w:rPr>
              <w:t>废油</w:t>
            </w:r>
          </w:p>
        </w:tc>
        <w:tc>
          <w:tcPr>
            <w:tcW w:w="1218" w:type="pct"/>
            <w:tcBorders>
              <w:tl2br w:val="nil"/>
              <w:tr2bl w:val="nil"/>
            </w:tcBorders>
            <w:vAlign w:val="center"/>
          </w:tcPr>
          <w:p>
            <w:pPr>
              <w:pStyle w:val="141"/>
            </w:pPr>
            <w:r>
              <w:t>0.02t/a</w:t>
            </w:r>
          </w:p>
        </w:tc>
        <w:tc>
          <w:tcPr>
            <w:tcW w:w="1233" w:type="pct"/>
            <w:vMerge w:val="continue"/>
            <w:tcBorders>
              <w:tl2br w:val="nil"/>
              <w:tr2bl w:val="nil"/>
            </w:tcBorders>
            <w:vAlign w:val="center"/>
          </w:tcPr>
          <w:p>
            <w:pPr>
              <w:pStyle w:val="141"/>
              <w:rPr>
                <w:bC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vAlign w:val="center"/>
          </w:tcPr>
          <w:p>
            <w:pPr>
              <w:pStyle w:val="141"/>
            </w:pPr>
          </w:p>
        </w:tc>
        <w:tc>
          <w:tcPr>
            <w:tcW w:w="435" w:type="pct"/>
            <w:vMerge w:val="continue"/>
            <w:tcBorders>
              <w:tl2br w:val="nil"/>
              <w:tr2bl w:val="nil"/>
            </w:tcBorders>
            <w:vAlign w:val="center"/>
          </w:tcPr>
          <w:p>
            <w:pPr>
              <w:pStyle w:val="141"/>
              <w:rPr>
                <w:bCs/>
              </w:rPr>
            </w:pPr>
          </w:p>
        </w:tc>
        <w:tc>
          <w:tcPr>
            <w:tcW w:w="1008" w:type="pct"/>
            <w:vMerge w:val="continue"/>
            <w:tcBorders>
              <w:tl2br w:val="nil"/>
              <w:tr2bl w:val="nil"/>
            </w:tcBorders>
            <w:vAlign w:val="center"/>
          </w:tcPr>
          <w:p>
            <w:pPr>
              <w:pStyle w:val="141"/>
            </w:pPr>
          </w:p>
        </w:tc>
        <w:tc>
          <w:tcPr>
            <w:tcW w:w="756" w:type="pct"/>
            <w:tcBorders>
              <w:tl2br w:val="nil"/>
              <w:tr2bl w:val="nil"/>
            </w:tcBorders>
            <w:vAlign w:val="center"/>
          </w:tcPr>
          <w:p>
            <w:pPr>
              <w:pStyle w:val="141"/>
            </w:pPr>
            <w:r>
              <w:rPr>
                <w:rFonts w:hint="eastAsia"/>
              </w:rPr>
              <w:t>油泥</w:t>
            </w:r>
          </w:p>
        </w:tc>
        <w:tc>
          <w:tcPr>
            <w:tcW w:w="1218" w:type="pct"/>
            <w:tcBorders>
              <w:tl2br w:val="nil"/>
              <w:tr2bl w:val="nil"/>
            </w:tcBorders>
            <w:vAlign w:val="center"/>
          </w:tcPr>
          <w:p>
            <w:pPr>
              <w:pStyle w:val="141"/>
            </w:pPr>
            <w:r>
              <w:t>0.05t/</w:t>
            </w:r>
            <w:r>
              <w:rPr>
                <w:rFonts w:hint="eastAsia"/>
              </w:rPr>
              <w:t>次/</w:t>
            </w:r>
            <w:r>
              <w:t>5a</w:t>
            </w:r>
          </w:p>
        </w:tc>
        <w:tc>
          <w:tcPr>
            <w:tcW w:w="1233" w:type="pct"/>
            <w:vMerge w:val="continue"/>
            <w:tcBorders>
              <w:tl2br w:val="nil"/>
              <w:tr2bl w:val="nil"/>
            </w:tcBorders>
            <w:vAlign w:val="center"/>
          </w:tcPr>
          <w:p>
            <w:pPr>
              <w:pStyle w:val="141"/>
              <w:rPr>
                <w:bC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restart"/>
            <w:tcBorders>
              <w:tl2br w:val="nil"/>
              <w:tr2bl w:val="nil"/>
            </w:tcBorders>
            <w:vAlign w:val="center"/>
          </w:tcPr>
          <w:p>
            <w:pPr>
              <w:pStyle w:val="141"/>
            </w:pPr>
            <w:r>
              <w:t>噪声</w:t>
            </w:r>
          </w:p>
        </w:tc>
        <w:tc>
          <w:tcPr>
            <w:tcW w:w="435" w:type="pct"/>
            <w:tcBorders>
              <w:tl2br w:val="nil"/>
              <w:tr2bl w:val="nil"/>
            </w:tcBorders>
            <w:vAlign w:val="center"/>
          </w:tcPr>
          <w:p>
            <w:pPr>
              <w:pStyle w:val="141"/>
              <w:rPr>
                <w:bCs/>
              </w:rPr>
            </w:pPr>
            <w:r>
              <w:rPr>
                <w:rFonts w:hint="eastAsia"/>
                <w:bCs/>
              </w:rPr>
              <w:t>施工期</w:t>
            </w:r>
          </w:p>
        </w:tc>
        <w:tc>
          <w:tcPr>
            <w:tcW w:w="1008" w:type="pct"/>
            <w:tcBorders>
              <w:tl2br w:val="nil"/>
              <w:tr2bl w:val="nil"/>
            </w:tcBorders>
            <w:vAlign w:val="center"/>
          </w:tcPr>
          <w:p>
            <w:pPr>
              <w:pStyle w:val="141"/>
            </w:pPr>
            <w:r>
              <w:rPr>
                <w:rFonts w:hint="eastAsia"/>
              </w:rPr>
              <w:t>机械噪声</w:t>
            </w:r>
          </w:p>
        </w:tc>
        <w:tc>
          <w:tcPr>
            <w:tcW w:w="756" w:type="pct"/>
            <w:tcBorders>
              <w:tl2br w:val="nil"/>
              <w:tr2bl w:val="nil"/>
            </w:tcBorders>
            <w:vAlign w:val="center"/>
          </w:tcPr>
          <w:p>
            <w:pPr>
              <w:pStyle w:val="141"/>
            </w:pPr>
            <w:r>
              <w:rPr>
                <w:rFonts w:hint="eastAsia"/>
              </w:rPr>
              <w:t>挖掘机、运输车辆等运行</w:t>
            </w:r>
          </w:p>
        </w:tc>
        <w:tc>
          <w:tcPr>
            <w:tcW w:w="1218" w:type="pct"/>
            <w:tcBorders>
              <w:tl2br w:val="nil"/>
              <w:tr2bl w:val="nil"/>
            </w:tcBorders>
            <w:vAlign w:val="center"/>
          </w:tcPr>
          <w:p>
            <w:pPr>
              <w:pStyle w:val="141"/>
            </w:pPr>
            <w:r>
              <w:rPr>
                <w:rFonts w:hint="eastAsia"/>
              </w:rPr>
              <w:t>75～105dB（A）</w:t>
            </w:r>
          </w:p>
        </w:tc>
        <w:tc>
          <w:tcPr>
            <w:tcW w:w="1233" w:type="pct"/>
            <w:tcBorders>
              <w:tl2br w:val="nil"/>
              <w:tr2bl w:val="nil"/>
            </w:tcBorders>
            <w:vAlign w:val="center"/>
          </w:tcPr>
          <w:p>
            <w:pPr>
              <w:pStyle w:val="141"/>
              <w:rPr>
                <w:bCs/>
              </w:rPr>
            </w:pPr>
            <w:r>
              <w:rPr>
                <w:rFonts w:hint="eastAsia"/>
                <w:bCs/>
              </w:rPr>
              <w:t>《建筑施工场界环境噪声排放标准》（GB12523-2011）中标准限值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vMerge w:val="continue"/>
            <w:tcBorders>
              <w:tl2br w:val="nil"/>
              <w:tr2bl w:val="nil"/>
            </w:tcBorders>
            <w:vAlign w:val="center"/>
          </w:tcPr>
          <w:p>
            <w:pPr>
              <w:pStyle w:val="141"/>
            </w:pPr>
          </w:p>
        </w:tc>
        <w:tc>
          <w:tcPr>
            <w:tcW w:w="435" w:type="pct"/>
            <w:tcBorders>
              <w:tl2br w:val="nil"/>
              <w:tr2bl w:val="nil"/>
            </w:tcBorders>
            <w:vAlign w:val="center"/>
          </w:tcPr>
          <w:p>
            <w:pPr>
              <w:pStyle w:val="141"/>
              <w:rPr>
                <w:bCs/>
              </w:rPr>
            </w:pPr>
            <w:r>
              <w:rPr>
                <w:rFonts w:hint="eastAsia"/>
                <w:bCs/>
              </w:rPr>
              <w:t>营运期</w:t>
            </w:r>
          </w:p>
        </w:tc>
        <w:tc>
          <w:tcPr>
            <w:tcW w:w="1764" w:type="pct"/>
            <w:gridSpan w:val="2"/>
            <w:tcBorders>
              <w:tl2br w:val="nil"/>
              <w:tr2bl w:val="nil"/>
            </w:tcBorders>
            <w:vAlign w:val="center"/>
          </w:tcPr>
          <w:p>
            <w:pPr>
              <w:pStyle w:val="141"/>
              <w:rPr>
                <w:bCs/>
              </w:rPr>
            </w:pPr>
            <w:r>
              <w:rPr>
                <w:rFonts w:hint="eastAsia"/>
                <w:bCs/>
              </w:rPr>
              <w:t>进出站车辆产生的交通噪声、备</w:t>
            </w:r>
          </w:p>
          <w:p>
            <w:pPr>
              <w:pStyle w:val="141"/>
            </w:pPr>
            <w:r>
              <w:rPr>
                <w:rFonts w:hint="eastAsia"/>
                <w:bCs/>
              </w:rPr>
              <w:t>用发电机运行时产生的噪声</w:t>
            </w:r>
          </w:p>
        </w:tc>
        <w:tc>
          <w:tcPr>
            <w:tcW w:w="1218" w:type="pct"/>
            <w:tcBorders>
              <w:tl2br w:val="nil"/>
              <w:tr2bl w:val="nil"/>
            </w:tcBorders>
            <w:vAlign w:val="center"/>
          </w:tcPr>
          <w:p>
            <w:pPr>
              <w:pStyle w:val="141"/>
            </w:pPr>
            <w:r>
              <w:t>60~80dB(A)</w:t>
            </w:r>
          </w:p>
        </w:tc>
        <w:tc>
          <w:tcPr>
            <w:tcW w:w="1233" w:type="pct"/>
            <w:tcBorders>
              <w:tl2br w:val="nil"/>
              <w:tr2bl w:val="nil"/>
            </w:tcBorders>
            <w:vAlign w:val="center"/>
          </w:tcPr>
          <w:p>
            <w:pPr>
              <w:pStyle w:val="141"/>
              <w:rPr>
                <w:bCs/>
              </w:rPr>
            </w:pPr>
            <w:r>
              <w:rPr>
                <w:rFonts w:hint="eastAsia"/>
                <w:bCs/>
              </w:rPr>
              <w:t>执行《工业企业厂界环境噪声排放标准》(GB12348-2008)中2 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0" w:type="pct"/>
            <w:tcBorders>
              <w:tl2br w:val="nil"/>
              <w:tr2bl w:val="nil"/>
            </w:tcBorders>
            <w:vAlign w:val="center"/>
          </w:tcPr>
          <w:p>
            <w:pPr>
              <w:pStyle w:val="141"/>
            </w:pPr>
            <w:r>
              <w:t>其他</w:t>
            </w:r>
          </w:p>
        </w:tc>
        <w:tc>
          <w:tcPr>
            <w:tcW w:w="4650" w:type="pct"/>
            <w:gridSpan w:val="5"/>
            <w:tcBorders>
              <w:tl2br w:val="nil"/>
              <w:tr2bl w:val="nil"/>
            </w:tcBorders>
            <w:vAlign w:val="center"/>
          </w:tcPr>
          <w:p>
            <w:pPr>
              <w:pStyle w:val="141"/>
              <w:rPr>
                <w:bCs/>
              </w:rPr>
            </w:pPr>
            <w:r>
              <w:rPr>
                <w:rFonts w:hint="eastAsia"/>
                <w:bC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tcBorders>
              <w:tl2br w:val="nil"/>
              <w:tr2bl w:val="nil"/>
            </w:tcBorders>
          </w:tcPr>
          <w:p>
            <w:pPr>
              <w:pStyle w:val="137"/>
              <w:ind w:firstLine="480"/>
            </w:pPr>
            <w:r>
              <w:rPr>
                <w:rFonts w:hint="eastAsia"/>
              </w:rPr>
              <w:t>项目施工扬尘、施工废水、施工噪声以及施工人员的生活垃圾等，会暂时影响项目所在地的环境，但项目施工造成的环境影响早已随着施工期的结束而停止产生已结束。施工期应做好水土保持工作，在雨季施工应防止大量表土被大雨冲刷流入灌渠造成淤塞。项目所在地区基本无需要特殊保护的野生动植物，周围主要是树林、道路等，施工过程占用土地，会对选址区域生态环境产生一定不良影响，建成后通过合理绿化补偿生态损失，整体生态将得到恢复和改善。</w:t>
            </w:r>
          </w:p>
          <w:p>
            <w:pPr>
              <w:pStyle w:val="137"/>
              <w:ind w:firstLine="480"/>
              <w:rPr>
                <w:spacing w:val="-3"/>
              </w:rPr>
            </w:pPr>
            <w:r>
              <w:rPr>
                <w:rFonts w:hint="eastAsia"/>
              </w:rPr>
              <w:t>项目运营后，经加强项目场区绿化建设，生态环境即可得到一定程度的恢复和改善。在做到“三废”达标排放的情况下，本项目的建设对整个区域生态环境影响不大。</w:t>
            </w:r>
          </w:p>
          <w:p>
            <w:pPr>
              <w:pStyle w:val="141"/>
              <w:rPr>
                <w:spacing w:val="-3"/>
              </w:rPr>
            </w:pPr>
          </w:p>
          <w:p>
            <w:pPr>
              <w:pStyle w:val="141"/>
              <w:rPr>
                <w:spacing w:val="-3"/>
              </w:rPr>
            </w:pPr>
          </w:p>
          <w:p>
            <w:pPr>
              <w:pStyle w:val="141"/>
              <w:rPr>
                <w:spacing w:val="-3"/>
              </w:rPr>
            </w:pPr>
          </w:p>
          <w:p>
            <w:pPr>
              <w:pStyle w:val="141"/>
              <w:rPr>
                <w:spacing w:val="-3"/>
              </w:rPr>
            </w:pPr>
          </w:p>
          <w:p>
            <w:pPr>
              <w:pStyle w:val="141"/>
              <w:rPr>
                <w:spacing w:val="-3"/>
              </w:rPr>
            </w:pPr>
          </w:p>
          <w:p>
            <w:pPr>
              <w:pStyle w:val="141"/>
              <w:rPr>
                <w:spacing w:val="-3"/>
              </w:rPr>
            </w:pPr>
          </w:p>
          <w:p>
            <w:pPr>
              <w:pStyle w:val="141"/>
              <w:rPr>
                <w:spacing w:val="-3"/>
              </w:rPr>
            </w:pPr>
          </w:p>
          <w:p>
            <w:pPr>
              <w:pStyle w:val="141"/>
              <w:rPr>
                <w:spacing w:val="-3"/>
              </w:rPr>
            </w:pPr>
          </w:p>
          <w:p>
            <w:pPr>
              <w:pStyle w:val="141"/>
              <w:rPr>
                <w:spacing w:val="-3"/>
              </w:rPr>
            </w:pPr>
          </w:p>
          <w:p>
            <w:pPr>
              <w:pStyle w:val="141"/>
              <w:rPr>
                <w:spacing w:val="-3"/>
              </w:rPr>
            </w:pPr>
          </w:p>
          <w:p>
            <w:pPr>
              <w:pStyle w:val="137"/>
              <w:ind w:firstLine="480"/>
            </w:pPr>
          </w:p>
          <w:p>
            <w:pPr>
              <w:pStyle w:val="137"/>
              <w:ind w:firstLine="480"/>
            </w:pPr>
          </w:p>
          <w:p>
            <w:pPr>
              <w:pStyle w:val="137"/>
              <w:ind w:firstLine="480"/>
            </w:pPr>
          </w:p>
          <w:p>
            <w:pPr>
              <w:pStyle w:val="137"/>
              <w:ind w:firstLine="480"/>
            </w:pPr>
          </w:p>
          <w:p>
            <w:pPr>
              <w:pStyle w:val="137"/>
              <w:ind w:firstLine="480"/>
            </w:pPr>
          </w:p>
          <w:p>
            <w:pPr>
              <w:pStyle w:val="137"/>
              <w:ind w:firstLine="480"/>
            </w:pPr>
          </w:p>
          <w:p>
            <w:pPr>
              <w:pStyle w:val="137"/>
              <w:ind w:firstLine="480"/>
            </w:pPr>
          </w:p>
          <w:p>
            <w:pPr>
              <w:pStyle w:val="137"/>
              <w:ind w:firstLine="480"/>
            </w:pPr>
          </w:p>
          <w:p>
            <w:pPr>
              <w:pStyle w:val="137"/>
              <w:ind w:firstLine="480"/>
            </w:pPr>
          </w:p>
          <w:p>
            <w:pPr>
              <w:pStyle w:val="137"/>
              <w:ind w:firstLine="0" w:firstLineChars="0"/>
            </w:pPr>
          </w:p>
        </w:tc>
      </w:tr>
    </w:tbl>
    <w:p>
      <w:pPr>
        <w:tabs>
          <w:tab w:val="left" w:pos="2232"/>
        </w:tabs>
        <w:adjustRightInd/>
        <w:spacing w:before="100" w:beforeAutospacing="1" w:line="240" w:lineRule="auto"/>
        <w:rPr>
          <w:rFonts w:hAnsi="宋体"/>
          <w:b/>
          <w:sz w:val="30"/>
        </w:rPr>
        <w:sectPr>
          <w:pgSz w:w="11907" w:h="16840"/>
          <w:pgMar w:top="1418" w:right="1418" w:bottom="1418" w:left="1418" w:header="851" w:footer="992" w:gutter="113"/>
          <w:pgBorders>
            <w:top w:val="none" w:sz="0" w:space="0"/>
            <w:left w:val="none" w:sz="0" w:space="0"/>
            <w:bottom w:val="none" w:sz="0" w:space="0"/>
            <w:right w:val="none" w:sz="0" w:space="0"/>
          </w:pgBorders>
          <w:cols w:space="720" w:num="1"/>
          <w:titlePg/>
          <w:docGrid w:type="lines" w:linePitch="312" w:charSpace="0"/>
        </w:sectPr>
      </w:pPr>
    </w:p>
    <w:p>
      <w:pPr>
        <w:tabs>
          <w:tab w:val="left" w:pos="2232"/>
        </w:tabs>
        <w:adjustRightInd/>
        <w:spacing w:line="240" w:lineRule="auto"/>
        <w:outlineLvl w:val="0"/>
        <w:rPr>
          <w:rFonts w:hAnsi="宋体"/>
          <w:b/>
          <w:sz w:val="30"/>
        </w:rPr>
      </w:pPr>
      <w:bookmarkStart w:id="33" w:name="_Toc1902"/>
      <w:r>
        <w:rPr>
          <w:rFonts w:hint="eastAsia" w:hAnsi="宋体"/>
          <w:b/>
          <w:sz w:val="30"/>
        </w:rPr>
        <w:t>环境影响分析</w:t>
      </w:r>
      <w:bookmarkEnd w:id="33"/>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3289" w:hRule="atLeast"/>
        </w:trPr>
        <w:tc>
          <w:tcPr>
            <w:tcW w:w="9174" w:type="dxa"/>
            <w:tcBorders>
              <w:tl2br w:val="nil"/>
              <w:tr2bl w:val="nil"/>
            </w:tcBorders>
          </w:tcPr>
          <w:p>
            <w:pPr>
              <w:tabs>
                <w:tab w:val="left" w:pos="0"/>
              </w:tabs>
              <w:adjustRightInd/>
              <w:spacing w:line="360" w:lineRule="auto"/>
              <w:jc w:val="left"/>
              <w:rPr>
                <w:rFonts w:hint="default" w:ascii="Times New Roman" w:hAnsi="Times New Roman" w:cs="Times New Roman"/>
                <w:b/>
                <w:sz w:val="28"/>
                <w:szCs w:val="28"/>
              </w:rPr>
            </w:pPr>
            <w:r>
              <w:rPr>
                <w:rFonts w:hint="default" w:ascii="Times New Roman" w:hAnsi="Times New Roman" w:cs="Times New Roman"/>
                <w:b/>
                <w:sz w:val="28"/>
                <w:szCs w:val="28"/>
              </w:rPr>
              <w:t>施工期环境影响分析：</w:t>
            </w:r>
          </w:p>
          <w:p>
            <w:pPr>
              <w:pStyle w:val="137"/>
              <w:ind w:firstLine="480"/>
              <w:rPr>
                <w:rFonts w:hint="default" w:ascii="Times New Roman" w:hAnsi="Times New Roman" w:cs="Times New Roman"/>
              </w:rPr>
            </w:pPr>
            <w:r>
              <w:rPr>
                <w:rFonts w:hint="default" w:ascii="Times New Roman" w:hAnsi="Times New Roman" w:cs="Times New Roman"/>
              </w:rPr>
              <w:t>1、大气环境影响分析及控制措施</w:t>
            </w:r>
          </w:p>
          <w:p>
            <w:pPr>
              <w:pStyle w:val="137"/>
              <w:ind w:firstLine="480"/>
              <w:rPr>
                <w:rFonts w:hint="default" w:ascii="Times New Roman" w:hAnsi="Times New Roman" w:cs="Times New Roman"/>
              </w:rPr>
            </w:pPr>
            <w:r>
              <w:rPr>
                <w:rFonts w:hint="default" w:ascii="Times New Roman" w:hAnsi="Times New Roman" w:cs="Times New Roman"/>
              </w:rPr>
              <w:t>（1） 施工扬尘</w:t>
            </w:r>
          </w:p>
          <w:p>
            <w:pPr>
              <w:pStyle w:val="137"/>
              <w:ind w:firstLine="480"/>
              <w:rPr>
                <w:rFonts w:hint="default" w:ascii="Times New Roman" w:hAnsi="Times New Roman" w:cs="Times New Roman"/>
              </w:rPr>
            </w:pPr>
            <w:r>
              <w:rPr>
                <w:rFonts w:hint="default" w:ascii="Times New Roman" w:hAnsi="Times New Roman" w:cs="Times New Roman"/>
              </w:rPr>
              <w:t>施工期平整场地、开挖基础时，若土壤含水率较低，空气湿度较小，日照强烈，则土壤因被扰动而较易产生扬尘；车辆运输土方过程中，若没有防护措施则会导致土方漏洒及出现风吹扬尘；粉状建筑材料运输、装卸、储存和使用过程也会产生扬尘。扬尘的起尘量视施工场地情况不同而不同，一般施工场地下风向10～200m 范围内TSP 的浓度为1.843～0.372mg/m</w:t>
            </w:r>
            <w:r>
              <w:rPr>
                <w:rFonts w:hint="default" w:ascii="Times New Roman" w:hAnsi="Times New Roman" w:cs="Times New Roman"/>
                <w:vertAlign w:val="superscript"/>
              </w:rPr>
              <w:t>3</w:t>
            </w:r>
            <w:r>
              <w:rPr>
                <w:rFonts w:hint="default" w:ascii="Times New Roman" w:hAnsi="Times New Roman" w:cs="Times New Roman"/>
              </w:rPr>
              <w:t>，在自然风作用下车辆产生的扬尘所影响的范围也在100m 以内。施工期扬尘是施工活动危害环境的主要因素，其危害性是不容忽视的。悬浮于空气中的扬尘被施工人员和影响范围内人群吸入，将严重影响人群的身心健康。同时，扬尘飘落在各种建筑物和树木枝叶上，也影响景观。建设单位拟采取如下措施进行治理：</w:t>
            </w:r>
          </w:p>
          <w:p>
            <w:pPr>
              <w:pStyle w:val="137"/>
              <w:ind w:firstLine="480"/>
              <w:rPr>
                <w:rFonts w:hint="default" w:ascii="Times New Roman" w:hAnsi="Times New Roman" w:cs="Times New Roman"/>
              </w:rPr>
            </w:pPr>
            <w:r>
              <w:rPr>
                <w:rFonts w:hint="default" w:ascii="Times New Roman" w:hAnsi="Times New Roman" w:cs="Times New Roman"/>
              </w:rPr>
              <w:t>①建设工地施工，首先要求施工现场应建立以项目经理为第一责任人的施工现场环境保护责任制，施工组织设计中必须有环境保护措施和控制施工扬尘的专项方案，并经有关部门批准后实施。</w:t>
            </w:r>
          </w:p>
          <w:p>
            <w:pPr>
              <w:pStyle w:val="137"/>
              <w:ind w:firstLine="480"/>
              <w:rPr>
                <w:rFonts w:hint="default" w:ascii="Times New Roman" w:hAnsi="Times New Roman" w:cs="Times New Roman"/>
              </w:rPr>
            </w:pPr>
            <w:r>
              <w:rPr>
                <w:rFonts w:hint="default" w:ascii="Times New Roman" w:hAnsi="Times New Roman" w:cs="Times New Roman"/>
              </w:rPr>
              <w:t>②施工时，工地周围应设置不低于2 米的遮挡围墙或遮板，并严禁在挡墙外堆放施工材料、建筑垃圾和渣土，同时，在施工期增加防尘网。</w:t>
            </w:r>
          </w:p>
          <w:p>
            <w:pPr>
              <w:pStyle w:val="137"/>
              <w:ind w:firstLine="480"/>
              <w:rPr>
                <w:rFonts w:hint="default" w:ascii="Times New Roman" w:hAnsi="Times New Roman" w:cs="Times New Roman"/>
              </w:rPr>
            </w:pPr>
            <w:r>
              <w:rPr>
                <w:rFonts w:hint="default" w:ascii="Times New Roman" w:hAnsi="Times New Roman" w:cs="Times New Roman"/>
              </w:rPr>
              <w:t>③施工场地松散、干涸的表土，应该经常洒水防治粉尘；回填土方时，在表层土质干燥时应适当洒水，防止粉尘飞扬。</w:t>
            </w:r>
          </w:p>
          <w:p>
            <w:pPr>
              <w:pStyle w:val="137"/>
              <w:ind w:firstLine="480"/>
              <w:rPr>
                <w:rFonts w:hint="default" w:ascii="Times New Roman" w:hAnsi="Times New Roman" w:cs="Times New Roman"/>
              </w:rPr>
            </w:pPr>
            <w:r>
              <w:rPr>
                <w:rFonts w:hint="default" w:ascii="Times New Roman" w:hAnsi="Times New Roman" w:cs="Times New Roman"/>
              </w:rPr>
              <w:t>④车辆在驶出施工工地前要做好冲洗、遮蔽、清洁等工作。对暂时不能运出施工工地的土方，必须采取集中堆放、压实、覆盖以及适时洒水等有效抑尘措施。</w:t>
            </w:r>
          </w:p>
          <w:p>
            <w:pPr>
              <w:pStyle w:val="137"/>
              <w:ind w:firstLine="480"/>
              <w:rPr>
                <w:rFonts w:hint="default" w:ascii="Times New Roman" w:hAnsi="Times New Roman" w:cs="Times New Roman"/>
              </w:rPr>
            </w:pPr>
            <w:r>
              <w:rPr>
                <w:rFonts w:hint="default" w:ascii="Times New Roman" w:hAnsi="Times New Roman" w:cs="Times New Roman"/>
              </w:rPr>
              <w:t>⑤对于闲置3~6个月以上的现场空地，必须进行硬化、覆盖或临时简单绿化等处理。</w:t>
            </w:r>
          </w:p>
          <w:p>
            <w:pPr>
              <w:pStyle w:val="137"/>
              <w:ind w:firstLine="480"/>
              <w:rPr>
                <w:rFonts w:hint="default" w:ascii="Times New Roman" w:hAnsi="Times New Roman" w:cs="Times New Roman"/>
              </w:rPr>
            </w:pPr>
            <w:r>
              <w:rPr>
                <w:rFonts w:hint="default" w:ascii="Times New Roman" w:hAnsi="Times New Roman" w:cs="Times New Roman"/>
              </w:rPr>
              <w:t>⑥此外，施工工地的主要运输通道以及工地出入口外侧10米范围内道路路面面必须作混凝土、沥青等硬化处理，水泥、沙等易产生扬尘的物料，必须放置于不透风的储藏屋或储存库内。</w:t>
            </w:r>
          </w:p>
          <w:p>
            <w:pPr>
              <w:pStyle w:val="137"/>
              <w:ind w:firstLine="480"/>
              <w:rPr>
                <w:rFonts w:hint="default" w:ascii="Times New Roman" w:hAnsi="Times New Roman" w:cs="Times New Roman"/>
              </w:rPr>
            </w:pPr>
            <w:r>
              <w:rPr>
                <w:rFonts w:hint="default" w:ascii="Times New Roman" w:hAnsi="Times New Roman" w:cs="Times New Roman"/>
              </w:rPr>
              <w:t>⑦运载余泥和建筑材料的车辆应该加盖，防止被大风吹起，污染环境，对运输过程中落在路面上的泥土要及时清扫，以减少运行过程中的扬尘。运载余泥期间，附近道路要洒水。</w:t>
            </w:r>
          </w:p>
          <w:p>
            <w:pPr>
              <w:pStyle w:val="137"/>
              <w:ind w:firstLine="480"/>
              <w:rPr>
                <w:rFonts w:hint="default" w:ascii="Times New Roman" w:hAnsi="Times New Roman" w:cs="Times New Roman"/>
              </w:rPr>
            </w:pPr>
            <w:r>
              <w:rPr>
                <w:rFonts w:hint="default" w:ascii="Times New Roman" w:hAnsi="Times New Roman" w:cs="Times New Roman"/>
              </w:rPr>
              <w:t>⑧《关于印发大气环境质量提升计划实施方案》（2017-2020 年）的相关规定：建筑工地必须做到施工现场100%标准化围蔽、工地砂土不用时100%覆盖、工地路面100%硬底化、拆除工程100%洒水压尘、出工地车辆100%冲净车轮车身、施工现场长期裸土100%覆盖或绿化。类比其他施工项目，经上述措施处理后，施工工地施工工地10 米外扬尘浓度可低于1.0mg/m</w:t>
            </w:r>
            <w:r>
              <w:rPr>
                <w:rFonts w:hint="default" w:ascii="Times New Roman" w:hAnsi="Times New Roman" w:cs="Times New Roman"/>
                <w:vertAlign w:val="superscript"/>
              </w:rPr>
              <w:t>3</w:t>
            </w:r>
            <w:r>
              <w:rPr>
                <w:rFonts w:hint="default" w:ascii="Times New Roman" w:hAnsi="Times New Roman" w:cs="Times New Roman"/>
              </w:rPr>
              <w:t>，达到广东省地方标准《大气污染物排放限值》（DB44/27-2001）第二时段中的排放要求，故对建筑工地周围大气环境影响可大幅度降低，且随距离增加，扬尘浓度的降低，经措施处理后可使扬尘对周围环境影响控制在可接受范围内，且随施工期的结束而结束。</w:t>
            </w:r>
          </w:p>
          <w:p>
            <w:pPr>
              <w:pStyle w:val="137"/>
              <w:ind w:firstLine="480"/>
              <w:rPr>
                <w:rFonts w:hint="default" w:ascii="Times New Roman" w:hAnsi="Times New Roman" w:cs="Times New Roman"/>
              </w:rPr>
            </w:pPr>
            <w:r>
              <w:rPr>
                <w:rFonts w:hint="default" w:ascii="Times New Roman" w:hAnsi="Times New Roman" w:cs="Times New Roman"/>
              </w:rPr>
              <w:t>（2）施工机械燃油废气</w:t>
            </w:r>
          </w:p>
          <w:p>
            <w:pPr>
              <w:pStyle w:val="137"/>
              <w:ind w:firstLine="480"/>
              <w:rPr>
                <w:rFonts w:hint="default" w:ascii="Times New Roman" w:hAnsi="Times New Roman" w:cs="Times New Roman"/>
              </w:rPr>
            </w:pPr>
            <w:r>
              <w:rPr>
                <w:rFonts w:hint="default" w:ascii="Times New Roman" w:hAnsi="Times New Roman" w:cs="Times New Roman"/>
              </w:rPr>
              <w:t>机械作业及车辆运输也会排放一定量的废气，可通过尽量减少机械及车辆的作用次数，使用清洁燃料来减少污染。同时，由于施工车辆等数量不会很多，污染物排放量不大，而且施工期结束其排放即为零。此类废气由于排放量不大，通过加强管理，影响的程度与范围也相对小，对周边环境影响不大。</w:t>
            </w:r>
          </w:p>
          <w:p>
            <w:pPr>
              <w:pStyle w:val="137"/>
              <w:ind w:firstLine="480"/>
              <w:rPr>
                <w:rFonts w:hint="default" w:ascii="Times New Roman" w:hAnsi="Times New Roman" w:cs="Times New Roman"/>
              </w:rPr>
            </w:pPr>
            <w:r>
              <w:rPr>
                <w:rFonts w:hint="default" w:ascii="Times New Roman" w:hAnsi="Times New Roman" w:cs="Times New Roman"/>
              </w:rPr>
              <w:t>（3） 装修产生的有机废气</w:t>
            </w:r>
          </w:p>
          <w:p>
            <w:pPr>
              <w:pStyle w:val="137"/>
              <w:ind w:firstLine="480"/>
              <w:rPr>
                <w:rFonts w:hint="default" w:ascii="Times New Roman" w:hAnsi="Times New Roman" w:cs="Times New Roman"/>
              </w:rPr>
            </w:pPr>
            <w:r>
              <w:rPr>
                <w:rFonts w:hint="default" w:ascii="Times New Roman" w:hAnsi="Times New Roman" w:cs="Times New Roman"/>
              </w:rPr>
              <w:t>装饰建材中的有机化合物在不同的室温下挥发为气体，对室内空气造成污染。建设单位在使用绿色环保建材的同时，在施工过程之中还要始终保持室内空气的畅通，及时散发有害气体，同时对于建筑垃圾进行妥善分类处理，保证施工过程之中不会对施工人员健康和周围环境产生明显影响。</w:t>
            </w:r>
          </w:p>
          <w:p>
            <w:pPr>
              <w:pStyle w:val="137"/>
              <w:ind w:firstLine="480"/>
              <w:rPr>
                <w:rFonts w:hint="default" w:ascii="Times New Roman" w:hAnsi="Times New Roman" w:cs="Times New Roman"/>
              </w:rPr>
            </w:pPr>
            <w:r>
              <w:rPr>
                <w:rFonts w:hint="default" w:ascii="Times New Roman" w:hAnsi="Times New Roman" w:cs="Times New Roman"/>
              </w:rPr>
              <w:t>2、废水排放环境影响分析及控制措施</w:t>
            </w:r>
          </w:p>
          <w:p>
            <w:pPr>
              <w:pStyle w:val="137"/>
              <w:ind w:firstLine="480"/>
              <w:rPr>
                <w:rFonts w:hint="default" w:ascii="Times New Roman" w:hAnsi="Times New Roman" w:cs="Times New Roman"/>
              </w:rPr>
            </w:pPr>
            <w:r>
              <w:rPr>
                <w:rFonts w:hint="default" w:ascii="Times New Roman" w:hAnsi="Times New Roman" w:cs="Times New Roman"/>
              </w:rPr>
              <w:t>施工废水经临时的隔油池、沉淀池处理后后回用于施工现场洒水抑尘，不外排；项目不设施工营地，施工人员统一在外租住，生活污水经施工现场的流动厕所收集后，定期由环卫部门清运垃圾粪便，施工期生活污水对周边水环境影响较小。</w:t>
            </w:r>
          </w:p>
          <w:p>
            <w:pPr>
              <w:pStyle w:val="137"/>
              <w:ind w:firstLine="480"/>
              <w:rPr>
                <w:rFonts w:hint="default" w:ascii="Times New Roman" w:hAnsi="Times New Roman" w:cs="Times New Roman"/>
              </w:rPr>
            </w:pPr>
            <w:r>
              <w:rPr>
                <w:rFonts w:hint="default" w:ascii="Times New Roman" w:hAnsi="Times New Roman" w:cs="Times New Roman"/>
              </w:rPr>
              <w:t>为了防止建筑工程对周围水体产生的石油类污染，建筑施工单位应严格控制可能对周围水体产生石油类污染现象的发生。尽量减少建筑施工机械设备与水体的直接接触。对废弃的用油应妥善处置；加强施工机械设备的维修保养，避免工机械在施工中燃料用油跑、冒滴、漏现象的发生。只要加强管理、科学施工，项目建筑施工过程中产生中石油类污染是可以得到控制的。</w:t>
            </w:r>
          </w:p>
          <w:p>
            <w:pPr>
              <w:pStyle w:val="137"/>
              <w:ind w:firstLine="480"/>
              <w:rPr>
                <w:rFonts w:hint="default" w:ascii="Times New Roman" w:hAnsi="Times New Roman" w:cs="Times New Roman"/>
              </w:rPr>
            </w:pPr>
            <w:r>
              <w:rPr>
                <w:rFonts w:hint="default" w:ascii="Times New Roman" w:hAnsi="Times New Roman" w:cs="Times New Roman"/>
              </w:rPr>
              <w:t>3、施工噪声环境影响分析及控制措施</w:t>
            </w:r>
          </w:p>
          <w:p>
            <w:pPr>
              <w:pStyle w:val="137"/>
              <w:ind w:firstLine="480"/>
              <w:rPr>
                <w:rFonts w:hint="default" w:ascii="Times New Roman" w:hAnsi="Times New Roman" w:cs="Times New Roman"/>
              </w:rPr>
            </w:pPr>
            <w:r>
              <w:rPr>
                <w:rFonts w:hint="default" w:ascii="Times New Roman" w:hAnsi="Times New Roman" w:cs="Times New Roman"/>
              </w:rPr>
              <w:t>项目施工过程中主要的噪声源有挖土机、装卸机、砂轮机、切割机及各种车辆等，这些噪声源的声级值最高可达到105dB（A），将对周围环境产生一定的影响。</w:t>
            </w:r>
          </w:p>
          <w:p>
            <w:pPr>
              <w:pStyle w:val="137"/>
              <w:ind w:firstLine="480"/>
              <w:rPr>
                <w:rFonts w:hint="default" w:ascii="Times New Roman" w:hAnsi="Times New Roman" w:cs="Times New Roman"/>
              </w:rPr>
            </w:pPr>
            <w:r>
              <w:rPr>
                <w:rFonts w:hint="default" w:ascii="Times New Roman" w:hAnsi="Times New Roman" w:cs="Times New Roman"/>
              </w:rPr>
              <w:t>（1）施工期间噪声影响评价</w:t>
            </w:r>
          </w:p>
          <w:p>
            <w:pPr>
              <w:pStyle w:val="137"/>
              <w:ind w:firstLine="480"/>
              <w:rPr>
                <w:rFonts w:hint="default" w:ascii="Times New Roman" w:hAnsi="Times New Roman" w:cs="Times New Roman"/>
              </w:rPr>
            </w:pPr>
            <w:r>
              <w:rPr>
                <w:rFonts w:hint="default" w:ascii="Times New Roman" w:hAnsi="Times New Roman" w:cs="Times New Roman"/>
              </w:rPr>
              <w:t>由于施工机械噪声主要属中低频噪声，故施工期噪声对周边环境只考虑扩散衰减，且施工噪声源可近似作为点声源处理（施工车辆靠近工地或进入工地，作怠速处理，可近似作为点声源）。根据点声源噪声衰减模式，可估算其施工期间离噪声源不同距离处的噪声值，预测模式如下：</w:t>
            </w:r>
          </w:p>
          <w:p>
            <w:pPr>
              <w:spacing w:after="201"/>
              <w:ind w:left="2753"/>
              <w:rPr>
                <w:rFonts w:hint="default" w:ascii="Times New Roman" w:hAnsi="Times New Roman" w:cs="Times New Roman"/>
              </w:rPr>
            </w:pPr>
            <w:r>
              <w:rPr>
                <w:rFonts w:hint="default" w:ascii="Times New Roman" w:hAnsi="Times New Roman" w:cs="Times New Roman"/>
              </w:rPr>
              <w:drawing>
                <wp:inline distT="0" distB="0" distL="0" distR="0">
                  <wp:extent cx="1810385" cy="152400"/>
                  <wp:effectExtent l="0" t="0" r="0" b="0"/>
                  <wp:docPr id="6753" name="Picture 6753"/>
                  <wp:cNvGraphicFramePr/>
                  <a:graphic xmlns:a="http://schemas.openxmlformats.org/drawingml/2006/main">
                    <a:graphicData uri="http://schemas.openxmlformats.org/drawingml/2006/picture">
                      <pic:pic xmlns:pic="http://schemas.openxmlformats.org/drawingml/2006/picture">
                        <pic:nvPicPr>
                          <pic:cNvPr id="6753" name="Picture 6753"/>
                          <pic:cNvPicPr/>
                        </pic:nvPicPr>
                        <pic:blipFill>
                          <a:blip r:embed="rId25"/>
                          <a:stretch>
                            <a:fillRect/>
                          </a:stretch>
                        </pic:blipFill>
                        <pic:spPr>
                          <a:xfrm>
                            <a:off x="0" y="0"/>
                            <a:ext cx="1810512" cy="152400"/>
                          </a:xfrm>
                          <a:prstGeom prst="rect">
                            <a:avLst/>
                          </a:prstGeom>
                        </pic:spPr>
                      </pic:pic>
                    </a:graphicData>
                  </a:graphic>
                </wp:inline>
              </w:drawing>
            </w:r>
          </w:p>
          <w:p>
            <w:pPr>
              <w:pStyle w:val="137"/>
              <w:ind w:firstLine="480"/>
              <w:rPr>
                <w:rFonts w:hint="default" w:ascii="Times New Roman" w:hAnsi="Times New Roman" w:cs="Times New Roman"/>
              </w:rPr>
            </w:pPr>
            <w:r>
              <w:rPr>
                <w:rFonts w:hint="default" w:ascii="Times New Roman" w:hAnsi="Times New Roman" w:cs="Times New Roman"/>
              </w:rPr>
              <w:t xml:space="preserve">式中，L2――点声源在预测点产生的声压级； </w:t>
            </w:r>
          </w:p>
          <w:p>
            <w:pPr>
              <w:pStyle w:val="137"/>
              <w:ind w:firstLine="480"/>
              <w:rPr>
                <w:rFonts w:hint="default" w:ascii="Times New Roman" w:hAnsi="Times New Roman" w:cs="Times New Roman"/>
              </w:rPr>
            </w:pPr>
            <w:r>
              <w:rPr>
                <w:rFonts w:hint="default" w:ascii="Times New Roman" w:hAnsi="Times New Roman" w:cs="Times New Roman"/>
              </w:rPr>
              <w:t xml:space="preserve">L1――点声源在参考点产生的声压级； </w:t>
            </w:r>
          </w:p>
          <w:p>
            <w:pPr>
              <w:pStyle w:val="137"/>
              <w:ind w:firstLine="480"/>
              <w:rPr>
                <w:rFonts w:hint="default" w:ascii="Times New Roman" w:hAnsi="Times New Roman" w:cs="Times New Roman"/>
              </w:rPr>
            </w:pPr>
            <w:r>
              <w:rPr>
                <w:rFonts w:hint="default" w:ascii="Times New Roman" w:hAnsi="Times New Roman" w:cs="Times New Roman"/>
              </w:rPr>
              <w:t>r2――预测点距声源的距离； r1――参考点距声源的距离；</w:t>
            </w:r>
          </w:p>
          <w:p>
            <w:pPr>
              <w:pStyle w:val="137"/>
              <w:ind w:firstLine="480"/>
              <w:rPr>
                <w:rFonts w:hint="default" w:ascii="Times New Roman" w:hAnsi="Times New Roman" w:cs="Times New Roman"/>
              </w:rPr>
            </w:pPr>
            <w:r>
              <w:rPr>
                <w:rFonts w:hint="default" w:ascii="Times New Roman" w:hAnsi="Times New Roman" w:cs="Times New Roman"/>
              </w:rPr>
              <w:t>△L――各种因素引起的衰减量（包括声屏障、空气吸收等因素对）。两个以上多个声源同时存在时，其预测点总声级采用下面公式：</w:t>
            </w:r>
          </w:p>
          <w:p>
            <w:pPr>
              <w:pStyle w:val="137"/>
              <w:ind w:firstLine="480"/>
              <w:jc w:val="center"/>
              <w:rPr>
                <w:rFonts w:hint="default" w:ascii="Times New Roman" w:hAnsi="Times New Roman" w:cs="Times New Roman"/>
              </w:rPr>
            </w:pPr>
            <w:r>
              <w:rPr>
                <w:rFonts w:hint="default" w:ascii="Times New Roman" w:hAnsi="Times New Roman" w:cs="Times New Roman"/>
              </w:rPr>
              <w:drawing>
                <wp:inline distT="0" distB="0" distL="0" distR="0">
                  <wp:extent cx="1623060" cy="295275"/>
                  <wp:effectExtent l="0" t="0" r="0" b="0"/>
                  <wp:docPr id="6780" name="Picture 6780"/>
                  <wp:cNvGraphicFramePr/>
                  <a:graphic xmlns:a="http://schemas.openxmlformats.org/drawingml/2006/main">
                    <a:graphicData uri="http://schemas.openxmlformats.org/drawingml/2006/picture">
                      <pic:pic xmlns:pic="http://schemas.openxmlformats.org/drawingml/2006/picture">
                        <pic:nvPicPr>
                          <pic:cNvPr id="6780" name="Picture 6780"/>
                          <pic:cNvPicPr/>
                        </pic:nvPicPr>
                        <pic:blipFill>
                          <a:blip r:embed="rId26"/>
                          <a:stretch>
                            <a:fillRect/>
                          </a:stretch>
                        </pic:blipFill>
                        <pic:spPr>
                          <a:xfrm>
                            <a:off x="0" y="0"/>
                            <a:ext cx="1623060" cy="295656"/>
                          </a:xfrm>
                          <a:prstGeom prst="rect">
                            <a:avLst/>
                          </a:prstGeom>
                        </pic:spPr>
                      </pic:pic>
                    </a:graphicData>
                  </a:graphic>
                </wp:inline>
              </w:drawing>
            </w:r>
          </w:p>
          <w:p>
            <w:pPr>
              <w:pStyle w:val="137"/>
              <w:ind w:firstLine="480"/>
              <w:rPr>
                <w:rFonts w:hint="default" w:ascii="Times New Roman" w:hAnsi="Times New Roman" w:cs="Times New Roman"/>
              </w:rPr>
            </w:pPr>
            <w:r>
              <w:rPr>
                <w:rFonts w:hint="default" w:ascii="Times New Roman" w:hAnsi="Times New Roman" w:cs="Times New Roman"/>
              </w:rPr>
              <w:t>式中：Leq――预测点的总等效声级；</w:t>
            </w:r>
          </w:p>
          <w:p>
            <w:pPr>
              <w:pStyle w:val="137"/>
              <w:ind w:firstLine="480"/>
              <w:rPr>
                <w:rFonts w:hint="default" w:ascii="Times New Roman" w:hAnsi="Times New Roman" w:cs="Times New Roman"/>
              </w:rPr>
            </w:pPr>
            <w:r>
              <w:rPr>
                <w:rFonts w:hint="default" w:ascii="Times New Roman" w:hAnsi="Times New Roman" w:cs="Times New Roman"/>
              </w:rPr>
              <w:t>Li――第i 个声源对预测点的声级影响，dB（A）。</w:t>
            </w:r>
          </w:p>
          <w:p>
            <w:pPr>
              <w:pStyle w:val="137"/>
              <w:ind w:firstLine="480"/>
              <w:rPr>
                <w:rFonts w:hint="default" w:ascii="Times New Roman" w:hAnsi="Times New Roman" w:cs="Times New Roman"/>
              </w:rPr>
            </w:pPr>
            <w:r>
              <w:rPr>
                <w:rFonts w:hint="default" w:ascii="Times New Roman" w:hAnsi="Times New Roman" w:cs="Times New Roman"/>
              </w:rPr>
              <w:t>估算出噪声值与距离的衰减关系以及施工机械的噪声影响见</w:t>
            </w:r>
            <w:r>
              <w:rPr>
                <w:rFonts w:hint="eastAsia" w:cs="Times New Roman"/>
                <w:lang w:val="en-US" w:eastAsia="zh-CN"/>
              </w:rPr>
              <w:t>表7-1</w:t>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REF _Ref26878987 \h  \* MERGEFORMAT </w:instrText>
            </w:r>
            <w:r>
              <w:rPr>
                <w:rFonts w:hint="default" w:ascii="Times New Roman" w:hAnsi="Times New Roman" w:cs="Times New Roman"/>
              </w:rPr>
              <w:fldChar w:fldCharType="separate"/>
            </w:r>
            <w:r>
              <w:rPr>
                <w:rFonts w:hint="default" w:ascii="Times New Roman" w:hAnsi="Times New Roman" w:cs="Times New Roman"/>
              </w:rPr>
              <w:fldChar w:fldCharType="end"/>
            </w:r>
            <w:r>
              <w:rPr>
                <w:rFonts w:hint="eastAsia" w:cs="Times New Roman"/>
                <w:lang w:val="en-US" w:eastAsia="zh-CN"/>
              </w:rPr>
              <w:t>表7-3</w:t>
            </w:r>
            <w:r>
              <w:rPr>
                <w:rFonts w:hint="default" w:ascii="Times New Roman" w:hAnsi="Times New Roman" w:cs="Times New Roman"/>
              </w:rPr>
              <w:t>。</w:t>
            </w:r>
          </w:p>
          <w:p>
            <w:pPr>
              <w:pStyle w:val="143"/>
              <w:spacing w:before="156"/>
              <w:rPr>
                <w:rFonts w:hint="default" w:ascii="Times New Roman" w:hAnsi="Times New Roman" w:cs="Times New Roman"/>
                <w:szCs w:val="21"/>
              </w:rPr>
            </w:pPr>
            <w:bookmarkStart w:id="34" w:name="_Ref45493666"/>
            <w:r>
              <w:rPr>
                <w:rFonts w:hint="default" w:ascii="Times New Roman" w:hAnsi="Times New Roman" w:cs="Times New Roman"/>
              </w:rPr>
              <w:t>表</w:t>
            </w:r>
            <w:bookmarkEnd w:id="34"/>
            <w:r>
              <w:rPr>
                <w:rFonts w:hint="eastAsia" w:cs="Times New Roman"/>
                <w:lang w:val="en-US" w:eastAsia="zh-CN"/>
              </w:rPr>
              <w:t>7-1</w:t>
            </w:r>
            <w:r>
              <w:rPr>
                <w:rFonts w:hint="default" w:ascii="Times New Roman" w:hAnsi="Times New Roman" w:cs="Times New Roman"/>
              </w:rPr>
              <w:t xml:space="preserve">  噪声值随距离的衰减关系</w:t>
            </w:r>
          </w:p>
          <w:tbl>
            <w:tblPr>
              <w:tblStyle w:val="1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56" w:type="dxa"/>
                <w:bottom w:w="17" w:type="dxa"/>
                <w:right w:w="31" w:type="dxa"/>
              </w:tblCellMar>
            </w:tblPr>
            <w:tblGrid>
              <w:gridCol w:w="1709"/>
              <w:gridCol w:w="749"/>
              <w:gridCol w:w="829"/>
              <w:gridCol w:w="829"/>
              <w:gridCol w:w="829"/>
              <w:gridCol w:w="833"/>
              <w:gridCol w:w="829"/>
              <w:gridCol w:w="831"/>
              <w:gridCol w:w="831"/>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6" w:type="dxa"/>
                  <w:bottom w:w="17" w:type="dxa"/>
                  <w:right w:w="31" w:type="dxa"/>
                </w:tblCellMar>
              </w:tblPrEx>
              <w:trPr>
                <w:trHeight w:val="70" w:hRule="atLeast"/>
              </w:trPr>
              <w:tc>
                <w:tcPr>
                  <w:tcW w:w="955" w:type="pct"/>
                  <w:vAlign w:val="center"/>
                </w:tcPr>
                <w:p>
                  <w:pPr>
                    <w:pStyle w:val="141"/>
                    <w:rPr>
                      <w:rFonts w:hint="default" w:ascii="Times New Roman" w:hAnsi="Times New Roman" w:cs="Times New Roman"/>
                    </w:rPr>
                  </w:pPr>
                  <w:r>
                    <w:rPr>
                      <w:rFonts w:hint="default" w:ascii="Times New Roman" w:hAnsi="Times New Roman" w:cs="Times New Roman"/>
                    </w:rPr>
                    <w:t>距离r</w:t>
                  </w:r>
                  <w:r>
                    <w:rPr>
                      <w:rFonts w:hint="default" w:ascii="Times New Roman" w:hAnsi="Times New Roman" w:cs="Times New Roman"/>
                      <w:vertAlign w:val="subscript"/>
                    </w:rPr>
                    <w:t>2</w:t>
                  </w:r>
                  <w:r>
                    <w:rPr>
                      <w:rFonts w:hint="default" w:ascii="Times New Roman" w:hAnsi="Times New Roman" w:cs="Times New Roman"/>
                    </w:rPr>
                    <w:t>/r</w:t>
                  </w:r>
                  <w:r>
                    <w:rPr>
                      <w:rFonts w:hint="default" w:ascii="Times New Roman" w:hAnsi="Times New Roman" w:cs="Times New Roman"/>
                      <w:vertAlign w:val="subscript"/>
                    </w:rPr>
                    <w:t>1</w:t>
                  </w:r>
                  <w:r>
                    <w:rPr>
                      <w:rFonts w:hint="default" w:ascii="Times New Roman" w:hAnsi="Times New Roman" w:cs="Times New Roman"/>
                    </w:rPr>
                    <w:t>（m）</w:t>
                  </w:r>
                </w:p>
              </w:tc>
              <w:tc>
                <w:tcPr>
                  <w:tcW w:w="419" w:type="pct"/>
                  <w:vAlign w:val="center"/>
                </w:tcPr>
                <w:p>
                  <w:pPr>
                    <w:pStyle w:val="141"/>
                    <w:rPr>
                      <w:rFonts w:hint="default" w:ascii="Times New Roman" w:hAnsi="Times New Roman" w:cs="Times New Roman"/>
                    </w:rPr>
                  </w:pPr>
                  <w:r>
                    <w:rPr>
                      <w:rFonts w:hint="default" w:ascii="Times New Roman" w:hAnsi="Times New Roman" w:cs="Times New Roman"/>
                    </w:rPr>
                    <w:t>1</w:t>
                  </w:r>
                </w:p>
              </w:tc>
              <w:tc>
                <w:tcPr>
                  <w:tcW w:w="463" w:type="pct"/>
                  <w:vAlign w:val="center"/>
                </w:tcPr>
                <w:p>
                  <w:pPr>
                    <w:pStyle w:val="141"/>
                    <w:rPr>
                      <w:rFonts w:hint="default" w:ascii="Times New Roman" w:hAnsi="Times New Roman" w:cs="Times New Roman"/>
                    </w:rPr>
                  </w:pPr>
                  <w:r>
                    <w:rPr>
                      <w:rFonts w:hint="default" w:ascii="Times New Roman" w:hAnsi="Times New Roman" w:cs="Times New Roman"/>
                    </w:rPr>
                    <w:t>10</w:t>
                  </w:r>
                </w:p>
              </w:tc>
              <w:tc>
                <w:tcPr>
                  <w:tcW w:w="463" w:type="pct"/>
                  <w:vAlign w:val="center"/>
                </w:tcPr>
                <w:p>
                  <w:pPr>
                    <w:pStyle w:val="141"/>
                    <w:rPr>
                      <w:rFonts w:hint="default" w:ascii="Times New Roman" w:hAnsi="Times New Roman" w:cs="Times New Roman"/>
                    </w:rPr>
                  </w:pPr>
                  <w:r>
                    <w:rPr>
                      <w:rFonts w:hint="default" w:ascii="Times New Roman" w:hAnsi="Times New Roman" w:cs="Times New Roman"/>
                    </w:rPr>
                    <w:t>50</w:t>
                  </w:r>
                </w:p>
              </w:tc>
              <w:tc>
                <w:tcPr>
                  <w:tcW w:w="463" w:type="pct"/>
                  <w:vAlign w:val="center"/>
                </w:tcPr>
                <w:p>
                  <w:pPr>
                    <w:pStyle w:val="141"/>
                    <w:rPr>
                      <w:rFonts w:hint="default" w:ascii="Times New Roman" w:hAnsi="Times New Roman" w:cs="Times New Roman"/>
                    </w:rPr>
                  </w:pPr>
                  <w:r>
                    <w:rPr>
                      <w:rFonts w:hint="default" w:ascii="Times New Roman" w:hAnsi="Times New Roman" w:cs="Times New Roman"/>
                    </w:rPr>
                    <w:t>100</w:t>
                  </w:r>
                </w:p>
              </w:tc>
              <w:tc>
                <w:tcPr>
                  <w:tcW w:w="465" w:type="pct"/>
                  <w:vAlign w:val="center"/>
                </w:tcPr>
                <w:p>
                  <w:pPr>
                    <w:pStyle w:val="141"/>
                    <w:rPr>
                      <w:rFonts w:hint="default" w:ascii="Times New Roman" w:hAnsi="Times New Roman" w:cs="Times New Roman"/>
                    </w:rPr>
                  </w:pPr>
                  <w:r>
                    <w:rPr>
                      <w:rFonts w:hint="default" w:ascii="Times New Roman" w:hAnsi="Times New Roman" w:cs="Times New Roman"/>
                    </w:rPr>
                    <w:t>150</w:t>
                  </w:r>
                </w:p>
              </w:tc>
              <w:tc>
                <w:tcPr>
                  <w:tcW w:w="463" w:type="pct"/>
                  <w:vAlign w:val="center"/>
                </w:tcPr>
                <w:p>
                  <w:pPr>
                    <w:pStyle w:val="141"/>
                    <w:rPr>
                      <w:rFonts w:hint="default" w:ascii="Times New Roman" w:hAnsi="Times New Roman" w:cs="Times New Roman"/>
                    </w:rPr>
                  </w:pPr>
                  <w:r>
                    <w:rPr>
                      <w:rFonts w:hint="default" w:ascii="Times New Roman" w:hAnsi="Times New Roman" w:cs="Times New Roman"/>
                    </w:rPr>
                    <w:t>200</w:t>
                  </w:r>
                </w:p>
              </w:tc>
              <w:tc>
                <w:tcPr>
                  <w:tcW w:w="464" w:type="pct"/>
                  <w:vAlign w:val="center"/>
                </w:tcPr>
                <w:p>
                  <w:pPr>
                    <w:pStyle w:val="141"/>
                    <w:rPr>
                      <w:rFonts w:hint="default" w:ascii="Times New Roman" w:hAnsi="Times New Roman" w:cs="Times New Roman"/>
                    </w:rPr>
                  </w:pPr>
                  <w:r>
                    <w:rPr>
                      <w:rFonts w:hint="default" w:ascii="Times New Roman" w:hAnsi="Times New Roman" w:cs="Times New Roman"/>
                    </w:rPr>
                    <w:t>250</w:t>
                  </w:r>
                </w:p>
              </w:tc>
              <w:tc>
                <w:tcPr>
                  <w:tcW w:w="464" w:type="pct"/>
                  <w:vAlign w:val="center"/>
                </w:tcPr>
                <w:p>
                  <w:pPr>
                    <w:pStyle w:val="141"/>
                    <w:rPr>
                      <w:rFonts w:hint="default" w:ascii="Times New Roman" w:hAnsi="Times New Roman" w:cs="Times New Roman"/>
                    </w:rPr>
                  </w:pPr>
                  <w:r>
                    <w:rPr>
                      <w:rFonts w:hint="default" w:ascii="Times New Roman" w:hAnsi="Times New Roman" w:cs="Times New Roman"/>
                    </w:rPr>
                    <w:t>400</w:t>
                  </w:r>
                </w:p>
              </w:tc>
              <w:tc>
                <w:tcPr>
                  <w:tcW w:w="379" w:type="pct"/>
                  <w:vAlign w:val="center"/>
                </w:tcPr>
                <w:p>
                  <w:pPr>
                    <w:pStyle w:val="141"/>
                    <w:rPr>
                      <w:rFonts w:hint="default" w:ascii="Times New Roman" w:hAnsi="Times New Roman" w:cs="Times New Roman"/>
                    </w:rPr>
                  </w:pPr>
                  <w:r>
                    <w:rPr>
                      <w:rFonts w:hint="default" w:ascii="Times New Roman" w:hAnsi="Times New Roman" w:cs="Times New Roma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6" w:type="dxa"/>
                  <w:bottom w:w="17" w:type="dxa"/>
                  <w:right w:w="31" w:type="dxa"/>
                </w:tblCellMar>
              </w:tblPrEx>
              <w:trPr>
                <w:trHeight w:val="70" w:hRule="atLeast"/>
              </w:trPr>
              <w:tc>
                <w:tcPr>
                  <w:tcW w:w="955" w:type="pct"/>
                  <w:vAlign w:val="center"/>
                </w:tcPr>
                <w:p>
                  <w:pPr>
                    <w:pStyle w:val="141"/>
                    <w:rPr>
                      <w:rFonts w:hint="default" w:ascii="Times New Roman" w:hAnsi="Times New Roman" w:cs="Times New Roman"/>
                    </w:rPr>
                  </w:pPr>
                  <w:r>
                    <w:rPr>
                      <w:rFonts w:hint="default" w:ascii="Times New Roman" w:hAnsi="Times New Roman" w:cs="Times New Roman"/>
                    </w:rPr>
                    <w:t>△L(dB（A）)</w:t>
                  </w:r>
                </w:p>
              </w:tc>
              <w:tc>
                <w:tcPr>
                  <w:tcW w:w="419" w:type="pct"/>
                  <w:vAlign w:val="center"/>
                </w:tcPr>
                <w:p>
                  <w:pPr>
                    <w:pStyle w:val="141"/>
                    <w:rPr>
                      <w:rFonts w:hint="default" w:ascii="Times New Roman" w:hAnsi="Times New Roman" w:cs="Times New Roman"/>
                    </w:rPr>
                  </w:pPr>
                  <w:r>
                    <w:rPr>
                      <w:rFonts w:hint="default" w:ascii="Times New Roman" w:hAnsi="Times New Roman" w:cs="Times New Roman"/>
                    </w:rPr>
                    <w:t>0</w:t>
                  </w:r>
                </w:p>
              </w:tc>
              <w:tc>
                <w:tcPr>
                  <w:tcW w:w="463" w:type="pct"/>
                  <w:vAlign w:val="center"/>
                </w:tcPr>
                <w:p>
                  <w:pPr>
                    <w:pStyle w:val="141"/>
                    <w:rPr>
                      <w:rFonts w:hint="default" w:ascii="Times New Roman" w:hAnsi="Times New Roman" w:cs="Times New Roman"/>
                    </w:rPr>
                  </w:pPr>
                  <w:r>
                    <w:rPr>
                      <w:rFonts w:hint="default" w:ascii="Times New Roman" w:hAnsi="Times New Roman" w:cs="Times New Roman"/>
                    </w:rPr>
                    <w:t>20</w:t>
                  </w:r>
                </w:p>
              </w:tc>
              <w:tc>
                <w:tcPr>
                  <w:tcW w:w="463" w:type="pct"/>
                  <w:vAlign w:val="center"/>
                </w:tcPr>
                <w:p>
                  <w:pPr>
                    <w:pStyle w:val="141"/>
                    <w:rPr>
                      <w:rFonts w:hint="default" w:ascii="Times New Roman" w:hAnsi="Times New Roman" w:cs="Times New Roman"/>
                    </w:rPr>
                  </w:pPr>
                  <w:r>
                    <w:rPr>
                      <w:rFonts w:hint="default" w:ascii="Times New Roman" w:hAnsi="Times New Roman" w:cs="Times New Roman"/>
                    </w:rPr>
                    <w:t>34</w:t>
                  </w:r>
                </w:p>
              </w:tc>
              <w:tc>
                <w:tcPr>
                  <w:tcW w:w="463" w:type="pct"/>
                  <w:vAlign w:val="center"/>
                </w:tcPr>
                <w:p>
                  <w:pPr>
                    <w:pStyle w:val="141"/>
                    <w:rPr>
                      <w:rFonts w:hint="default" w:ascii="Times New Roman" w:hAnsi="Times New Roman" w:cs="Times New Roman"/>
                    </w:rPr>
                  </w:pPr>
                  <w:r>
                    <w:rPr>
                      <w:rFonts w:hint="default" w:ascii="Times New Roman" w:hAnsi="Times New Roman" w:cs="Times New Roman"/>
                    </w:rPr>
                    <w:t>40</w:t>
                  </w:r>
                </w:p>
              </w:tc>
              <w:tc>
                <w:tcPr>
                  <w:tcW w:w="465" w:type="pct"/>
                  <w:vAlign w:val="center"/>
                </w:tcPr>
                <w:p>
                  <w:pPr>
                    <w:pStyle w:val="141"/>
                    <w:rPr>
                      <w:rFonts w:hint="default" w:ascii="Times New Roman" w:hAnsi="Times New Roman" w:cs="Times New Roman"/>
                    </w:rPr>
                  </w:pPr>
                  <w:r>
                    <w:rPr>
                      <w:rFonts w:hint="default" w:ascii="Times New Roman" w:hAnsi="Times New Roman" w:cs="Times New Roman"/>
                    </w:rPr>
                    <w:t>43</w:t>
                  </w:r>
                </w:p>
              </w:tc>
              <w:tc>
                <w:tcPr>
                  <w:tcW w:w="463" w:type="pct"/>
                  <w:vAlign w:val="center"/>
                </w:tcPr>
                <w:p>
                  <w:pPr>
                    <w:pStyle w:val="141"/>
                    <w:rPr>
                      <w:rFonts w:hint="default" w:ascii="Times New Roman" w:hAnsi="Times New Roman" w:cs="Times New Roman"/>
                    </w:rPr>
                  </w:pPr>
                  <w:r>
                    <w:rPr>
                      <w:rFonts w:hint="default" w:ascii="Times New Roman" w:hAnsi="Times New Roman" w:cs="Times New Roman"/>
                    </w:rPr>
                    <w:t>46</w:t>
                  </w:r>
                </w:p>
              </w:tc>
              <w:tc>
                <w:tcPr>
                  <w:tcW w:w="464" w:type="pct"/>
                  <w:vAlign w:val="center"/>
                </w:tcPr>
                <w:p>
                  <w:pPr>
                    <w:pStyle w:val="141"/>
                    <w:rPr>
                      <w:rFonts w:hint="default" w:ascii="Times New Roman" w:hAnsi="Times New Roman" w:cs="Times New Roman"/>
                    </w:rPr>
                  </w:pPr>
                  <w:r>
                    <w:rPr>
                      <w:rFonts w:hint="default" w:ascii="Times New Roman" w:hAnsi="Times New Roman" w:cs="Times New Roman"/>
                    </w:rPr>
                    <w:t>48</w:t>
                  </w:r>
                </w:p>
              </w:tc>
              <w:tc>
                <w:tcPr>
                  <w:tcW w:w="464" w:type="pct"/>
                  <w:vAlign w:val="center"/>
                </w:tcPr>
                <w:p>
                  <w:pPr>
                    <w:pStyle w:val="141"/>
                    <w:rPr>
                      <w:rFonts w:hint="default" w:ascii="Times New Roman" w:hAnsi="Times New Roman" w:cs="Times New Roman"/>
                    </w:rPr>
                  </w:pPr>
                  <w:r>
                    <w:rPr>
                      <w:rFonts w:hint="default" w:ascii="Times New Roman" w:hAnsi="Times New Roman" w:cs="Times New Roman"/>
                    </w:rPr>
                    <w:t>52</w:t>
                  </w:r>
                </w:p>
              </w:tc>
              <w:tc>
                <w:tcPr>
                  <w:tcW w:w="379" w:type="pct"/>
                  <w:vAlign w:val="center"/>
                </w:tcPr>
                <w:p>
                  <w:pPr>
                    <w:pStyle w:val="141"/>
                    <w:rPr>
                      <w:rFonts w:hint="default" w:ascii="Times New Roman" w:hAnsi="Times New Roman" w:cs="Times New Roman"/>
                    </w:rPr>
                  </w:pPr>
                  <w:r>
                    <w:rPr>
                      <w:rFonts w:hint="default" w:ascii="Times New Roman" w:hAnsi="Times New Roman" w:cs="Times New Roman"/>
                    </w:rPr>
                    <w:t>57</w:t>
                  </w:r>
                </w:p>
              </w:tc>
            </w:tr>
          </w:tbl>
          <w:p>
            <w:pPr>
              <w:pStyle w:val="143"/>
              <w:spacing w:before="156"/>
              <w:rPr>
                <w:rFonts w:hint="default" w:ascii="Times New Roman" w:hAnsi="Times New Roman" w:eastAsia="Times New Roman" w:cs="Times New Roman"/>
              </w:rPr>
            </w:pPr>
            <w:r>
              <w:rPr>
                <w:rFonts w:hint="default" w:ascii="Times New Roman" w:hAnsi="Times New Roman" w:cs="Times New Roman"/>
              </w:rPr>
              <w:t>表</w:t>
            </w:r>
            <w:r>
              <w:rPr>
                <w:rFonts w:hint="eastAsia" w:cs="Times New Roman"/>
                <w:lang w:val="en-US" w:eastAsia="zh-CN"/>
              </w:rPr>
              <w:t>7-2</w:t>
            </w:r>
            <w:r>
              <w:rPr>
                <w:rFonts w:hint="default" w:ascii="Times New Roman" w:hAnsi="Times New Roman" w:cs="Times New Roman"/>
              </w:rPr>
              <w:t xml:space="preserve">   不同距离下施工机械的噪声影响</w:t>
            </w:r>
            <w:r>
              <w:rPr>
                <w:rFonts w:hint="default" w:ascii="Times New Roman" w:hAnsi="Times New Roman" w:cs="Times New Roman"/>
              </w:rPr>
              <w:tab/>
            </w:r>
            <w:r>
              <w:rPr>
                <w:rFonts w:hint="default" w:ascii="Times New Roman" w:hAnsi="Times New Roman" w:cs="Times New Roman"/>
              </w:rPr>
              <w:t>单位：</w:t>
            </w:r>
            <w:r>
              <w:rPr>
                <w:rFonts w:hint="default" w:ascii="Times New Roman" w:hAnsi="Times New Roman" w:eastAsia="Times New Roman" w:cs="Times New Roman"/>
              </w:rPr>
              <w:t>Leq,dB(A)</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394"/>
              <w:gridCol w:w="1949"/>
              <w:gridCol w:w="655"/>
              <w:gridCol w:w="795"/>
              <w:gridCol w:w="795"/>
              <w:gridCol w:w="795"/>
              <w:gridCol w:w="795"/>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vMerge w:val="restar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序号</w:t>
                  </w:r>
                </w:p>
              </w:tc>
              <w:tc>
                <w:tcPr>
                  <w:tcW w:w="779" w:type="pct"/>
                  <w:vMerge w:val="restar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机械类型</w:t>
                  </w:r>
                </w:p>
              </w:tc>
              <w:tc>
                <w:tcPr>
                  <w:tcW w:w="1089" w:type="pct"/>
                  <w:vMerge w:val="restar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声源特点</w:t>
                  </w:r>
                </w:p>
              </w:tc>
              <w:tc>
                <w:tcPr>
                  <w:tcW w:w="2662" w:type="pct"/>
                  <w:gridSpan w:val="6"/>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噪声预测值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69" w:type="pct"/>
                  <w:vMerge w:val="continue"/>
                  <w:vAlign w:val="center"/>
                </w:tcPr>
                <w:p>
                  <w:pPr>
                    <w:pStyle w:val="141"/>
                    <w:rPr>
                      <w:rFonts w:hint="default" w:ascii="Times New Roman" w:hAnsi="Times New Roman" w:cs="Times New Roman"/>
                    </w:rPr>
                  </w:pPr>
                </w:p>
              </w:tc>
              <w:tc>
                <w:tcPr>
                  <w:tcW w:w="779" w:type="pct"/>
                  <w:vMerge w:val="continue"/>
                  <w:vAlign w:val="center"/>
                </w:tcPr>
                <w:p>
                  <w:pPr>
                    <w:pStyle w:val="141"/>
                    <w:rPr>
                      <w:rFonts w:hint="default" w:ascii="Times New Roman" w:hAnsi="Times New Roman" w:cs="Times New Roman"/>
                    </w:rPr>
                  </w:pPr>
                </w:p>
              </w:tc>
              <w:tc>
                <w:tcPr>
                  <w:tcW w:w="1089" w:type="pct"/>
                  <w:vMerge w:val="continue"/>
                  <w:vAlign w:val="center"/>
                </w:tcPr>
                <w:p>
                  <w:pPr>
                    <w:pStyle w:val="141"/>
                    <w:rPr>
                      <w:rFonts w:hint="default" w:ascii="Times New Roman" w:hAnsi="Times New Roman" w:cs="Times New Roman"/>
                    </w:rPr>
                  </w:pPr>
                </w:p>
              </w:tc>
              <w:tc>
                <w:tcPr>
                  <w:tcW w:w="366" w:type="pct"/>
                  <w:shd w:val="clear" w:color="auto" w:fill="auto"/>
                  <w:vAlign w:val="center"/>
                </w:tcPr>
                <w:p>
                  <w:pPr>
                    <w:pStyle w:val="141"/>
                    <w:rPr>
                      <w:rFonts w:hint="default" w:ascii="Times New Roman" w:hAnsi="Times New Roman" w:eastAsia="等线" w:cs="Times New Roman"/>
                      <w:b/>
                      <w:bCs/>
                    </w:rPr>
                  </w:pPr>
                  <w:r>
                    <w:rPr>
                      <w:rFonts w:hint="default" w:ascii="Times New Roman" w:hAnsi="Times New Roman" w:eastAsia="等线" w:cs="Times New Roman"/>
                      <w:b/>
                      <w:bCs/>
                    </w:rPr>
                    <w:t>5m</w:t>
                  </w:r>
                </w:p>
              </w:tc>
              <w:tc>
                <w:tcPr>
                  <w:tcW w:w="444" w:type="pct"/>
                  <w:shd w:val="clear" w:color="auto" w:fill="auto"/>
                  <w:vAlign w:val="center"/>
                </w:tcPr>
                <w:p>
                  <w:pPr>
                    <w:pStyle w:val="141"/>
                    <w:rPr>
                      <w:rFonts w:hint="default" w:ascii="Times New Roman" w:hAnsi="Times New Roman" w:eastAsia="等线" w:cs="Times New Roman"/>
                      <w:b/>
                      <w:bCs/>
                    </w:rPr>
                  </w:pPr>
                  <w:r>
                    <w:rPr>
                      <w:rFonts w:hint="default" w:ascii="Times New Roman" w:hAnsi="Times New Roman" w:eastAsia="等线" w:cs="Times New Roman"/>
                      <w:b/>
                      <w:bCs/>
                    </w:rPr>
                    <w:t>10m</w:t>
                  </w:r>
                </w:p>
              </w:tc>
              <w:tc>
                <w:tcPr>
                  <w:tcW w:w="444" w:type="pct"/>
                  <w:shd w:val="clear" w:color="auto" w:fill="auto"/>
                  <w:vAlign w:val="center"/>
                </w:tcPr>
                <w:p>
                  <w:pPr>
                    <w:pStyle w:val="141"/>
                    <w:rPr>
                      <w:rFonts w:hint="default" w:ascii="Times New Roman" w:hAnsi="Times New Roman" w:eastAsia="等线" w:cs="Times New Roman"/>
                      <w:b/>
                      <w:bCs/>
                    </w:rPr>
                  </w:pPr>
                  <w:r>
                    <w:rPr>
                      <w:rFonts w:hint="default" w:ascii="Times New Roman" w:hAnsi="Times New Roman" w:eastAsia="等线" w:cs="Times New Roman"/>
                      <w:b/>
                      <w:bCs/>
                    </w:rPr>
                    <w:t>20m</w:t>
                  </w:r>
                </w:p>
              </w:tc>
              <w:tc>
                <w:tcPr>
                  <w:tcW w:w="444" w:type="pct"/>
                  <w:shd w:val="clear" w:color="auto" w:fill="auto"/>
                  <w:vAlign w:val="center"/>
                </w:tcPr>
                <w:p>
                  <w:pPr>
                    <w:pStyle w:val="141"/>
                    <w:rPr>
                      <w:rFonts w:hint="default" w:ascii="Times New Roman" w:hAnsi="Times New Roman" w:eastAsia="等线" w:cs="Times New Roman"/>
                      <w:b/>
                      <w:bCs/>
                    </w:rPr>
                  </w:pPr>
                  <w:r>
                    <w:rPr>
                      <w:rFonts w:hint="default" w:ascii="Times New Roman" w:hAnsi="Times New Roman" w:eastAsia="等线" w:cs="Times New Roman"/>
                      <w:b/>
                      <w:bCs/>
                    </w:rPr>
                    <w:t>40m</w:t>
                  </w:r>
                </w:p>
              </w:tc>
              <w:tc>
                <w:tcPr>
                  <w:tcW w:w="444" w:type="pct"/>
                  <w:shd w:val="clear" w:color="auto" w:fill="auto"/>
                  <w:vAlign w:val="center"/>
                </w:tcPr>
                <w:p>
                  <w:pPr>
                    <w:pStyle w:val="141"/>
                    <w:rPr>
                      <w:rFonts w:hint="default" w:ascii="Times New Roman" w:hAnsi="Times New Roman" w:eastAsia="等线" w:cs="Times New Roman"/>
                      <w:b/>
                      <w:bCs/>
                    </w:rPr>
                  </w:pPr>
                  <w:r>
                    <w:rPr>
                      <w:rFonts w:hint="default" w:ascii="Times New Roman" w:hAnsi="Times New Roman" w:eastAsia="等线" w:cs="Times New Roman"/>
                      <w:b/>
                      <w:bCs/>
                    </w:rPr>
                    <w:t>50m</w:t>
                  </w:r>
                </w:p>
              </w:tc>
              <w:tc>
                <w:tcPr>
                  <w:tcW w:w="521" w:type="pct"/>
                  <w:shd w:val="clear" w:color="auto" w:fill="auto"/>
                  <w:vAlign w:val="center"/>
                </w:tcPr>
                <w:p>
                  <w:pPr>
                    <w:pStyle w:val="141"/>
                    <w:rPr>
                      <w:rFonts w:hint="default" w:ascii="Times New Roman" w:hAnsi="Times New Roman" w:eastAsia="等线" w:cs="Times New Roman"/>
                      <w:b/>
                      <w:bCs/>
                    </w:rPr>
                  </w:pPr>
                  <w:r>
                    <w:rPr>
                      <w:rFonts w:hint="default" w:ascii="Times New Roman" w:hAnsi="Times New Roman" w:eastAsia="等线" w:cs="Times New Roman"/>
                      <w:b/>
                      <w:bCs/>
                    </w:rPr>
                    <w:t>100m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1</w:t>
                  </w:r>
                </w:p>
              </w:tc>
              <w:tc>
                <w:tcPr>
                  <w:tcW w:w="779"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挖土机</w:t>
                  </w:r>
                </w:p>
              </w:tc>
              <w:tc>
                <w:tcPr>
                  <w:tcW w:w="1089"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流动不稳定源</w:t>
                  </w:r>
                </w:p>
              </w:tc>
              <w:tc>
                <w:tcPr>
                  <w:tcW w:w="366"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90</w:t>
                  </w:r>
                </w:p>
              </w:tc>
              <w:tc>
                <w:tcPr>
                  <w:tcW w:w="444"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4</w:t>
                  </w:r>
                </w:p>
              </w:tc>
              <w:tc>
                <w:tcPr>
                  <w:tcW w:w="444"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78</w:t>
                  </w:r>
                </w:p>
              </w:tc>
              <w:tc>
                <w:tcPr>
                  <w:tcW w:w="444"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72</w:t>
                  </w:r>
                </w:p>
              </w:tc>
              <w:tc>
                <w:tcPr>
                  <w:tcW w:w="444"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70</w:t>
                  </w:r>
                </w:p>
              </w:tc>
              <w:tc>
                <w:tcPr>
                  <w:tcW w:w="521"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2</w:t>
                  </w:r>
                </w:p>
              </w:tc>
              <w:tc>
                <w:tcPr>
                  <w:tcW w:w="779"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推土机</w:t>
                  </w:r>
                </w:p>
              </w:tc>
              <w:tc>
                <w:tcPr>
                  <w:tcW w:w="1089"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流动不稳定源</w:t>
                  </w:r>
                </w:p>
              </w:tc>
              <w:tc>
                <w:tcPr>
                  <w:tcW w:w="366"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86</w:t>
                  </w:r>
                </w:p>
              </w:tc>
              <w:tc>
                <w:tcPr>
                  <w:tcW w:w="444"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80</w:t>
                  </w:r>
                </w:p>
              </w:tc>
              <w:tc>
                <w:tcPr>
                  <w:tcW w:w="444"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74</w:t>
                  </w:r>
                </w:p>
              </w:tc>
              <w:tc>
                <w:tcPr>
                  <w:tcW w:w="444"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68</w:t>
                  </w:r>
                </w:p>
              </w:tc>
              <w:tc>
                <w:tcPr>
                  <w:tcW w:w="444"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66</w:t>
                  </w:r>
                </w:p>
              </w:tc>
              <w:tc>
                <w:tcPr>
                  <w:tcW w:w="521"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3</w:t>
                  </w:r>
                </w:p>
              </w:tc>
              <w:tc>
                <w:tcPr>
                  <w:tcW w:w="779"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砂轮机</w:t>
                  </w:r>
                </w:p>
              </w:tc>
              <w:tc>
                <w:tcPr>
                  <w:tcW w:w="1089"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流动不稳定源</w:t>
                  </w:r>
                </w:p>
              </w:tc>
              <w:tc>
                <w:tcPr>
                  <w:tcW w:w="366"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90</w:t>
                  </w:r>
                </w:p>
              </w:tc>
              <w:tc>
                <w:tcPr>
                  <w:tcW w:w="444"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84</w:t>
                  </w:r>
                </w:p>
              </w:tc>
              <w:tc>
                <w:tcPr>
                  <w:tcW w:w="444"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78</w:t>
                  </w:r>
                </w:p>
              </w:tc>
              <w:tc>
                <w:tcPr>
                  <w:tcW w:w="444"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72</w:t>
                  </w:r>
                </w:p>
              </w:tc>
              <w:tc>
                <w:tcPr>
                  <w:tcW w:w="444"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70</w:t>
                  </w:r>
                </w:p>
              </w:tc>
              <w:tc>
                <w:tcPr>
                  <w:tcW w:w="521"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4</w:t>
                  </w:r>
                </w:p>
              </w:tc>
              <w:tc>
                <w:tcPr>
                  <w:tcW w:w="779"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自卸卡车</w:t>
                  </w:r>
                </w:p>
              </w:tc>
              <w:tc>
                <w:tcPr>
                  <w:tcW w:w="1089"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流动不稳定源</w:t>
                  </w:r>
                </w:p>
              </w:tc>
              <w:tc>
                <w:tcPr>
                  <w:tcW w:w="366"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90</w:t>
                  </w:r>
                </w:p>
              </w:tc>
              <w:tc>
                <w:tcPr>
                  <w:tcW w:w="444"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84</w:t>
                  </w:r>
                </w:p>
              </w:tc>
              <w:tc>
                <w:tcPr>
                  <w:tcW w:w="444"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78</w:t>
                  </w:r>
                </w:p>
              </w:tc>
              <w:tc>
                <w:tcPr>
                  <w:tcW w:w="444"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72</w:t>
                  </w:r>
                </w:p>
              </w:tc>
              <w:tc>
                <w:tcPr>
                  <w:tcW w:w="444"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70</w:t>
                  </w:r>
                </w:p>
              </w:tc>
              <w:tc>
                <w:tcPr>
                  <w:tcW w:w="521"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5</w:t>
                  </w:r>
                </w:p>
              </w:tc>
              <w:tc>
                <w:tcPr>
                  <w:tcW w:w="779"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装卸机</w:t>
                  </w:r>
                </w:p>
              </w:tc>
              <w:tc>
                <w:tcPr>
                  <w:tcW w:w="1089"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流动不稳定源</w:t>
                  </w:r>
                </w:p>
              </w:tc>
              <w:tc>
                <w:tcPr>
                  <w:tcW w:w="366"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86</w:t>
                  </w:r>
                </w:p>
              </w:tc>
              <w:tc>
                <w:tcPr>
                  <w:tcW w:w="444"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80</w:t>
                  </w:r>
                </w:p>
              </w:tc>
              <w:tc>
                <w:tcPr>
                  <w:tcW w:w="444"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74</w:t>
                  </w:r>
                </w:p>
              </w:tc>
              <w:tc>
                <w:tcPr>
                  <w:tcW w:w="444"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68</w:t>
                  </w:r>
                </w:p>
              </w:tc>
              <w:tc>
                <w:tcPr>
                  <w:tcW w:w="444"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66</w:t>
                  </w:r>
                </w:p>
              </w:tc>
              <w:tc>
                <w:tcPr>
                  <w:tcW w:w="521"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6</w:t>
                  </w:r>
                </w:p>
              </w:tc>
              <w:tc>
                <w:tcPr>
                  <w:tcW w:w="779"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空压机</w:t>
                  </w:r>
                </w:p>
              </w:tc>
              <w:tc>
                <w:tcPr>
                  <w:tcW w:w="1089"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流动不稳定源</w:t>
                  </w:r>
                </w:p>
              </w:tc>
              <w:tc>
                <w:tcPr>
                  <w:tcW w:w="366"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86</w:t>
                  </w:r>
                </w:p>
              </w:tc>
              <w:tc>
                <w:tcPr>
                  <w:tcW w:w="444"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80</w:t>
                  </w:r>
                </w:p>
              </w:tc>
              <w:tc>
                <w:tcPr>
                  <w:tcW w:w="444"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74</w:t>
                  </w:r>
                </w:p>
              </w:tc>
              <w:tc>
                <w:tcPr>
                  <w:tcW w:w="444"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68</w:t>
                  </w:r>
                </w:p>
              </w:tc>
              <w:tc>
                <w:tcPr>
                  <w:tcW w:w="444"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66</w:t>
                  </w:r>
                </w:p>
              </w:tc>
              <w:tc>
                <w:tcPr>
                  <w:tcW w:w="521"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7</w:t>
                  </w:r>
                </w:p>
              </w:tc>
              <w:tc>
                <w:tcPr>
                  <w:tcW w:w="779"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电锯</w:t>
                  </w:r>
                </w:p>
              </w:tc>
              <w:tc>
                <w:tcPr>
                  <w:tcW w:w="1089"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流动不稳定源</w:t>
                  </w:r>
                </w:p>
              </w:tc>
              <w:tc>
                <w:tcPr>
                  <w:tcW w:w="366"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91</w:t>
                  </w:r>
                </w:p>
              </w:tc>
              <w:tc>
                <w:tcPr>
                  <w:tcW w:w="444"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85</w:t>
                  </w:r>
                </w:p>
              </w:tc>
              <w:tc>
                <w:tcPr>
                  <w:tcW w:w="444"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79</w:t>
                  </w:r>
                </w:p>
              </w:tc>
              <w:tc>
                <w:tcPr>
                  <w:tcW w:w="444"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73</w:t>
                  </w:r>
                </w:p>
              </w:tc>
              <w:tc>
                <w:tcPr>
                  <w:tcW w:w="444"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71</w:t>
                  </w:r>
                </w:p>
              </w:tc>
              <w:tc>
                <w:tcPr>
                  <w:tcW w:w="521"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8</w:t>
                  </w:r>
                </w:p>
              </w:tc>
              <w:tc>
                <w:tcPr>
                  <w:tcW w:w="779"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切割机</w:t>
                  </w:r>
                </w:p>
              </w:tc>
              <w:tc>
                <w:tcPr>
                  <w:tcW w:w="1089"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流动不稳定源</w:t>
                  </w:r>
                </w:p>
              </w:tc>
              <w:tc>
                <w:tcPr>
                  <w:tcW w:w="366"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90</w:t>
                  </w:r>
                </w:p>
              </w:tc>
              <w:tc>
                <w:tcPr>
                  <w:tcW w:w="444"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84</w:t>
                  </w:r>
                </w:p>
              </w:tc>
              <w:tc>
                <w:tcPr>
                  <w:tcW w:w="444"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78</w:t>
                  </w:r>
                </w:p>
              </w:tc>
              <w:tc>
                <w:tcPr>
                  <w:tcW w:w="444"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72</w:t>
                  </w:r>
                </w:p>
              </w:tc>
              <w:tc>
                <w:tcPr>
                  <w:tcW w:w="444"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70</w:t>
                  </w:r>
                </w:p>
              </w:tc>
              <w:tc>
                <w:tcPr>
                  <w:tcW w:w="521"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64</w:t>
                  </w:r>
                </w:p>
              </w:tc>
            </w:tr>
          </w:tbl>
          <w:p>
            <w:pPr>
              <w:pStyle w:val="143"/>
              <w:spacing w:before="156"/>
              <w:rPr>
                <w:rFonts w:hint="default" w:ascii="Times New Roman" w:hAnsi="Times New Roman" w:cs="Times New Roman"/>
              </w:rPr>
            </w:pPr>
            <w:r>
              <w:rPr>
                <w:rFonts w:hint="default" w:ascii="Times New Roman" w:hAnsi="Times New Roman" w:cs="Times New Roman"/>
              </w:rPr>
              <w:t>表</w:t>
            </w:r>
            <w:r>
              <w:rPr>
                <w:rFonts w:hint="eastAsia" w:cs="Times New Roman"/>
                <w:lang w:val="en-US" w:eastAsia="zh-CN"/>
              </w:rPr>
              <w:t>7-3</w:t>
            </w:r>
            <w:r>
              <w:rPr>
                <w:rFonts w:hint="default" w:ascii="Times New Roman" w:hAnsi="Times New Roman" w:eastAsia="Times New Roman" w:cs="Times New Roman"/>
              </w:rPr>
              <w:t xml:space="preserve"> </w:t>
            </w:r>
            <w:r>
              <w:rPr>
                <w:rFonts w:hint="default" w:ascii="Times New Roman" w:hAnsi="Times New Roman" w:cs="Times New Roman"/>
              </w:rPr>
              <w:t xml:space="preserve">  不同施工期建筑施工噪声及施工场界平均声级 单位：</w:t>
            </w:r>
            <w:r>
              <w:rPr>
                <w:rFonts w:hint="default" w:ascii="Times New Roman" w:hAnsi="Times New Roman" w:eastAsia="Times New Roman" w:cs="Times New Roman"/>
              </w:rPr>
              <w:t>dB(A)</w:t>
            </w:r>
          </w:p>
          <w:tbl>
            <w:tblPr>
              <w:tblStyle w:val="1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75" w:type="dxa"/>
                <w:left w:w="68" w:type="dxa"/>
                <w:bottom w:w="0" w:type="dxa"/>
                <w:right w:w="62" w:type="dxa"/>
              </w:tblCellMar>
            </w:tblPr>
            <w:tblGrid>
              <w:gridCol w:w="812"/>
              <w:gridCol w:w="1945"/>
              <w:gridCol w:w="752"/>
              <w:gridCol w:w="777"/>
              <w:gridCol w:w="873"/>
              <w:gridCol w:w="877"/>
              <w:gridCol w:w="889"/>
              <w:gridCol w:w="877"/>
              <w:gridCol w:w="1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68" w:type="dxa"/>
                  <w:bottom w:w="0" w:type="dxa"/>
                  <w:right w:w="62" w:type="dxa"/>
                </w:tblCellMar>
              </w:tblPrEx>
              <w:trPr>
                <w:trHeight w:val="20" w:hRule="atLeast"/>
              </w:trPr>
              <w:tc>
                <w:tcPr>
                  <w:tcW w:w="454" w:type="pct"/>
                  <w:vMerge w:val="restart"/>
                  <w:vAlign w:val="center"/>
                </w:tcPr>
                <w:p>
                  <w:pPr>
                    <w:jc w:val="center"/>
                    <w:rPr>
                      <w:rFonts w:hint="default" w:ascii="Times New Roman" w:hAnsi="Times New Roman" w:cs="Times New Roman"/>
                    </w:rPr>
                  </w:pPr>
                  <w:r>
                    <w:rPr>
                      <w:rFonts w:hint="default" w:ascii="Times New Roman" w:hAnsi="Times New Roman" w:cs="Times New Roman"/>
                    </w:rPr>
                    <w:t>施工阶段</w:t>
                  </w:r>
                </w:p>
              </w:tc>
              <w:tc>
                <w:tcPr>
                  <w:tcW w:w="1087" w:type="pct"/>
                  <w:vMerge w:val="restart"/>
                  <w:vAlign w:val="center"/>
                </w:tcPr>
                <w:p>
                  <w:pPr>
                    <w:jc w:val="center"/>
                    <w:rPr>
                      <w:rFonts w:hint="default" w:ascii="Times New Roman" w:hAnsi="Times New Roman" w:cs="Times New Roman"/>
                    </w:rPr>
                  </w:pPr>
                  <w:r>
                    <w:rPr>
                      <w:rFonts w:hint="default" w:ascii="Times New Roman" w:hAnsi="Times New Roman" w:cs="Times New Roman"/>
                    </w:rPr>
                    <w:t>施工机械主要噪声源</w:t>
                  </w:r>
                </w:p>
              </w:tc>
              <w:tc>
                <w:tcPr>
                  <w:tcW w:w="2329" w:type="pct"/>
                  <w:gridSpan w:val="5"/>
                </w:tcPr>
                <w:p>
                  <w:pPr>
                    <w:ind w:left="40"/>
                    <w:jc w:val="center"/>
                    <w:rPr>
                      <w:rFonts w:hint="default" w:ascii="Times New Roman" w:hAnsi="Times New Roman" w:cs="Times New Roman"/>
                    </w:rPr>
                  </w:pPr>
                  <w:r>
                    <w:rPr>
                      <w:rFonts w:hint="default" w:ascii="Times New Roman" w:hAnsi="Times New Roman" w:cs="Times New Roman"/>
                    </w:rPr>
                    <w:t xml:space="preserve">距机械 </w:t>
                  </w:r>
                  <w:r>
                    <w:rPr>
                      <w:rFonts w:hint="default" w:ascii="Times New Roman" w:hAnsi="Times New Roman" w:eastAsia="Times New Roman" w:cs="Times New Roman"/>
                      <w:b/>
                    </w:rPr>
                    <w:t xml:space="preserve">Xm </w:t>
                  </w:r>
                  <w:r>
                    <w:rPr>
                      <w:rFonts w:hint="default" w:ascii="Times New Roman" w:hAnsi="Times New Roman" w:cs="Times New Roman"/>
                    </w:rPr>
                    <w:t xml:space="preserve">处声压级 </w:t>
                  </w:r>
                  <w:r>
                    <w:rPr>
                      <w:rFonts w:hint="default" w:ascii="Times New Roman" w:hAnsi="Times New Roman" w:eastAsia="Times New Roman" w:cs="Times New Roman"/>
                      <w:b/>
                    </w:rPr>
                    <w:t>d (A)</w:t>
                  </w:r>
                </w:p>
              </w:tc>
              <w:tc>
                <w:tcPr>
                  <w:tcW w:w="1130" w:type="pct"/>
                  <w:gridSpan w:val="2"/>
                </w:tcPr>
                <w:p>
                  <w:pPr>
                    <w:ind w:left="150"/>
                    <w:rPr>
                      <w:rFonts w:hint="default" w:ascii="Times New Roman" w:hAnsi="Times New Roman" w:cs="Times New Roman"/>
                    </w:rPr>
                  </w:pPr>
                  <w:r>
                    <w:rPr>
                      <w:rFonts w:hint="default" w:ascii="Times New Roman" w:hAnsi="Times New Roman" w:cs="Times New Roman"/>
                    </w:rPr>
                    <w:t xml:space="preserve">噪声限值 </w:t>
                  </w:r>
                  <w:r>
                    <w:rPr>
                      <w:rFonts w:hint="default" w:ascii="Times New Roman" w:hAnsi="Times New Roman" w:eastAsia="Times New Roman" w:cs="Times New Roman"/>
                      <w:b/>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68" w:type="dxa"/>
                  <w:bottom w:w="0" w:type="dxa"/>
                  <w:right w:w="62" w:type="dxa"/>
                </w:tblCellMar>
              </w:tblPrEx>
              <w:trPr>
                <w:trHeight w:val="384" w:hRule="atLeast"/>
              </w:trPr>
              <w:tc>
                <w:tcPr>
                  <w:tcW w:w="454" w:type="pct"/>
                  <w:vMerge w:val="continue"/>
                </w:tcPr>
                <w:p>
                  <w:pPr>
                    <w:spacing w:after="160"/>
                    <w:rPr>
                      <w:rFonts w:hint="default" w:ascii="Times New Roman" w:hAnsi="Times New Roman" w:cs="Times New Roman"/>
                    </w:rPr>
                  </w:pPr>
                </w:p>
              </w:tc>
              <w:tc>
                <w:tcPr>
                  <w:tcW w:w="1087" w:type="pct"/>
                  <w:vMerge w:val="continue"/>
                </w:tcPr>
                <w:p>
                  <w:pPr>
                    <w:spacing w:after="160"/>
                    <w:rPr>
                      <w:rFonts w:hint="default" w:ascii="Times New Roman" w:hAnsi="Times New Roman" w:cs="Times New Roman"/>
                    </w:rPr>
                  </w:pPr>
                </w:p>
              </w:tc>
              <w:tc>
                <w:tcPr>
                  <w:tcW w:w="420" w:type="pct"/>
                </w:tcPr>
                <w:p>
                  <w:pPr>
                    <w:ind w:left="5"/>
                    <w:jc w:val="center"/>
                    <w:rPr>
                      <w:rFonts w:hint="default" w:ascii="Times New Roman" w:hAnsi="Times New Roman" w:cs="Times New Roman"/>
                    </w:rPr>
                  </w:pPr>
                  <w:r>
                    <w:rPr>
                      <w:rFonts w:hint="default" w:ascii="Times New Roman" w:hAnsi="Times New Roman" w:eastAsia="Times New Roman" w:cs="Times New Roman"/>
                      <w:b/>
                    </w:rPr>
                    <w:t>1</w:t>
                  </w:r>
                </w:p>
              </w:tc>
              <w:tc>
                <w:tcPr>
                  <w:tcW w:w="434" w:type="pct"/>
                </w:tcPr>
                <w:p>
                  <w:pPr>
                    <w:ind w:left="3"/>
                    <w:jc w:val="center"/>
                    <w:rPr>
                      <w:rFonts w:hint="default" w:ascii="Times New Roman" w:hAnsi="Times New Roman" w:cs="Times New Roman"/>
                    </w:rPr>
                  </w:pPr>
                  <w:r>
                    <w:rPr>
                      <w:rFonts w:hint="default" w:ascii="Times New Roman" w:hAnsi="Times New Roman" w:eastAsia="Times New Roman" w:cs="Times New Roman"/>
                      <w:b/>
                    </w:rPr>
                    <w:t>10</w:t>
                  </w:r>
                </w:p>
              </w:tc>
              <w:tc>
                <w:tcPr>
                  <w:tcW w:w="488" w:type="pct"/>
                </w:tcPr>
                <w:p>
                  <w:pPr>
                    <w:ind w:left="9"/>
                    <w:jc w:val="center"/>
                    <w:rPr>
                      <w:rFonts w:hint="default" w:ascii="Times New Roman" w:hAnsi="Times New Roman" w:cs="Times New Roman"/>
                    </w:rPr>
                  </w:pPr>
                  <w:r>
                    <w:rPr>
                      <w:rFonts w:hint="default" w:ascii="Times New Roman" w:hAnsi="Times New Roman" w:eastAsia="Times New Roman" w:cs="Times New Roman"/>
                      <w:b/>
                    </w:rPr>
                    <w:t>20</w:t>
                  </w:r>
                </w:p>
              </w:tc>
              <w:tc>
                <w:tcPr>
                  <w:tcW w:w="490" w:type="pct"/>
                </w:tcPr>
                <w:p>
                  <w:pPr>
                    <w:jc w:val="center"/>
                    <w:rPr>
                      <w:rFonts w:hint="default" w:ascii="Times New Roman" w:hAnsi="Times New Roman" w:cs="Times New Roman"/>
                    </w:rPr>
                  </w:pPr>
                  <w:r>
                    <w:rPr>
                      <w:rFonts w:hint="default" w:ascii="Times New Roman" w:hAnsi="Times New Roman" w:eastAsia="Times New Roman" w:cs="Times New Roman"/>
                      <w:b/>
                    </w:rPr>
                    <w:t>30</w:t>
                  </w:r>
                </w:p>
              </w:tc>
              <w:tc>
                <w:tcPr>
                  <w:tcW w:w="497" w:type="pct"/>
                </w:tcPr>
                <w:p>
                  <w:pPr>
                    <w:ind w:left="137"/>
                    <w:rPr>
                      <w:rFonts w:hint="default" w:ascii="Times New Roman" w:hAnsi="Times New Roman" w:cs="Times New Roman"/>
                    </w:rPr>
                  </w:pPr>
                  <w:r>
                    <w:rPr>
                      <w:rFonts w:hint="default" w:ascii="Times New Roman" w:hAnsi="Times New Roman" w:cs="Times New Roman"/>
                    </w:rPr>
                    <w:t>平均</w:t>
                  </w:r>
                </w:p>
              </w:tc>
              <w:tc>
                <w:tcPr>
                  <w:tcW w:w="490" w:type="pct"/>
                </w:tcPr>
                <w:p>
                  <w:pPr>
                    <w:ind w:left="129"/>
                    <w:rPr>
                      <w:rFonts w:hint="default" w:ascii="Times New Roman" w:hAnsi="Times New Roman" w:cs="Times New Roman"/>
                    </w:rPr>
                  </w:pPr>
                  <w:r>
                    <w:rPr>
                      <w:rFonts w:hint="default" w:ascii="Times New Roman" w:hAnsi="Times New Roman" w:cs="Times New Roman"/>
                    </w:rPr>
                    <w:t>昼间</w:t>
                  </w:r>
                </w:p>
              </w:tc>
              <w:tc>
                <w:tcPr>
                  <w:tcW w:w="640" w:type="pct"/>
                </w:tcPr>
                <w:p>
                  <w:pPr>
                    <w:ind w:left="252"/>
                    <w:rPr>
                      <w:rFonts w:hint="default" w:ascii="Times New Roman" w:hAnsi="Times New Roman" w:cs="Times New Roman"/>
                    </w:rPr>
                  </w:pPr>
                  <w:r>
                    <w:rPr>
                      <w:rFonts w:hint="default" w:ascii="Times New Roman" w:hAnsi="Times New Roman" w:cs="Times New Roma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68" w:type="dxa"/>
                  <w:bottom w:w="0" w:type="dxa"/>
                  <w:right w:w="62" w:type="dxa"/>
                </w:tblCellMar>
              </w:tblPrEx>
              <w:trPr>
                <w:trHeight w:val="20" w:hRule="atLeast"/>
              </w:trPr>
              <w:tc>
                <w:tcPr>
                  <w:tcW w:w="454" w:type="pct"/>
                  <w:vMerge w:val="restart"/>
                  <w:vAlign w:val="center"/>
                </w:tcPr>
                <w:p>
                  <w:pPr>
                    <w:ind w:left="1"/>
                    <w:jc w:val="center"/>
                    <w:rPr>
                      <w:rFonts w:hint="default" w:ascii="Times New Roman" w:hAnsi="Times New Roman" w:cs="Times New Roman"/>
                    </w:rPr>
                  </w:pPr>
                  <w:r>
                    <w:rPr>
                      <w:rFonts w:hint="default" w:ascii="Times New Roman" w:hAnsi="Times New Roman" w:cs="Times New Roman"/>
                    </w:rPr>
                    <w:t>土石方</w:t>
                  </w:r>
                </w:p>
              </w:tc>
              <w:tc>
                <w:tcPr>
                  <w:tcW w:w="1087" w:type="pct"/>
                </w:tcPr>
                <w:p>
                  <w:pPr>
                    <w:ind w:left="2"/>
                    <w:jc w:val="center"/>
                    <w:rPr>
                      <w:rFonts w:hint="default" w:ascii="Times New Roman" w:hAnsi="Times New Roman" w:cs="Times New Roman"/>
                    </w:rPr>
                  </w:pPr>
                  <w:r>
                    <w:rPr>
                      <w:rFonts w:hint="default" w:ascii="Times New Roman" w:hAnsi="Times New Roman" w:cs="Times New Roman"/>
                    </w:rPr>
                    <w:t>挖土机</w:t>
                  </w:r>
                </w:p>
              </w:tc>
              <w:tc>
                <w:tcPr>
                  <w:tcW w:w="420" w:type="pct"/>
                </w:tcPr>
                <w:p>
                  <w:pPr>
                    <w:ind w:left="129"/>
                    <w:rPr>
                      <w:rFonts w:hint="default" w:ascii="Times New Roman" w:hAnsi="Times New Roman" w:cs="Times New Roman"/>
                    </w:rPr>
                  </w:pPr>
                  <w:r>
                    <w:rPr>
                      <w:rFonts w:hint="default" w:ascii="Times New Roman" w:hAnsi="Times New Roman" w:eastAsia="Times New Roman" w:cs="Times New Roman"/>
                    </w:rPr>
                    <w:t>104</w:t>
                  </w:r>
                </w:p>
              </w:tc>
              <w:tc>
                <w:tcPr>
                  <w:tcW w:w="434" w:type="pct"/>
                </w:tcPr>
                <w:p>
                  <w:pPr>
                    <w:ind w:left="3"/>
                    <w:jc w:val="center"/>
                    <w:rPr>
                      <w:rFonts w:hint="default" w:ascii="Times New Roman" w:hAnsi="Times New Roman" w:cs="Times New Roman"/>
                    </w:rPr>
                  </w:pPr>
                  <w:r>
                    <w:rPr>
                      <w:rFonts w:hint="default" w:ascii="Times New Roman" w:hAnsi="Times New Roman" w:eastAsia="Times New Roman" w:cs="Times New Roman"/>
                    </w:rPr>
                    <w:t>84</w:t>
                  </w:r>
                </w:p>
              </w:tc>
              <w:tc>
                <w:tcPr>
                  <w:tcW w:w="488" w:type="pct"/>
                </w:tcPr>
                <w:p>
                  <w:pPr>
                    <w:ind w:left="9"/>
                    <w:jc w:val="center"/>
                    <w:rPr>
                      <w:rFonts w:hint="default" w:ascii="Times New Roman" w:hAnsi="Times New Roman" w:cs="Times New Roman"/>
                    </w:rPr>
                  </w:pPr>
                  <w:r>
                    <w:rPr>
                      <w:rFonts w:hint="default" w:ascii="Times New Roman" w:hAnsi="Times New Roman" w:eastAsia="Times New Roman" w:cs="Times New Roman"/>
                    </w:rPr>
                    <w:t>78</w:t>
                  </w:r>
                </w:p>
              </w:tc>
              <w:tc>
                <w:tcPr>
                  <w:tcW w:w="490" w:type="pct"/>
                </w:tcPr>
                <w:p>
                  <w:pPr>
                    <w:jc w:val="center"/>
                    <w:rPr>
                      <w:rFonts w:hint="default" w:ascii="Times New Roman" w:hAnsi="Times New Roman" w:cs="Times New Roman"/>
                    </w:rPr>
                  </w:pPr>
                  <w:r>
                    <w:rPr>
                      <w:rFonts w:hint="default" w:ascii="Times New Roman" w:hAnsi="Times New Roman" w:eastAsia="Times New Roman" w:cs="Times New Roman"/>
                    </w:rPr>
                    <w:t>74</w:t>
                  </w:r>
                </w:p>
              </w:tc>
              <w:tc>
                <w:tcPr>
                  <w:tcW w:w="497" w:type="pct"/>
                  <w:vMerge w:val="restart"/>
                  <w:vAlign w:val="center"/>
                </w:tcPr>
                <w:p>
                  <w:pPr>
                    <w:ind w:right="1"/>
                    <w:jc w:val="center"/>
                    <w:rPr>
                      <w:rFonts w:hint="default" w:ascii="Times New Roman" w:hAnsi="Times New Roman" w:cs="Times New Roman"/>
                    </w:rPr>
                  </w:pPr>
                  <w:r>
                    <w:rPr>
                      <w:rFonts w:hint="default" w:ascii="Times New Roman" w:hAnsi="Times New Roman" w:eastAsia="Times New Roman" w:cs="Times New Roman"/>
                    </w:rPr>
                    <w:t>77.8</w:t>
                  </w:r>
                </w:p>
              </w:tc>
              <w:tc>
                <w:tcPr>
                  <w:tcW w:w="490" w:type="pct"/>
                  <w:vMerge w:val="restart"/>
                  <w:vAlign w:val="center"/>
                </w:tcPr>
                <w:p>
                  <w:pPr>
                    <w:ind w:right="6"/>
                    <w:jc w:val="center"/>
                    <w:rPr>
                      <w:rFonts w:hint="default" w:ascii="Times New Roman" w:hAnsi="Times New Roman" w:cs="Times New Roman"/>
                    </w:rPr>
                  </w:pPr>
                  <w:r>
                    <w:rPr>
                      <w:rFonts w:hint="default" w:ascii="Times New Roman" w:hAnsi="Times New Roman" w:eastAsia="Times New Roman" w:cs="Times New Roman"/>
                    </w:rPr>
                    <w:t>70</w:t>
                  </w:r>
                </w:p>
              </w:tc>
              <w:tc>
                <w:tcPr>
                  <w:tcW w:w="640" w:type="pct"/>
                  <w:vMerge w:val="restart"/>
                  <w:vAlign w:val="center"/>
                </w:tcPr>
                <w:p>
                  <w:pPr>
                    <w:ind w:right="4"/>
                    <w:jc w:val="center"/>
                    <w:rPr>
                      <w:rFonts w:hint="default" w:ascii="Times New Roman" w:hAnsi="Times New Roman" w:cs="Times New Roman"/>
                    </w:rPr>
                  </w:pPr>
                  <w:r>
                    <w:rPr>
                      <w:rFonts w:hint="default" w:ascii="Times New Roman" w:hAnsi="Times New Roman" w:eastAsia="Times New Roman" w:cs="Times New Roma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68" w:type="dxa"/>
                  <w:bottom w:w="0" w:type="dxa"/>
                  <w:right w:w="62" w:type="dxa"/>
                </w:tblCellMar>
              </w:tblPrEx>
              <w:trPr>
                <w:trHeight w:val="20" w:hRule="atLeast"/>
              </w:trPr>
              <w:tc>
                <w:tcPr>
                  <w:tcW w:w="454" w:type="pct"/>
                  <w:vMerge w:val="continue"/>
                </w:tcPr>
                <w:p>
                  <w:pPr>
                    <w:spacing w:after="160"/>
                    <w:rPr>
                      <w:rFonts w:hint="default" w:ascii="Times New Roman" w:hAnsi="Times New Roman" w:cs="Times New Roman"/>
                    </w:rPr>
                  </w:pPr>
                </w:p>
              </w:tc>
              <w:tc>
                <w:tcPr>
                  <w:tcW w:w="1087" w:type="pct"/>
                </w:tcPr>
                <w:p>
                  <w:pPr>
                    <w:ind w:left="2"/>
                    <w:jc w:val="center"/>
                    <w:rPr>
                      <w:rFonts w:hint="default" w:ascii="Times New Roman" w:hAnsi="Times New Roman" w:cs="Times New Roman"/>
                    </w:rPr>
                  </w:pPr>
                  <w:r>
                    <w:rPr>
                      <w:rFonts w:hint="default" w:ascii="Times New Roman" w:hAnsi="Times New Roman" w:cs="Times New Roman"/>
                    </w:rPr>
                    <w:t>推土机</w:t>
                  </w:r>
                </w:p>
              </w:tc>
              <w:tc>
                <w:tcPr>
                  <w:tcW w:w="420" w:type="pct"/>
                </w:tcPr>
                <w:p>
                  <w:pPr>
                    <w:ind w:left="129"/>
                    <w:rPr>
                      <w:rFonts w:hint="default" w:ascii="Times New Roman" w:hAnsi="Times New Roman" w:cs="Times New Roman"/>
                    </w:rPr>
                  </w:pPr>
                  <w:r>
                    <w:rPr>
                      <w:rFonts w:hint="default" w:ascii="Times New Roman" w:hAnsi="Times New Roman" w:eastAsia="Times New Roman" w:cs="Times New Roman"/>
                    </w:rPr>
                    <w:t>100</w:t>
                  </w:r>
                </w:p>
              </w:tc>
              <w:tc>
                <w:tcPr>
                  <w:tcW w:w="434" w:type="pct"/>
                </w:tcPr>
                <w:p>
                  <w:pPr>
                    <w:ind w:left="3"/>
                    <w:jc w:val="center"/>
                    <w:rPr>
                      <w:rFonts w:hint="default" w:ascii="Times New Roman" w:hAnsi="Times New Roman" w:cs="Times New Roman"/>
                    </w:rPr>
                  </w:pPr>
                  <w:r>
                    <w:rPr>
                      <w:rFonts w:hint="default" w:ascii="Times New Roman" w:hAnsi="Times New Roman" w:eastAsia="Times New Roman" w:cs="Times New Roman"/>
                    </w:rPr>
                    <w:t>80</w:t>
                  </w:r>
                </w:p>
              </w:tc>
              <w:tc>
                <w:tcPr>
                  <w:tcW w:w="488" w:type="pct"/>
                </w:tcPr>
                <w:p>
                  <w:pPr>
                    <w:ind w:left="9"/>
                    <w:jc w:val="center"/>
                    <w:rPr>
                      <w:rFonts w:hint="default" w:ascii="Times New Roman" w:hAnsi="Times New Roman" w:cs="Times New Roman"/>
                    </w:rPr>
                  </w:pPr>
                  <w:r>
                    <w:rPr>
                      <w:rFonts w:hint="default" w:ascii="Times New Roman" w:hAnsi="Times New Roman" w:eastAsia="Times New Roman" w:cs="Times New Roman"/>
                    </w:rPr>
                    <w:t>74</w:t>
                  </w:r>
                </w:p>
              </w:tc>
              <w:tc>
                <w:tcPr>
                  <w:tcW w:w="490" w:type="pct"/>
                </w:tcPr>
                <w:p>
                  <w:pPr>
                    <w:jc w:val="center"/>
                    <w:rPr>
                      <w:rFonts w:hint="default" w:ascii="Times New Roman" w:hAnsi="Times New Roman" w:cs="Times New Roman"/>
                    </w:rPr>
                  </w:pPr>
                  <w:r>
                    <w:rPr>
                      <w:rFonts w:hint="default" w:ascii="Times New Roman" w:hAnsi="Times New Roman" w:eastAsia="Times New Roman" w:cs="Times New Roman"/>
                    </w:rPr>
                    <w:t>70</w:t>
                  </w:r>
                </w:p>
              </w:tc>
              <w:tc>
                <w:tcPr>
                  <w:tcW w:w="497" w:type="pct"/>
                  <w:vMerge w:val="continue"/>
                </w:tcPr>
                <w:p>
                  <w:pPr>
                    <w:spacing w:after="160"/>
                    <w:rPr>
                      <w:rFonts w:hint="default" w:ascii="Times New Roman" w:hAnsi="Times New Roman" w:cs="Times New Roman"/>
                    </w:rPr>
                  </w:pPr>
                </w:p>
              </w:tc>
              <w:tc>
                <w:tcPr>
                  <w:tcW w:w="490" w:type="pct"/>
                  <w:vMerge w:val="continue"/>
                </w:tcPr>
                <w:p>
                  <w:pPr>
                    <w:spacing w:after="160"/>
                    <w:rPr>
                      <w:rFonts w:hint="default" w:ascii="Times New Roman" w:hAnsi="Times New Roman" w:cs="Times New Roman"/>
                    </w:rPr>
                  </w:pPr>
                </w:p>
              </w:tc>
              <w:tc>
                <w:tcPr>
                  <w:tcW w:w="640" w:type="pct"/>
                  <w:vMerge w:val="continue"/>
                </w:tcPr>
                <w:p>
                  <w:pPr>
                    <w:spacing w:after="16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68" w:type="dxa"/>
                  <w:bottom w:w="0" w:type="dxa"/>
                  <w:right w:w="62" w:type="dxa"/>
                </w:tblCellMar>
              </w:tblPrEx>
              <w:trPr>
                <w:trHeight w:val="20" w:hRule="atLeast"/>
              </w:trPr>
              <w:tc>
                <w:tcPr>
                  <w:tcW w:w="454" w:type="pct"/>
                  <w:vMerge w:val="continue"/>
                </w:tcPr>
                <w:p>
                  <w:pPr>
                    <w:spacing w:after="160"/>
                    <w:rPr>
                      <w:rFonts w:hint="default" w:ascii="Times New Roman" w:hAnsi="Times New Roman" w:cs="Times New Roman"/>
                    </w:rPr>
                  </w:pPr>
                </w:p>
              </w:tc>
              <w:tc>
                <w:tcPr>
                  <w:tcW w:w="1087" w:type="pct"/>
                </w:tcPr>
                <w:p>
                  <w:pPr>
                    <w:jc w:val="center"/>
                    <w:rPr>
                      <w:rFonts w:hint="default" w:ascii="Times New Roman" w:hAnsi="Times New Roman" w:cs="Times New Roman"/>
                    </w:rPr>
                  </w:pPr>
                  <w:r>
                    <w:rPr>
                      <w:rFonts w:hint="default" w:ascii="Times New Roman" w:hAnsi="Times New Roman" w:cs="Times New Roman"/>
                    </w:rPr>
                    <w:t>自卸卡车</w:t>
                  </w:r>
                </w:p>
              </w:tc>
              <w:tc>
                <w:tcPr>
                  <w:tcW w:w="420" w:type="pct"/>
                </w:tcPr>
                <w:p>
                  <w:pPr>
                    <w:ind w:left="129"/>
                    <w:rPr>
                      <w:rFonts w:hint="default" w:ascii="Times New Roman" w:hAnsi="Times New Roman" w:cs="Times New Roman"/>
                    </w:rPr>
                  </w:pPr>
                  <w:r>
                    <w:rPr>
                      <w:rFonts w:hint="default" w:ascii="Times New Roman" w:hAnsi="Times New Roman" w:eastAsia="Times New Roman" w:cs="Times New Roman"/>
                    </w:rPr>
                    <w:t>104</w:t>
                  </w:r>
                </w:p>
              </w:tc>
              <w:tc>
                <w:tcPr>
                  <w:tcW w:w="434" w:type="pct"/>
                </w:tcPr>
                <w:p>
                  <w:pPr>
                    <w:ind w:left="3"/>
                    <w:jc w:val="center"/>
                    <w:rPr>
                      <w:rFonts w:hint="default" w:ascii="Times New Roman" w:hAnsi="Times New Roman" w:cs="Times New Roman"/>
                    </w:rPr>
                  </w:pPr>
                  <w:r>
                    <w:rPr>
                      <w:rFonts w:hint="default" w:ascii="Times New Roman" w:hAnsi="Times New Roman" w:eastAsia="Times New Roman" w:cs="Times New Roman"/>
                    </w:rPr>
                    <w:t>84</w:t>
                  </w:r>
                </w:p>
              </w:tc>
              <w:tc>
                <w:tcPr>
                  <w:tcW w:w="488" w:type="pct"/>
                </w:tcPr>
                <w:p>
                  <w:pPr>
                    <w:ind w:left="9"/>
                    <w:jc w:val="center"/>
                    <w:rPr>
                      <w:rFonts w:hint="default" w:ascii="Times New Roman" w:hAnsi="Times New Roman" w:cs="Times New Roman"/>
                    </w:rPr>
                  </w:pPr>
                  <w:r>
                    <w:rPr>
                      <w:rFonts w:hint="default" w:ascii="Times New Roman" w:hAnsi="Times New Roman" w:eastAsia="Times New Roman" w:cs="Times New Roman"/>
                    </w:rPr>
                    <w:t>78</w:t>
                  </w:r>
                </w:p>
              </w:tc>
              <w:tc>
                <w:tcPr>
                  <w:tcW w:w="490" w:type="pct"/>
                </w:tcPr>
                <w:p>
                  <w:pPr>
                    <w:jc w:val="center"/>
                    <w:rPr>
                      <w:rFonts w:hint="default" w:ascii="Times New Roman" w:hAnsi="Times New Roman" w:cs="Times New Roman"/>
                    </w:rPr>
                  </w:pPr>
                  <w:r>
                    <w:rPr>
                      <w:rFonts w:hint="default" w:ascii="Times New Roman" w:hAnsi="Times New Roman" w:eastAsia="Times New Roman" w:cs="Times New Roman"/>
                    </w:rPr>
                    <w:t>74</w:t>
                  </w:r>
                </w:p>
              </w:tc>
              <w:tc>
                <w:tcPr>
                  <w:tcW w:w="497" w:type="pct"/>
                  <w:vMerge w:val="continue"/>
                </w:tcPr>
                <w:p>
                  <w:pPr>
                    <w:spacing w:after="160"/>
                    <w:rPr>
                      <w:rFonts w:hint="default" w:ascii="Times New Roman" w:hAnsi="Times New Roman" w:cs="Times New Roman"/>
                    </w:rPr>
                  </w:pPr>
                </w:p>
              </w:tc>
              <w:tc>
                <w:tcPr>
                  <w:tcW w:w="490" w:type="pct"/>
                  <w:vMerge w:val="continue"/>
                </w:tcPr>
                <w:p>
                  <w:pPr>
                    <w:spacing w:after="160"/>
                    <w:rPr>
                      <w:rFonts w:hint="default" w:ascii="Times New Roman" w:hAnsi="Times New Roman" w:cs="Times New Roman"/>
                    </w:rPr>
                  </w:pPr>
                </w:p>
              </w:tc>
              <w:tc>
                <w:tcPr>
                  <w:tcW w:w="640" w:type="pct"/>
                  <w:vMerge w:val="continue"/>
                </w:tcPr>
                <w:p>
                  <w:pPr>
                    <w:spacing w:after="16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68" w:type="dxa"/>
                  <w:bottom w:w="0" w:type="dxa"/>
                  <w:right w:w="62" w:type="dxa"/>
                </w:tblCellMar>
              </w:tblPrEx>
              <w:trPr>
                <w:trHeight w:val="20" w:hRule="atLeast"/>
              </w:trPr>
              <w:tc>
                <w:tcPr>
                  <w:tcW w:w="454" w:type="pct"/>
                  <w:vMerge w:val="restart"/>
                  <w:vAlign w:val="center"/>
                </w:tcPr>
                <w:p>
                  <w:pPr>
                    <w:ind w:left="108"/>
                    <w:rPr>
                      <w:rFonts w:hint="default" w:ascii="Times New Roman" w:hAnsi="Times New Roman" w:cs="Times New Roman"/>
                    </w:rPr>
                  </w:pPr>
                  <w:r>
                    <w:rPr>
                      <w:rFonts w:hint="default" w:ascii="Times New Roman" w:hAnsi="Times New Roman" w:cs="Times New Roman"/>
                    </w:rPr>
                    <w:t>结构</w:t>
                  </w:r>
                </w:p>
              </w:tc>
              <w:tc>
                <w:tcPr>
                  <w:tcW w:w="1087" w:type="pct"/>
                </w:tcPr>
                <w:p>
                  <w:pPr>
                    <w:ind w:left="2"/>
                    <w:jc w:val="center"/>
                    <w:rPr>
                      <w:rFonts w:hint="default" w:ascii="Times New Roman" w:hAnsi="Times New Roman" w:cs="Times New Roman"/>
                    </w:rPr>
                  </w:pPr>
                  <w:r>
                    <w:rPr>
                      <w:rFonts w:hint="default" w:ascii="Times New Roman" w:hAnsi="Times New Roman" w:cs="Times New Roman"/>
                    </w:rPr>
                    <w:t>电锯</w:t>
                  </w:r>
                </w:p>
              </w:tc>
              <w:tc>
                <w:tcPr>
                  <w:tcW w:w="420" w:type="pct"/>
                </w:tcPr>
                <w:p>
                  <w:pPr>
                    <w:ind w:left="129"/>
                    <w:rPr>
                      <w:rFonts w:hint="default" w:ascii="Times New Roman" w:hAnsi="Times New Roman" w:cs="Times New Roman"/>
                    </w:rPr>
                  </w:pPr>
                  <w:r>
                    <w:rPr>
                      <w:rFonts w:hint="default" w:ascii="Times New Roman" w:hAnsi="Times New Roman" w:eastAsia="Times New Roman" w:cs="Times New Roman"/>
                    </w:rPr>
                    <w:t>105</w:t>
                  </w:r>
                </w:p>
              </w:tc>
              <w:tc>
                <w:tcPr>
                  <w:tcW w:w="434" w:type="pct"/>
                </w:tcPr>
                <w:p>
                  <w:pPr>
                    <w:ind w:left="3"/>
                    <w:jc w:val="center"/>
                    <w:rPr>
                      <w:rFonts w:hint="default" w:ascii="Times New Roman" w:hAnsi="Times New Roman" w:cs="Times New Roman"/>
                    </w:rPr>
                  </w:pPr>
                  <w:r>
                    <w:rPr>
                      <w:rFonts w:hint="default" w:ascii="Times New Roman" w:hAnsi="Times New Roman" w:eastAsia="Times New Roman" w:cs="Times New Roman"/>
                    </w:rPr>
                    <w:t>85</w:t>
                  </w:r>
                </w:p>
              </w:tc>
              <w:tc>
                <w:tcPr>
                  <w:tcW w:w="488" w:type="pct"/>
                </w:tcPr>
                <w:p>
                  <w:pPr>
                    <w:ind w:left="9"/>
                    <w:jc w:val="center"/>
                    <w:rPr>
                      <w:rFonts w:hint="default" w:ascii="Times New Roman" w:hAnsi="Times New Roman" w:cs="Times New Roman"/>
                    </w:rPr>
                  </w:pPr>
                  <w:r>
                    <w:rPr>
                      <w:rFonts w:hint="default" w:ascii="Times New Roman" w:hAnsi="Times New Roman" w:eastAsia="Times New Roman" w:cs="Times New Roman"/>
                    </w:rPr>
                    <w:t>79</w:t>
                  </w:r>
                </w:p>
              </w:tc>
              <w:tc>
                <w:tcPr>
                  <w:tcW w:w="490" w:type="pct"/>
                </w:tcPr>
                <w:p>
                  <w:pPr>
                    <w:jc w:val="center"/>
                    <w:rPr>
                      <w:rFonts w:hint="default" w:ascii="Times New Roman" w:hAnsi="Times New Roman" w:cs="Times New Roman"/>
                    </w:rPr>
                  </w:pPr>
                  <w:r>
                    <w:rPr>
                      <w:rFonts w:hint="default" w:ascii="Times New Roman" w:hAnsi="Times New Roman" w:eastAsia="Times New Roman" w:cs="Times New Roman"/>
                    </w:rPr>
                    <w:t>75</w:t>
                  </w:r>
                </w:p>
              </w:tc>
              <w:tc>
                <w:tcPr>
                  <w:tcW w:w="497" w:type="pct"/>
                  <w:vMerge w:val="restart"/>
                  <w:vAlign w:val="center"/>
                </w:tcPr>
                <w:p>
                  <w:pPr>
                    <w:ind w:right="1"/>
                    <w:jc w:val="center"/>
                    <w:rPr>
                      <w:rFonts w:hint="default" w:ascii="Times New Roman" w:hAnsi="Times New Roman" w:cs="Times New Roman"/>
                    </w:rPr>
                  </w:pPr>
                  <w:r>
                    <w:rPr>
                      <w:rFonts w:hint="default" w:ascii="Times New Roman" w:hAnsi="Times New Roman" w:eastAsia="Times New Roman" w:cs="Times New Roman"/>
                    </w:rPr>
                    <w:t>77.5</w:t>
                  </w:r>
                </w:p>
              </w:tc>
              <w:tc>
                <w:tcPr>
                  <w:tcW w:w="490" w:type="pct"/>
                  <w:vMerge w:val="continue"/>
                </w:tcPr>
                <w:p>
                  <w:pPr>
                    <w:spacing w:after="160"/>
                    <w:rPr>
                      <w:rFonts w:hint="default" w:ascii="Times New Roman" w:hAnsi="Times New Roman" w:cs="Times New Roman"/>
                    </w:rPr>
                  </w:pPr>
                </w:p>
              </w:tc>
              <w:tc>
                <w:tcPr>
                  <w:tcW w:w="640" w:type="pct"/>
                  <w:vMerge w:val="continue"/>
                </w:tcPr>
                <w:p>
                  <w:pPr>
                    <w:spacing w:after="16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68" w:type="dxa"/>
                  <w:bottom w:w="0" w:type="dxa"/>
                  <w:right w:w="62" w:type="dxa"/>
                </w:tblCellMar>
              </w:tblPrEx>
              <w:trPr>
                <w:trHeight w:val="20" w:hRule="atLeast"/>
              </w:trPr>
              <w:tc>
                <w:tcPr>
                  <w:tcW w:w="454" w:type="pct"/>
                  <w:vMerge w:val="continue"/>
                </w:tcPr>
                <w:p>
                  <w:pPr>
                    <w:spacing w:after="160"/>
                    <w:rPr>
                      <w:rFonts w:hint="default" w:ascii="Times New Roman" w:hAnsi="Times New Roman" w:cs="Times New Roman"/>
                    </w:rPr>
                  </w:pPr>
                </w:p>
              </w:tc>
              <w:tc>
                <w:tcPr>
                  <w:tcW w:w="1087" w:type="pct"/>
                </w:tcPr>
                <w:p>
                  <w:pPr>
                    <w:ind w:left="2"/>
                    <w:jc w:val="center"/>
                    <w:rPr>
                      <w:rFonts w:hint="default" w:ascii="Times New Roman" w:hAnsi="Times New Roman" w:cs="Times New Roman"/>
                    </w:rPr>
                  </w:pPr>
                  <w:r>
                    <w:rPr>
                      <w:rFonts w:hint="default" w:ascii="Times New Roman" w:hAnsi="Times New Roman" w:cs="Times New Roman"/>
                    </w:rPr>
                    <w:t>砂轮机</w:t>
                  </w:r>
                </w:p>
              </w:tc>
              <w:tc>
                <w:tcPr>
                  <w:tcW w:w="420" w:type="pct"/>
                </w:tcPr>
                <w:p>
                  <w:pPr>
                    <w:ind w:left="129"/>
                    <w:rPr>
                      <w:rFonts w:hint="default" w:ascii="Times New Roman" w:hAnsi="Times New Roman" w:cs="Times New Roman"/>
                    </w:rPr>
                  </w:pPr>
                  <w:r>
                    <w:rPr>
                      <w:rFonts w:hint="default" w:ascii="Times New Roman" w:hAnsi="Times New Roman" w:eastAsia="Times New Roman" w:cs="Times New Roman"/>
                    </w:rPr>
                    <w:t>104</w:t>
                  </w:r>
                </w:p>
              </w:tc>
              <w:tc>
                <w:tcPr>
                  <w:tcW w:w="434" w:type="pct"/>
                </w:tcPr>
                <w:p>
                  <w:pPr>
                    <w:ind w:left="3"/>
                    <w:jc w:val="center"/>
                    <w:rPr>
                      <w:rFonts w:hint="default" w:ascii="Times New Roman" w:hAnsi="Times New Roman" w:cs="Times New Roman"/>
                    </w:rPr>
                  </w:pPr>
                  <w:r>
                    <w:rPr>
                      <w:rFonts w:hint="default" w:ascii="Times New Roman" w:hAnsi="Times New Roman" w:eastAsia="Times New Roman" w:cs="Times New Roman"/>
                    </w:rPr>
                    <w:t>84</w:t>
                  </w:r>
                </w:p>
              </w:tc>
              <w:tc>
                <w:tcPr>
                  <w:tcW w:w="488" w:type="pct"/>
                </w:tcPr>
                <w:p>
                  <w:pPr>
                    <w:ind w:left="9"/>
                    <w:jc w:val="center"/>
                    <w:rPr>
                      <w:rFonts w:hint="default" w:ascii="Times New Roman" w:hAnsi="Times New Roman" w:cs="Times New Roman"/>
                    </w:rPr>
                  </w:pPr>
                  <w:r>
                    <w:rPr>
                      <w:rFonts w:hint="default" w:ascii="Times New Roman" w:hAnsi="Times New Roman" w:eastAsia="Times New Roman" w:cs="Times New Roman"/>
                    </w:rPr>
                    <w:t>78</w:t>
                  </w:r>
                </w:p>
              </w:tc>
              <w:tc>
                <w:tcPr>
                  <w:tcW w:w="490" w:type="pct"/>
                </w:tcPr>
                <w:p>
                  <w:pPr>
                    <w:jc w:val="center"/>
                    <w:rPr>
                      <w:rFonts w:hint="default" w:ascii="Times New Roman" w:hAnsi="Times New Roman" w:cs="Times New Roman"/>
                    </w:rPr>
                  </w:pPr>
                  <w:r>
                    <w:rPr>
                      <w:rFonts w:hint="default" w:ascii="Times New Roman" w:hAnsi="Times New Roman" w:eastAsia="Times New Roman" w:cs="Times New Roman"/>
                    </w:rPr>
                    <w:t>74</w:t>
                  </w:r>
                </w:p>
              </w:tc>
              <w:tc>
                <w:tcPr>
                  <w:tcW w:w="497" w:type="pct"/>
                  <w:vMerge w:val="continue"/>
                </w:tcPr>
                <w:p>
                  <w:pPr>
                    <w:spacing w:after="160"/>
                    <w:rPr>
                      <w:rFonts w:hint="default" w:ascii="Times New Roman" w:hAnsi="Times New Roman" w:cs="Times New Roman"/>
                    </w:rPr>
                  </w:pPr>
                </w:p>
              </w:tc>
              <w:tc>
                <w:tcPr>
                  <w:tcW w:w="490" w:type="pct"/>
                  <w:vMerge w:val="continue"/>
                </w:tcPr>
                <w:p>
                  <w:pPr>
                    <w:spacing w:after="160"/>
                    <w:rPr>
                      <w:rFonts w:hint="default" w:ascii="Times New Roman" w:hAnsi="Times New Roman" w:cs="Times New Roman"/>
                    </w:rPr>
                  </w:pPr>
                </w:p>
              </w:tc>
              <w:tc>
                <w:tcPr>
                  <w:tcW w:w="640" w:type="pct"/>
                  <w:vMerge w:val="continue"/>
                </w:tcPr>
                <w:p>
                  <w:pPr>
                    <w:spacing w:after="16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75" w:type="dxa"/>
                  <w:left w:w="68" w:type="dxa"/>
                  <w:bottom w:w="0" w:type="dxa"/>
                  <w:right w:w="62" w:type="dxa"/>
                </w:tblCellMar>
              </w:tblPrEx>
              <w:trPr>
                <w:trHeight w:val="20" w:hRule="atLeast"/>
              </w:trPr>
              <w:tc>
                <w:tcPr>
                  <w:tcW w:w="454" w:type="pct"/>
                </w:tcPr>
                <w:p>
                  <w:pPr>
                    <w:ind w:left="108"/>
                    <w:rPr>
                      <w:rFonts w:hint="default" w:ascii="Times New Roman" w:hAnsi="Times New Roman" w:cs="Times New Roman"/>
                    </w:rPr>
                  </w:pPr>
                  <w:r>
                    <w:rPr>
                      <w:rFonts w:hint="default" w:ascii="Times New Roman" w:hAnsi="Times New Roman" w:cs="Times New Roman"/>
                    </w:rPr>
                    <w:t>装修</w:t>
                  </w:r>
                </w:p>
              </w:tc>
              <w:tc>
                <w:tcPr>
                  <w:tcW w:w="1087" w:type="pct"/>
                </w:tcPr>
                <w:p>
                  <w:pPr>
                    <w:rPr>
                      <w:rFonts w:hint="default" w:ascii="Times New Roman" w:hAnsi="Times New Roman" w:cs="Times New Roman"/>
                    </w:rPr>
                  </w:pPr>
                  <w:r>
                    <w:rPr>
                      <w:rFonts w:hint="default" w:ascii="Times New Roman" w:hAnsi="Times New Roman" w:cs="Times New Roman"/>
                    </w:rPr>
                    <w:t>空压机、切割机等</w:t>
                  </w:r>
                </w:p>
              </w:tc>
              <w:tc>
                <w:tcPr>
                  <w:tcW w:w="420" w:type="pct"/>
                </w:tcPr>
                <w:p>
                  <w:pPr>
                    <w:ind w:left="129"/>
                    <w:rPr>
                      <w:rFonts w:hint="default" w:ascii="Times New Roman" w:hAnsi="Times New Roman" w:cs="Times New Roman"/>
                    </w:rPr>
                  </w:pPr>
                  <w:r>
                    <w:rPr>
                      <w:rFonts w:hint="default" w:ascii="Times New Roman" w:hAnsi="Times New Roman" w:eastAsia="Times New Roman" w:cs="Times New Roman"/>
                    </w:rPr>
                    <w:t>104</w:t>
                  </w:r>
                </w:p>
              </w:tc>
              <w:tc>
                <w:tcPr>
                  <w:tcW w:w="434" w:type="pct"/>
                </w:tcPr>
                <w:p>
                  <w:pPr>
                    <w:ind w:left="3"/>
                    <w:jc w:val="center"/>
                    <w:rPr>
                      <w:rFonts w:hint="default" w:ascii="Times New Roman" w:hAnsi="Times New Roman" w:cs="Times New Roman"/>
                    </w:rPr>
                  </w:pPr>
                  <w:r>
                    <w:rPr>
                      <w:rFonts w:hint="default" w:ascii="Times New Roman" w:hAnsi="Times New Roman" w:eastAsia="Times New Roman" w:cs="Times New Roman"/>
                    </w:rPr>
                    <w:t>84</w:t>
                  </w:r>
                </w:p>
              </w:tc>
              <w:tc>
                <w:tcPr>
                  <w:tcW w:w="488" w:type="pct"/>
                </w:tcPr>
                <w:p>
                  <w:pPr>
                    <w:ind w:left="9"/>
                    <w:jc w:val="center"/>
                    <w:rPr>
                      <w:rFonts w:hint="default" w:ascii="Times New Roman" w:hAnsi="Times New Roman" w:cs="Times New Roman"/>
                    </w:rPr>
                  </w:pPr>
                  <w:r>
                    <w:rPr>
                      <w:rFonts w:hint="default" w:ascii="Times New Roman" w:hAnsi="Times New Roman" w:eastAsia="Times New Roman" w:cs="Times New Roman"/>
                    </w:rPr>
                    <w:t>78</w:t>
                  </w:r>
                </w:p>
              </w:tc>
              <w:tc>
                <w:tcPr>
                  <w:tcW w:w="490" w:type="pct"/>
                </w:tcPr>
                <w:p>
                  <w:pPr>
                    <w:jc w:val="center"/>
                    <w:rPr>
                      <w:rFonts w:hint="default" w:ascii="Times New Roman" w:hAnsi="Times New Roman" w:cs="Times New Roman"/>
                    </w:rPr>
                  </w:pPr>
                  <w:r>
                    <w:rPr>
                      <w:rFonts w:hint="default" w:ascii="Times New Roman" w:hAnsi="Times New Roman" w:eastAsia="Times New Roman" w:cs="Times New Roman"/>
                    </w:rPr>
                    <w:t>74</w:t>
                  </w:r>
                </w:p>
              </w:tc>
              <w:tc>
                <w:tcPr>
                  <w:tcW w:w="497" w:type="pct"/>
                </w:tcPr>
                <w:p>
                  <w:pPr>
                    <w:ind w:right="1"/>
                    <w:jc w:val="center"/>
                    <w:rPr>
                      <w:rFonts w:hint="default" w:ascii="Times New Roman" w:hAnsi="Times New Roman" w:cs="Times New Roman"/>
                    </w:rPr>
                  </w:pPr>
                  <w:r>
                    <w:rPr>
                      <w:rFonts w:hint="default" w:ascii="Times New Roman" w:hAnsi="Times New Roman" w:eastAsia="Times New Roman" w:cs="Times New Roman"/>
                    </w:rPr>
                    <w:t>77.8</w:t>
                  </w:r>
                </w:p>
              </w:tc>
              <w:tc>
                <w:tcPr>
                  <w:tcW w:w="490" w:type="pct"/>
                  <w:vMerge w:val="continue"/>
                </w:tcPr>
                <w:p>
                  <w:pPr>
                    <w:spacing w:after="160"/>
                    <w:rPr>
                      <w:rFonts w:hint="default" w:ascii="Times New Roman" w:hAnsi="Times New Roman" w:cs="Times New Roman"/>
                    </w:rPr>
                  </w:pPr>
                </w:p>
              </w:tc>
              <w:tc>
                <w:tcPr>
                  <w:tcW w:w="640" w:type="pct"/>
                  <w:vMerge w:val="continue"/>
                </w:tcPr>
                <w:p>
                  <w:pPr>
                    <w:spacing w:after="160"/>
                    <w:rPr>
                      <w:rFonts w:hint="default" w:ascii="Times New Roman" w:hAnsi="Times New Roman" w:cs="Times New Roman"/>
                    </w:rPr>
                  </w:pPr>
                </w:p>
              </w:tc>
            </w:tr>
          </w:tbl>
          <w:p>
            <w:pPr>
              <w:pStyle w:val="137"/>
              <w:ind w:firstLine="480"/>
              <w:rPr>
                <w:rFonts w:hint="default" w:ascii="Times New Roman" w:hAnsi="Times New Roman" w:cs="Times New Roman"/>
              </w:rPr>
            </w:pPr>
            <w:r>
              <w:rPr>
                <w:rFonts w:hint="default" w:ascii="Times New Roman" w:hAnsi="Times New Roman" w:cs="Times New Roman"/>
              </w:rPr>
              <w:t>由</w:t>
            </w:r>
            <w:r>
              <w:rPr>
                <w:rFonts w:hint="default" w:ascii="Times New Roman" w:hAnsi="Times New Roman" w:cs="Times New Roman"/>
              </w:rPr>
              <w:fldChar w:fldCharType="begin"/>
            </w:r>
            <w:r>
              <w:rPr>
                <w:rFonts w:hint="default" w:ascii="Times New Roman" w:hAnsi="Times New Roman" w:cs="Times New Roman"/>
              </w:rPr>
              <w:instrText xml:space="preserve"> REF _Ref45493666 \h  \* MERGEFORMAT </w:instrText>
            </w:r>
            <w:r>
              <w:rPr>
                <w:rFonts w:hint="default" w:ascii="Times New Roman" w:hAnsi="Times New Roman" w:cs="Times New Roman"/>
              </w:rPr>
              <w:fldChar w:fldCharType="separate"/>
            </w:r>
            <w:r>
              <w:rPr>
                <w:rFonts w:hint="default" w:ascii="Times New Roman" w:hAnsi="Times New Roman" w:cs="Times New Roman"/>
              </w:rPr>
              <w:t>表 29</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r>
            <w:r>
              <w:rPr>
                <w:rFonts w:hint="default" w:ascii="Times New Roman" w:hAnsi="Times New Roman" w:cs="Times New Roman"/>
              </w:rPr>
              <w:instrText xml:space="preserve"> REF _Ref26878987 \h  \* MERGEFORMAT </w:instrText>
            </w:r>
            <w:r>
              <w:rPr>
                <w:rFonts w:hint="default" w:ascii="Times New Roman" w:hAnsi="Times New Roman" w:cs="Times New Roman"/>
              </w:rPr>
              <w:fldChar w:fldCharType="separate"/>
            </w:r>
            <w:r>
              <w:rPr>
                <w:rFonts w:hint="default" w:ascii="Times New Roman" w:hAnsi="Times New Roman" w:cs="Times New Roman"/>
              </w:rPr>
              <w:t>表 36</w:t>
            </w:r>
            <w:r>
              <w:rPr>
                <w:rFonts w:hint="default" w:ascii="Times New Roman" w:hAnsi="Times New Roman" w:cs="Times New Roman"/>
              </w:rPr>
              <w:fldChar w:fldCharType="end"/>
            </w:r>
            <w:r>
              <w:rPr>
                <w:rFonts w:hint="default" w:ascii="Times New Roman" w:hAnsi="Times New Roman" w:cs="Times New Roman"/>
              </w:rPr>
              <w:t>。分析可知：</w:t>
            </w:r>
          </w:p>
          <w:p>
            <w:pPr>
              <w:pStyle w:val="137"/>
              <w:ind w:firstLine="480"/>
              <w:rPr>
                <w:rFonts w:hint="default" w:ascii="Times New Roman" w:hAnsi="Times New Roman" w:cs="Times New Roman"/>
              </w:rPr>
            </w:pPr>
            <w:r>
              <w:rPr>
                <w:rFonts w:hint="default" w:ascii="Times New Roman" w:hAnsi="Times New Roman" w:cs="Times New Roman"/>
              </w:rPr>
              <w:t>①在不同的施工阶段所投入的设备对环境噪声的影响特征不同，在施工初期，主要是挖、填土方，平整土地，以各种运输车辆噪声为主，施工设备的运行具有分散性，噪声具有流动性和不稳定性特征，对周围环境的影响不太明显；在施工中期固定噪声源增多，如定点切割、升降、电钻等它们运行使用时间较长、频繁，此阶段对周围环境的影响也较明显。</w:t>
            </w:r>
          </w:p>
          <w:p>
            <w:pPr>
              <w:pStyle w:val="137"/>
              <w:ind w:firstLine="480"/>
              <w:rPr>
                <w:rFonts w:hint="default" w:ascii="Times New Roman" w:hAnsi="Times New Roman" w:cs="Times New Roman"/>
              </w:rPr>
            </w:pPr>
            <w:r>
              <w:rPr>
                <w:rFonts w:hint="default" w:ascii="Times New Roman" w:hAnsi="Times New Roman" w:cs="Times New Roman"/>
              </w:rPr>
              <w:t>②施工噪声对环境的影响很大程度上取决于施工点与敏感点的距离和施工时间，距离越近或在夜间施工时间越长，产生的影响也就越大、越明显。</w:t>
            </w:r>
          </w:p>
          <w:p>
            <w:pPr>
              <w:pStyle w:val="137"/>
              <w:ind w:firstLine="480"/>
              <w:rPr>
                <w:rFonts w:hint="default" w:ascii="Times New Roman" w:hAnsi="Times New Roman" w:cs="Times New Roman"/>
              </w:rPr>
            </w:pPr>
            <w:r>
              <w:rPr>
                <w:rFonts w:hint="default" w:ascii="Times New Roman" w:hAnsi="Times New Roman" w:cs="Times New Roman"/>
              </w:rPr>
              <w:t>③根据不同施工期对施工场界建筑噪声监测结果，对照《建筑施工场界环境噪声排放标准》（GB12523-2011），平均声级都超过国家规定的建筑施工场界噪声限值 10~15dB（A），如不治理将会对项目场界环境产生一定的噪声影响。</w:t>
            </w:r>
          </w:p>
          <w:p>
            <w:pPr>
              <w:pStyle w:val="137"/>
              <w:ind w:firstLine="480"/>
              <w:rPr>
                <w:rFonts w:hint="default" w:ascii="Times New Roman" w:hAnsi="Times New Roman" w:cs="Times New Roman"/>
              </w:rPr>
            </w:pPr>
            <w:r>
              <w:rPr>
                <w:rFonts w:hint="default" w:ascii="Times New Roman" w:hAnsi="Times New Roman" w:cs="Times New Roman"/>
              </w:rPr>
              <w:t>（2）拟采取以下措施来减轻其影响：</w:t>
            </w:r>
          </w:p>
          <w:p>
            <w:pPr>
              <w:pStyle w:val="137"/>
              <w:ind w:firstLine="480"/>
              <w:rPr>
                <w:rFonts w:hint="default" w:ascii="Times New Roman" w:hAnsi="Times New Roman" w:cs="Times New Roman"/>
              </w:rPr>
            </w:pPr>
            <w:r>
              <w:rPr>
                <w:rFonts w:hint="default" w:ascii="Times New Roman" w:hAnsi="Times New Roman" w:cs="Times New Roman"/>
              </w:rPr>
              <w:t>①项目施工场地设置隔声屏障，高噪声设备周围设置屏蔽物；</w:t>
            </w:r>
          </w:p>
          <w:p>
            <w:pPr>
              <w:pStyle w:val="137"/>
              <w:ind w:firstLine="480"/>
              <w:rPr>
                <w:rFonts w:hint="default" w:ascii="Times New Roman" w:hAnsi="Times New Roman" w:cs="Times New Roman"/>
              </w:rPr>
            </w:pPr>
            <w:r>
              <w:rPr>
                <w:rFonts w:hint="default" w:ascii="Times New Roman" w:hAnsi="Times New Roman" w:cs="Times New Roman"/>
              </w:rPr>
              <w:t>②施工现场合理布局；将施工现场的固定噪声源相对集中，并充分利用地形，特别是重型运载车辆的运行路线，应尽量避开噪声敏感区，尽量减少交通堵塞；</w:t>
            </w:r>
          </w:p>
          <w:p>
            <w:pPr>
              <w:pStyle w:val="137"/>
              <w:ind w:firstLine="480"/>
              <w:rPr>
                <w:rFonts w:hint="default" w:ascii="Times New Roman" w:hAnsi="Times New Roman" w:cs="Times New Roman"/>
              </w:rPr>
            </w:pPr>
            <w:r>
              <w:rPr>
                <w:rFonts w:hint="default" w:ascii="Times New Roman" w:hAnsi="Times New Roman" w:cs="Times New Roman"/>
              </w:rPr>
              <w:t>③安装消声器以降低各类发动机的进排气噪声；</w:t>
            </w:r>
          </w:p>
          <w:p>
            <w:pPr>
              <w:pStyle w:val="137"/>
              <w:ind w:firstLine="480"/>
              <w:rPr>
                <w:rFonts w:hint="default" w:ascii="Times New Roman" w:hAnsi="Times New Roman" w:cs="Times New Roman"/>
              </w:rPr>
            </w:pPr>
            <w:r>
              <w:rPr>
                <w:rFonts w:hint="default" w:ascii="Times New Roman" w:hAnsi="Times New Roman" w:cs="Times New Roman"/>
              </w:rPr>
              <w:t>④中午（12:00~14:00）和夜间（22：00~06:00）禁止施工作业。施工单位在工程开工前 15 天内向有审批权的环境保护部门提出申报，并说明拟采取的防治措施。</w:t>
            </w:r>
          </w:p>
          <w:p>
            <w:pPr>
              <w:pStyle w:val="137"/>
              <w:ind w:firstLine="480"/>
              <w:rPr>
                <w:rFonts w:hint="default" w:ascii="Times New Roman" w:hAnsi="Times New Roman" w:cs="Times New Roman"/>
              </w:rPr>
            </w:pPr>
            <w:r>
              <w:rPr>
                <w:rFonts w:hint="default" w:ascii="Times New Roman" w:hAnsi="Times New Roman" w:cs="Times New Roman"/>
              </w:rPr>
              <w:t>建设单位须严格执行上述措施，经屏蔽物隔声及空间距离衰减，施工期间噪声影响不大，且随施工期结束而结束。</w:t>
            </w:r>
          </w:p>
          <w:p>
            <w:pPr>
              <w:pStyle w:val="137"/>
              <w:ind w:firstLine="480"/>
              <w:rPr>
                <w:rFonts w:hint="default" w:ascii="Times New Roman" w:hAnsi="Times New Roman" w:cs="Times New Roman"/>
              </w:rPr>
            </w:pPr>
            <w:r>
              <w:rPr>
                <w:rFonts w:hint="default" w:ascii="Times New Roman" w:hAnsi="Times New Roman" w:cs="Times New Roman"/>
              </w:rPr>
              <w:t>4、</w:t>
            </w:r>
            <w:r>
              <w:rPr>
                <w:rFonts w:hint="default" w:ascii="Times New Roman" w:hAnsi="Times New Roman" w:cs="Times New Roman"/>
              </w:rPr>
              <w:tab/>
            </w:r>
            <w:r>
              <w:rPr>
                <w:rFonts w:hint="default" w:ascii="Times New Roman" w:hAnsi="Times New Roman" w:cs="Times New Roman"/>
              </w:rPr>
              <w:t>施工期固体废物环境影响分析及控制措施</w:t>
            </w:r>
          </w:p>
          <w:p>
            <w:pPr>
              <w:pStyle w:val="137"/>
              <w:ind w:firstLine="480"/>
              <w:rPr>
                <w:rFonts w:hint="default" w:ascii="Times New Roman" w:hAnsi="Times New Roman" w:cs="Times New Roman"/>
              </w:rPr>
            </w:pPr>
            <w:r>
              <w:rPr>
                <w:rFonts w:hint="default" w:ascii="Times New Roman" w:hAnsi="Times New Roman" w:cs="Times New Roman"/>
              </w:rPr>
              <w:t>根据工程分析，项目施工过程中生活垃圾产生量约为0.68t，建筑垃圾约为19.82t，建筑垃圾主要成分为废弃的土沙石、水泥、木屑、碎木块、弃砖、纤维、碎玻璃、废金属等，项目挖方量约为519.25m</w:t>
            </w:r>
            <w:r>
              <w:rPr>
                <w:rFonts w:hint="default" w:ascii="Times New Roman" w:hAnsi="Times New Roman" w:cs="Times New Roman"/>
                <w:vertAlign w:val="superscript"/>
              </w:rPr>
              <w:t>3</w:t>
            </w:r>
            <w:r>
              <w:rPr>
                <w:rFonts w:hint="default" w:ascii="Times New Roman" w:hAnsi="Times New Roman" w:cs="Times New Roman"/>
              </w:rPr>
              <w:t>。</w:t>
            </w:r>
          </w:p>
          <w:p>
            <w:pPr>
              <w:pStyle w:val="137"/>
              <w:ind w:firstLine="480"/>
              <w:rPr>
                <w:rFonts w:hint="default" w:ascii="Times New Roman" w:hAnsi="Times New Roman" w:cs="Times New Roman"/>
              </w:rPr>
            </w:pPr>
            <w:r>
              <w:rPr>
                <w:rFonts w:hint="default" w:ascii="Times New Roman" w:hAnsi="Times New Roman" w:cs="Times New Roman"/>
              </w:rPr>
              <w:t>项目挖方治理措施：项目的挖填方主要来自于基础施工阶段的地基开挖，根据建设单位介绍，项目施工期产生的挖方扣除一些填方量后，其余土方均用于站内道路建设及绿化。</w:t>
            </w:r>
          </w:p>
          <w:p>
            <w:pPr>
              <w:pStyle w:val="137"/>
              <w:ind w:firstLine="480"/>
              <w:rPr>
                <w:rFonts w:hint="default" w:ascii="Times New Roman" w:hAnsi="Times New Roman" w:cs="Times New Roman"/>
              </w:rPr>
            </w:pPr>
            <w:r>
              <w:rPr>
                <w:rFonts w:hint="default" w:ascii="Times New Roman" w:hAnsi="Times New Roman" w:cs="Times New Roman"/>
              </w:rPr>
              <w:t>建筑垃圾治理措施：</w:t>
            </w:r>
          </w:p>
          <w:p>
            <w:pPr>
              <w:pStyle w:val="137"/>
              <w:ind w:firstLine="480"/>
              <w:rPr>
                <w:rFonts w:hint="default" w:ascii="Times New Roman" w:hAnsi="Times New Roman" w:cs="Times New Roman"/>
              </w:rPr>
            </w:pPr>
            <w:r>
              <w:rPr>
                <w:rFonts w:hint="default" w:ascii="Times New Roman" w:hAnsi="Times New Roman" w:cs="Times New Roman"/>
              </w:rPr>
              <w:t>（1）精心设计与组织土方工程施工，争取实现挖、填土方基本平衡，以避免长距离运土；对废弃在现场的残余混凝土和残砖断瓦等，及时清理后可以就地或就近用于填埋。</w:t>
            </w:r>
          </w:p>
          <w:p>
            <w:pPr>
              <w:pStyle w:val="137"/>
              <w:ind w:firstLine="480"/>
              <w:rPr>
                <w:rFonts w:hint="default" w:ascii="Times New Roman" w:hAnsi="Times New Roman" w:cs="Times New Roman"/>
              </w:rPr>
            </w:pPr>
            <w:r>
              <w:rPr>
                <w:rFonts w:hint="default" w:ascii="Times New Roman" w:hAnsi="Times New Roman" w:cs="Times New Roman"/>
              </w:rPr>
              <w:t>（2）垃圾进行分类处理，尽量将一些有用的建筑固体废物，如钢筋等回收利用，避免浪费；无用的建筑垃圾，则需要倾倒到指定场所。</w:t>
            </w:r>
          </w:p>
          <w:p>
            <w:pPr>
              <w:pStyle w:val="137"/>
              <w:ind w:firstLine="480"/>
              <w:rPr>
                <w:rFonts w:hint="default" w:ascii="Times New Roman" w:hAnsi="Times New Roman" w:cs="Times New Roman"/>
              </w:rPr>
            </w:pPr>
            <w:r>
              <w:rPr>
                <w:rFonts w:hint="default" w:ascii="Times New Roman" w:hAnsi="Times New Roman" w:cs="Times New Roman"/>
              </w:rPr>
              <w:t>（3）车辆运输散体物料和废弃物时，密闭、包扎、覆盖，不沿途漏撒。生活垃圾治理措施：施工人员产生的生活垃圾统一收集后交环卫部门清运。</w:t>
            </w:r>
          </w:p>
          <w:p>
            <w:pPr>
              <w:pStyle w:val="137"/>
              <w:ind w:firstLine="480"/>
              <w:rPr>
                <w:rFonts w:hint="default" w:ascii="Times New Roman" w:hAnsi="Times New Roman" w:cs="Times New Roman"/>
              </w:rPr>
            </w:pPr>
            <w:r>
              <w:rPr>
                <w:rFonts w:hint="default" w:ascii="Times New Roman" w:hAnsi="Times New Roman" w:cs="Times New Roman"/>
              </w:rPr>
              <w:t>经妥善处理处置，固废对周边环境影响不大。</w:t>
            </w:r>
          </w:p>
          <w:p>
            <w:pPr>
              <w:pStyle w:val="137"/>
              <w:ind w:firstLine="480"/>
              <w:rPr>
                <w:rFonts w:hint="default" w:ascii="Times New Roman" w:hAnsi="Times New Roman" w:cs="Times New Roman"/>
              </w:rPr>
            </w:pPr>
            <w:r>
              <w:rPr>
                <w:rFonts w:hint="default" w:ascii="Times New Roman" w:hAnsi="Times New Roman" w:cs="Times New Roman"/>
              </w:rPr>
              <w:t>5、</w:t>
            </w:r>
            <w:r>
              <w:rPr>
                <w:rFonts w:hint="default" w:ascii="Times New Roman" w:hAnsi="Times New Roman" w:cs="Times New Roman"/>
              </w:rPr>
              <w:tab/>
            </w:r>
            <w:r>
              <w:rPr>
                <w:rFonts w:hint="default" w:ascii="Times New Roman" w:hAnsi="Times New Roman" w:cs="Times New Roman"/>
              </w:rPr>
              <w:t>生态与景观减缓措施分析</w:t>
            </w:r>
          </w:p>
          <w:p>
            <w:pPr>
              <w:pStyle w:val="137"/>
              <w:ind w:firstLine="480"/>
              <w:rPr>
                <w:rFonts w:hint="default" w:ascii="Times New Roman" w:hAnsi="Times New Roman" w:cs="Times New Roman"/>
              </w:rPr>
            </w:pPr>
            <w:r>
              <w:rPr>
                <w:rFonts w:hint="default" w:ascii="Times New Roman" w:hAnsi="Times New Roman" w:cs="Times New Roman"/>
              </w:rPr>
              <w:t>项目选址周围主要为农田、树林、道路，周围无需保护的珍稀动植物。项目建成后将加强绿化，增加了地块现状的生物量和植被覆盖率，对地块的生态有正面积极的影响。施工期间建设单位应采取适当的水土保持措施，同时加强弃土的处理处置，加强车辆管理，并进行封闭式施工。总的说来，施工期景观影响是暂时的，并且主要是视觉上的影响，通过加强管理、及时复绿，可减轻施工对生态的影响及景观的破坏。项目建成后，景观将得到大大改善。</w:t>
            </w:r>
          </w:p>
          <w:p>
            <w:pPr>
              <w:pStyle w:val="137"/>
              <w:ind w:firstLine="480"/>
              <w:rPr>
                <w:rFonts w:hint="default" w:ascii="Times New Roman" w:hAnsi="Times New Roman" w:cs="Times New Roman"/>
              </w:rPr>
            </w:pPr>
            <w:r>
              <w:rPr>
                <w:rFonts w:hint="default" w:ascii="Times New Roman" w:hAnsi="Times New Roman" w:cs="Times New Roman"/>
              </w:rPr>
              <w:t>6、水土流失环境影响分析</w:t>
            </w:r>
          </w:p>
          <w:p>
            <w:pPr>
              <w:pStyle w:val="137"/>
              <w:ind w:firstLine="480"/>
              <w:rPr>
                <w:rFonts w:hint="default" w:ascii="Times New Roman" w:hAnsi="Times New Roman" w:cs="Times New Roman"/>
              </w:rPr>
            </w:pPr>
            <w:r>
              <w:rPr>
                <w:rFonts w:hint="default" w:ascii="Times New Roman" w:hAnsi="Times New Roman" w:cs="Times New Roman"/>
              </w:rPr>
              <w:t>施工工程中严重的水体流失，不但会影响工程进度和工程质量，而且产生的泥沙作为一种废物或污染物往外排放，会对项目周围环境产生较为严重的影响。在施工场地上，雨水径流将以“黄泥水”的形式进入排水沟，“黄泥水”沉积后将会堵塞排水沟，对项目周围的雨季地面排水系统产生影响；在靠近河流段，泥浆水将直接进入项目附近河道，增河水的含沙量，造成河床淤积；同时，泥浆水还会夹带施工场地上的水泥、油污等污染物进入水体，造成水体污染；另一方面，随着建筑物的陆续建成，项目占地范围内渗露地面的增加，从而提高了暴雨地表径流流量，缩短径流时间，水道系统在暴雨条件下将有可能改变原来的排泄方式，排出的暴雨雨水将增加接受水体的污染负荷。</w:t>
            </w:r>
          </w:p>
          <w:p>
            <w:pPr>
              <w:pStyle w:val="137"/>
              <w:ind w:firstLine="480"/>
              <w:rPr>
                <w:rFonts w:hint="default" w:ascii="Times New Roman" w:hAnsi="Times New Roman" w:cs="Times New Roman"/>
              </w:rPr>
            </w:pPr>
            <w:r>
              <w:rPr>
                <w:rFonts w:hint="default" w:ascii="Times New Roman" w:hAnsi="Times New Roman" w:cs="Times New Roman"/>
              </w:rPr>
              <w:t>故施工期的水体流失问题值得注意，应采取必要的措施加以控制：</w:t>
            </w:r>
          </w:p>
          <w:p>
            <w:pPr>
              <w:pStyle w:val="137"/>
              <w:ind w:firstLine="480"/>
              <w:rPr>
                <w:rFonts w:hint="default" w:ascii="Times New Roman" w:hAnsi="Times New Roman" w:cs="Times New Roman"/>
              </w:rPr>
            </w:pPr>
            <w:r>
              <w:rPr>
                <w:rFonts w:hint="default" w:ascii="Times New Roman" w:hAnsi="Times New Roman" w:cs="Times New Roman"/>
              </w:rPr>
              <w:t>①施工时做好各项排水、截水、防止水土流失的设计；</w:t>
            </w:r>
          </w:p>
          <w:p>
            <w:pPr>
              <w:pStyle w:val="137"/>
              <w:ind w:firstLine="480"/>
              <w:rPr>
                <w:rFonts w:hint="default" w:ascii="Times New Roman" w:hAnsi="Times New Roman" w:cs="Times New Roman"/>
              </w:rPr>
            </w:pPr>
            <w:r>
              <w:rPr>
                <w:rFonts w:hint="default" w:ascii="Times New Roman" w:hAnsi="Times New Roman" w:cs="Times New Roman"/>
              </w:rPr>
              <w:t>②在施工中，应合理安排施工计划、施工程序，协调好各个施工步骤，雨季中尽量减少地面坡度，减少开挖，并争取土料随挖随运，减少堆土、裸土的暴露时间，以免受降水的直接冲刷，在暴雨期，还应采取应急措施，尽量用覆盖物覆盖新挖的陡坡，防止冲刷和塌崩；</w:t>
            </w:r>
          </w:p>
          <w:p>
            <w:pPr>
              <w:pStyle w:val="137"/>
              <w:ind w:firstLine="480"/>
              <w:rPr>
                <w:rFonts w:hint="default" w:ascii="Times New Roman" w:hAnsi="Times New Roman" w:cs="Times New Roman"/>
              </w:rPr>
            </w:pPr>
            <w:r>
              <w:rPr>
                <w:rFonts w:hint="default" w:ascii="Times New Roman" w:hAnsi="Times New Roman" w:cs="Times New Roman"/>
              </w:rPr>
              <w:t>③在项目施工场地，争取做到土料随填随压，不留松土。同时，要开边沟，边坡要用石块铺砌，填土场的上游要设置导流沟，防止上游的径流通过，填土作业应尽量集中和避开暴雨期；</w:t>
            </w:r>
          </w:p>
          <w:p>
            <w:pPr>
              <w:pStyle w:val="137"/>
              <w:ind w:firstLine="480"/>
              <w:rPr>
                <w:rFonts w:hint="default" w:ascii="Times New Roman" w:hAnsi="Times New Roman" w:cs="Times New Roman"/>
              </w:rPr>
            </w:pPr>
            <w:r>
              <w:rPr>
                <w:rFonts w:hint="default" w:ascii="Times New Roman" w:hAnsi="Times New Roman" w:cs="Times New Roman"/>
              </w:rPr>
              <w:t>④在工程场地内需构筑相应容量的集水沉砂池和排水沟，以收集地表径流和施工过程产生的泥浆水，废水和污水，经过沉沙、除油和隔油等预处理后，才排入排水沟；</w:t>
            </w:r>
          </w:p>
          <w:p>
            <w:pPr>
              <w:pStyle w:val="137"/>
              <w:ind w:firstLine="480"/>
              <w:rPr>
                <w:rFonts w:hint="default" w:ascii="Times New Roman" w:hAnsi="Times New Roman" w:cs="Times New Roman"/>
              </w:rPr>
            </w:pPr>
            <w:r>
              <w:rPr>
                <w:rFonts w:hint="default" w:ascii="Times New Roman" w:hAnsi="Times New Roman" w:cs="Times New Roman"/>
              </w:rPr>
              <w:t>⑤运土、运沙石卡车要保持完好，运输时装载不宜太满，必须保证运载过程不散落。根据现场踏勘，项目周围主要为农田、工厂、道路，经配合上述水土流失防治措施施工，本项目的建设不会造成太大的水体流失影响。</w:t>
            </w:r>
          </w:p>
          <w:p>
            <w:pPr>
              <w:tabs>
                <w:tab w:val="left" w:pos="0"/>
              </w:tabs>
              <w:adjustRightInd/>
              <w:spacing w:line="360" w:lineRule="auto"/>
              <w:jc w:val="left"/>
              <w:rPr>
                <w:rFonts w:hint="default" w:ascii="Times New Roman" w:hAnsi="Times New Roman" w:cs="Times New Roman"/>
                <w:b/>
                <w:sz w:val="28"/>
                <w:szCs w:val="28"/>
              </w:rPr>
            </w:pPr>
            <w:r>
              <w:rPr>
                <w:rFonts w:hint="default" w:ascii="Times New Roman" w:hAnsi="Times New Roman" w:cs="Times New Roman"/>
                <w:b/>
                <w:sz w:val="28"/>
                <w:szCs w:val="28"/>
              </w:rPr>
              <w:t>营运期环境影响分析</w:t>
            </w:r>
          </w:p>
          <w:p>
            <w:pPr>
              <w:pStyle w:val="161"/>
              <w:rPr>
                <w:rFonts w:hint="default" w:ascii="Times New Roman" w:hAnsi="Times New Roman" w:cs="Times New Roman"/>
              </w:rPr>
            </w:pPr>
            <w:r>
              <w:rPr>
                <w:rFonts w:hint="default" w:ascii="Times New Roman" w:hAnsi="Times New Roman" w:cs="Times New Roman"/>
              </w:rPr>
              <w:t>一、地表水环境影响分析</w:t>
            </w:r>
          </w:p>
          <w:p>
            <w:pPr>
              <w:pStyle w:val="137"/>
              <w:ind w:firstLine="480"/>
              <w:rPr>
                <w:rFonts w:hint="default" w:ascii="Times New Roman" w:hAnsi="Times New Roman" w:cs="Times New Roman"/>
              </w:rPr>
            </w:pPr>
            <w:r>
              <w:rPr>
                <w:rFonts w:hint="default" w:ascii="Times New Roman" w:hAnsi="Times New Roman" w:cs="Times New Roman"/>
              </w:rPr>
              <w:t>1、水污染物</w:t>
            </w:r>
          </w:p>
          <w:p>
            <w:pPr>
              <w:pStyle w:val="137"/>
              <w:ind w:firstLine="480"/>
              <w:rPr>
                <w:rFonts w:hint="default" w:ascii="Times New Roman" w:hAnsi="Times New Roman" w:cs="Times New Roman"/>
              </w:rPr>
            </w:pPr>
            <w:r>
              <w:rPr>
                <w:rFonts w:hint="default" w:ascii="Times New Roman" w:hAnsi="Times New Roman" w:cs="Times New Roman"/>
              </w:rPr>
              <w:t>（1）生活污水、清洗废水</w:t>
            </w:r>
          </w:p>
          <w:p>
            <w:pPr>
              <w:pStyle w:val="137"/>
              <w:ind w:firstLine="480"/>
              <w:rPr>
                <w:rFonts w:hint="default" w:ascii="Times New Roman" w:hAnsi="Times New Roman" w:cs="Times New Roman"/>
              </w:rPr>
            </w:pPr>
            <w:r>
              <w:rPr>
                <w:rFonts w:hint="default" w:ascii="Times New Roman" w:hAnsi="Times New Roman" w:cs="Times New Roman"/>
              </w:rPr>
              <w:t>本项目生活污水产生量为1649.8</w:t>
            </w:r>
            <w:r>
              <w:rPr>
                <w:rFonts w:hint="eastAsia" w:cs="Times New Roman"/>
                <w:lang w:val="en-US" w:eastAsia="zh-CN"/>
              </w:rPr>
              <w:t>m</w:t>
            </w:r>
            <w:r>
              <w:rPr>
                <w:rFonts w:hint="eastAsia" w:cs="Times New Roman"/>
                <w:vertAlign w:val="superscript"/>
                <w:lang w:val="en-US" w:eastAsia="zh-CN"/>
              </w:rPr>
              <w:t>3</w:t>
            </w:r>
            <w:r>
              <w:rPr>
                <w:rFonts w:hint="default" w:ascii="Times New Roman" w:hAnsi="Times New Roman" w:cs="Times New Roman"/>
              </w:rPr>
              <w:t>/a，主要污染物为 COD、BODs、氨氮、SS、动植物油等。清洗废水、洗车废水产生总量为328.5</w:t>
            </w:r>
            <w:r>
              <w:rPr>
                <w:rFonts w:hint="eastAsia" w:cs="Times New Roman"/>
                <w:lang w:val="en-US" w:eastAsia="zh-CN"/>
              </w:rPr>
              <w:t>m</w:t>
            </w:r>
            <w:r>
              <w:rPr>
                <w:rFonts w:hint="eastAsia" w:cs="Times New Roman"/>
                <w:vertAlign w:val="superscript"/>
                <w:lang w:val="en-US" w:eastAsia="zh-CN"/>
              </w:rPr>
              <w:t>3</w:t>
            </w:r>
            <w:r>
              <w:rPr>
                <w:rFonts w:hint="default" w:ascii="Times New Roman" w:hAnsi="Times New Roman" w:cs="Times New Roman"/>
              </w:rPr>
              <w:t>/a，主要污染物为 COD、SS、石油类等。</w:t>
            </w:r>
          </w:p>
          <w:p>
            <w:pPr>
              <w:pStyle w:val="137"/>
              <w:ind w:firstLine="480"/>
              <w:rPr>
                <w:rFonts w:hint="default" w:ascii="Times New Roman" w:hAnsi="Times New Roman" w:cs="Times New Roman"/>
              </w:rPr>
            </w:pPr>
            <w:r>
              <w:rPr>
                <w:rFonts w:hint="default" w:ascii="Times New Roman" w:hAnsi="Times New Roman" w:cs="Times New Roman"/>
              </w:rPr>
              <w:t>建设单位拟在站区罩棚四周设置了截流沟，并配套设置了三级隔油池和沉淀池。清洗废水经隔油池、三级沉淀池处理后，回用</w:t>
            </w:r>
            <w:r>
              <w:rPr>
                <w:rFonts w:hint="eastAsia" w:cs="Times New Roman"/>
                <w:lang w:val="en-US" w:eastAsia="zh-CN"/>
              </w:rPr>
              <w:t>于站内洒水降尘和站内绿化</w:t>
            </w:r>
            <w:r>
              <w:rPr>
                <w:rFonts w:hint="default" w:ascii="Times New Roman" w:hAnsi="Times New Roman" w:cs="Times New Roman"/>
              </w:rPr>
              <w:t>。生活污水经三级化粪处理后，由附近村民定期清掏用于肥田回用。</w:t>
            </w:r>
          </w:p>
          <w:p>
            <w:pPr>
              <w:pStyle w:val="137"/>
              <w:ind w:firstLine="480"/>
              <w:rPr>
                <w:rFonts w:hint="default" w:ascii="Times New Roman" w:hAnsi="Times New Roman" w:cs="Times New Roman"/>
              </w:rPr>
            </w:pPr>
            <w:r>
              <w:rPr>
                <w:rFonts w:hint="default" w:ascii="Times New Roman" w:hAnsi="Times New Roman" w:cs="Times New Roman"/>
              </w:rPr>
              <w:t>（2）初期雨水</w:t>
            </w:r>
          </w:p>
          <w:p>
            <w:pPr>
              <w:pStyle w:val="137"/>
              <w:ind w:firstLine="480"/>
              <w:rPr>
                <w:rFonts w:hint="default" w:ascii="Times New Roman" w:hAnsi="Times New Roman" w:cs="Times New Roman"/>
              </w:rPr>
            </w:pPr>
            <w:r>
              <w:rPr>
                <w:rFonts w:hint="default" w:ascii="Times New Roman" w:hAnsi="Times New Roman" w:cs="Times New Roman"/>
              </w:rPr>
              <w:t>由工程分析可知，项目区暴雨形成的初期雨水量114m</w:t>
            </w:r>
            <w:r>
              <w:rPr>
                <w:rFonts w:hint="default" w:ascii="Times New Roman" w:hAnsi="Times New Roman" w:cs="Times New Roman"/>
                <w:vertAlign w:val="superscript"/>
              </w:rPr>
              <w:t>3</w:t>
            </w:r>
            <w:r>
              <w:rPr>
                <w:rFonts w:hint="default" w:ascii="Times New Roman" w:hAnsi="Times New Roman" w:cs="Times New Roman"/>
              </w:rPr>
              <w:t>/a，主要污染物为SS及石油类。为避免污染附近水体，建设单位拟在站区内设置截流沟，初期雨水经截流沟收集并进入隔油池、三级沉淀池处理后进入回用</w:t>
            </w:r>
            <w:r>
              <w:rPr>
                <w:rFonts w:hint="eastAsia" w:cs="Times New Roman"/>
                <w:lang w:val="en-US" w:eastAsia="zh-CN"/>
              </w:rPr>
              <w:t>站内洒水降尘</w:t>
            </w:r>
            <w:r>
              <w:rPr>
                <w:rFonts w:hint="default" w:ascii="Times New Roman" w:hAnsi="Times New Roman" w:cs="Times New Roman"/>
              </w:rPr>
              <w:t>。</w:t>
            </w:r>
          </w:p>
          <w:p>
            <w:pPr>
              <w:pStyle w:val="137"/>
              <w:ind w:firstLine="480"/>
              <w:rPr>
                <w:rFonts w:hint="default" w:ascii="Times New Roman" w:hAnsi="Times New Roman" w:cs="Times New Roman"/>
              </w:rPr>
            </w:pPr>
            <w:r>
              <w:rPr>
                <w:rFonts w:hint="default" w:ascii="Times New Roman" w:hAnsi="Times New Roman" w:cs="Times New Roman"/>
              </w:rPr>
              <w:t>2、地表水影响预测与评价</w:t>
            </w:r>
          </w:p>
          <w:p>
            <w:pPr>
              <w:pStyle w:val="137"/>
              <w:ind w:firstLine="480"/>
              <w:rPr>
                <w:rFonts w:hint="default" w:ascii="Times New Roman" w:hAnsi="Times New Roman" w:cs="Times New Roman"/>
              </w:rPr>
            </w:pPr>
            <w:r>
              <w:rPr>
                <w:rFonts w:hint="default" w:ascii="Times New Roman" w:hAnsi="Times New Roman" w:cs="Times New Roman"/>
              </w:rPr>
              <w:t>（1）评价等级确定</w:t>
            </w:r>
          </w:p>
          <w:p>
            <w:pPr>
              <w:pStyle w:val="137"/>
              <w:ind w:firstLine="480"/>
              <w:rPr>
                <w:rFonts w:hint="default" w:ascii="Times New Roman" w:hAnsi="Times New Roman" w:cs="Times New Roman"/>
              </w:rPr>
            </w:pPr>
            <w:r>
              <w:rPr>
                <w:rFonts w:hint="default" w:ascii="Times New Roman" w:hAnsi="Times New Roman" w:cs="Times New Roman"/>
              </w:rPr>
              <w:t>根据《环境影响评价技术导则 地表水》（HJ/T2.3-2018）关于评价等级的划分方法，水环境评价工作等级按照影响类型、排放方式、排放量或影响情况、受纳水体环境质量现状、水环境保护目标等综合确定。</w:t>
            </w:r>
          </w:p>
          <w:p>
            <w:pPr>
              <w:pStyle w:val="143"/>
              <w:keepNext w:val="0"/>
              <w:keepLines w:val="0"/>
              <w:pageBreakBefore w:val="0"/>
              <w:widowControl w:val="0"/>
              <w:kinsoku/>
              <w:wordWrap/>
              <w:overflowPunct/>
              <w:topLinePunct w:val="0"/>
              <w:autoSpaceDE/>
              <w:autoSpaceDN/>
              <w:bidi w:val="0"/>
              <w:adjustRightInd/>
              <w:snapToGrid/>
              <w:spacing w:beforeLines="0"/>
              <w:textAlignment w:val="auto"/>
              <w:rPr>
                <w:rFonts w:hint="default" w:ascii="Times New Roman" w:hAnsi="Times New Roman" w:cs="Times New Roman"/>
              </w:rPr>
            </w:pPr>
            <w:r>
              <w:rPr>
                <w:rFonts w:hint="default" w:ascii="Times New Roman" w:hAnsi="Times New Roman" w:cs="Times New Roman"/>
              </w:rPr>
              <w:t>表</w:t>
            </w:r>
            <w:r>
              <w:rPr>
                <w:rFonts w:hint="eastAsia" w:cs="Times New Roman"/>
                <w:lang w:val="en-US" w:eastAsia="zh-CN"/>
              </w:rPr>
              <w:t>7-4</w:t>
            </w:r>
            <w:r>
              <w:rPr>
                <w:rFonts w:hint="default" w:ascii="Times New Roman" w:hAnsi="Times New Roman" w:cs="Times New Roman"/>
              </w:rPr>
              <w:t xml:space="preserve">  水污染影响型建设项目评价等级判定</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1"/>
              <w:gridCol w:w="1831"/>
              <w:gridCol w:w="5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3" w:type="pct"/>
                  <w:vMerge w:val="restart"/>
                  <w:shd w:val="clear" w:color="auto" w:fill="auto"/>
                  <w:vAlign w:val="center"/>
                </w:tcPr>
                <w:p>
                  <w:pPr>
                    <w:widowControl/>
                    <w:adjustRightInd/>
                    <w:spacing w:line="240" w:lineRule="auto"/>
                    <w:ind w:firstLine="420" w:firstLineChars="200"/>
                    <w:jc w:val="left"/>
                    <w:textAlignment w:val="auto"/>
                    <w:rPr>
                      <w:rFonts w:hint="default" w:ascii="Times New Roman" w:hAnsi="Times New Roman" w:cs="Times New Roman"/>
                      <w:szCs w:val="21"/>
                    </w:rPr>
                  </w:pPr>
                  <w:r>
                    <w:rPr>
                      <w:rFonts w:hint="default" w:ascii="Times New Roman" w:hAnsi="Times New Roman" w:cs="Times New Roman"/>
                      <w:szCs w:val="21"/>
                    </w:rPr>
                    <w:t>评价等级</w:t>
                  </w:r>
                </w:p>
              </w:tc>
              <w:tc>
                <w:tcPr>
                  <w:tcW w:w="3977" w:type="pct"/>
                  <w:gridSpan w:val="2"/>
                  <w:shd w:val="clear" w:color="auto" w:fill="auto"/>
                  <w:vAlign w:val="center"/>
                </w:tcPr>
                <w:p>
                  <w:pPr>
                    <w:widowControl/>
                    <w:adjustRightInd/>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3" w:type="pct"/>
                  <w:vMerge w:val="continue"/>
                  <w:vAlign w:val="center"/>
                </w:tcPr>
                <w:p>
                  <w:pPr>
                    <w:widowControl/>
                    <w:adjustRightInd/>
                    <w:spacing w:line="240" w:lineRule="auto"/>
                    <w:jc w:val="left"/>
                    <w:textAlignment w:val="auto"/>
                    <w:rPr>
                      <w:rFonts w:hint="default" w:ascii="Times New Roman" w:hAnsi="Times New Roman" w:cs="Times New Roman"/>
                      <w:szCs w:val="21"/>
                    </w:rPr>
                  </w:pPr>
                </w:p>
              </w:tc>
              <w:tc>
                <w:tcPr>
                  <w:tcW w:w="1023" w:type="pct"/>
                  <w:vMerge w:val="restart"/>
                  <w:shd w:val="clear" w:color="auto" w:fill="auto"/>
                  <w:vAlign w:val="center"/>
                </w:tcPr>
                <w:p>
                  <w:pPr>
                    <w:widowControl/>
                    <w:adjustRightInd/>
                    <w:spacing w:line="240" w:lineRule="auto"/>
                    <w:ind w:firstLine="420" w:firstLineChars="200"/>
                    <w:jc w:val="left"/>
                    <w:textAlignment w:val="auto"/>
                    <w:rPr>
                      <w:rFonts w:hint="default" w:ascii="Times New Roman" w:hAnsi="Times New Roman" w:cs="Times New Roman"/>
                      <w:szCs w:val="21"/>
                    </w:rPr>
                  </w:pPr>
                  <w:r>
                    <w:rPr>
                      <w:rFonts w:hint="default" w:ascii="Times New Roman" w:hAnsi="Times New Roman" w:cs="Times New Roman"/>
                      <w:szCs w:val="21"/>
                    </w:rPr>
                    <w:t>排放方式</w:t>
                  </w:r>
                </w:p>
              </w:tc>
              <w:tc>
                <w:tcPr>
                  <w:tcW w:w="2955" w:type="pct"/>
                  <w:shd w:val="clear" w:color="auto" w:fill="auto"/>
                  <w:vAlign w:val="center"/>
                </w:tcPr>
                <w:p>
                  <w:pPr>
                    <w:widowControl/>
                    <w:adjustRightInd/>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 xml:space="preserve">废水排放量 </w:t>
                  </w:r>
                  <w:r>
                    <w:rPr>
                      <w:rFonts w:hint="default" w:ascii="Times New Roman" w:hAnsi="Times New Roman" w:cs="Times New Roman"/>
                      <w:b/>
                      <w:bCs/>
                      <w:szCs w:val="21"/>
                    </w:rPr>
                    <w:t>Q/</w:t>
                  </w:r>
                  <w:r>
                    <w:rPr>
                      <w:rFonts w:hint="default" w:ascii="Times New Roman" w:hAnsi="Times New Roman" w:cs="Times New Roman"/>
                      <w:szCs w:val="21"/>
                    </w:rPr>
                    <w:t>（</w:t>
                  </w:r>
                  <w:r>
                    <w:rPr>
                      <w:rFonts w:hint="default" w:ascii="Times New Roman" w:hAnsi="Times New Roman" w:cs="Times New Roman"/>
                      <w:b/>
                      <w:bCs/>
                      <w:szCs w:val="21"/>
                    </w:rPr>
                    <w:t>m</w:t>
                  </w:r>
                  <w:r>
                    <w:rPr>
                      <w:rFonts w:hint="default" w:ascii="Times New Roman" w:hAnsi="Times New Roman" w:cs="Times New Roman"/>
                      <w:b/>
                      <w:bCs/>
                      <w:szCs w:val="21"/>
                      <w:vertAlign w:val="superscript"/>
                    </w:rPr>
                    <w:t>3</w:t>
                  </w:r>
                  <w:r>
                    <w:rPr>
                      <w:rFonts w:hint="default" w:ascii="Times New Roman" w:hAnsi="Times New Roman" w:cs="Times New Roman"/>
                      <w:b/>
                      <w:bCs/>
                      <w:szCs w:val="21"/>
                    </w:rPr>
                    <w:t>/d</w:t>
                  </w:r>
                  <w:r>
                    <w:rPr>
                      <w:rFonts w:hint="default"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3" w:type="pct"/>
                  <w:vMerge w:val="continue"/>
                  <w:vAlign w:val="center"/>
                </w:tcPr>
                <w:p>
                  <w:pPr>
                    <w:widowControl/>
                    <w:adjustRightInd/>
                    <w:spacing w:line="240" w:lineRule="auto"/>
                    <w:jc w:val="left"/>
                    <w:textAlignment w:val="auto"/>
                    <w:rPr>
                      <w:rFonts w:hint="default" w:ascii="Times New Roman" w:hAnsi="Times New Roman" w:cs="Times New Roman"/>
                      <w:szCs w:val="21"/>
                    </w:rPr>
                  </w:pPr>
                </w:p>
              </w:tc>
              <w:tc>
                <w:tcPr>
                  <w:tcW w:w="1023" w:type="pct"/>
                  <w:vMerge w:val="continue"/>
                  <w:vAlign w:val="center"/>
                </w:tcPr>
                <w:p>
                  <w:pPr>
                    <w:widowControl/>
                    <w:adjustRightInd/>
                    <w:spacing w:line="240" w:lineRule="auto"/>
                    <w:jc w:val="left"/>
                    <w:textAlignment w:val="auto"/>
                    <w:rPr>
                      <w:rFonts w:hint="default" w:ascii="Times New Roman" w:hAnsi="Times New Roman" w:cs="Times New Roman"/>
                      <w:szCs w:val="21"/>
                    </w:rPr>
                  </w:pPr>
                </w:p>
              </w:tc>
              <w:tc>
                <w:tcPr>
                  <w:tcW w:w="2955" w:type="pct"/>
                  <w:shd w:val="clear" w:color="auto" w:fill="auto"/>
                  <w:vAlign w:val="center"/>
                </w:tcPr>
                <w:p>
                  <w:pPr>
                    <w:widowControl/>
                    <w:adjustRightInd/>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 xml:space="preserve">水污染物当量数 </w:t>
                  </w:r>
                  <w:r>
                    <w:rPr>
                      <w:rFonts w:hint="default" w:ascii="Times New Roman" w:hAnsi="Times New Roman" w:cs="Times New Roman"/>
                      <w:b/>
                      <w:bCs/>
                      <w:szCs w:val="21"/>
                    </w:rPr>
                    <w:t>W</w:t>
                  </w:r>
                  <w:r>
                    <w:rPr>
                      <w:rFonts w:hint="default" w:ascii="Times New Roman" w:hAnsi="Times New Roman" w:cs="Times New Roman"/>
                      <w:szCs w:val="21"/>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3" w:type="pct"/>
                  <w:shd w:val="clear" w:color="auto" w:fill="auto"/>
                  <w:vAlign w:val="center"/>
                </w:tcPr>
                <w:p>
                  <w:pPr>
                    <w:widowControl/>
                    <w:adjustRightInd/>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一级</w:t>
                  </w:r>
                </w:p>
              </w:tc>
              <w:tc>
                <w:tcPr>
                  <w:tcW w:w="1023" w:type="pct"/>
                  <w:shd w:val="clear" w:color="auto" w:fill="auto"/>
                  <w:vAlign w:val="center"/>
                </w:tcPr>
                <w:p>
                  <w:pPr>
                    <w:widowControl/>
                    <w:adjustRightInd/>
                    <w:spacing w:line="240" w:lineRule="auto"/>
                    <w:ind w:firstLine="420" w:firstLineChars="200"/>
                    <w:jc w:val="left"/>
                    <w:textAlignment w:val="auto"/>
                    <w:rPr>
                      <w:rFonts w:hint="default" w:ascii="Times New Roman" w:hAnsi="Times New Roman" w:cs="Times New Roman"/>
                      <w:szCs w:val="21"/>
                    </w:rPr>
                  </w:pPr>
                  <w:r>
                    <w:rPr>
                      <w:rFonts w:hint="default" w:ascii="Times New Roman" w:hAnsi="Times New Roman" w:cs="Times New Roman"/>
                      <w:szCs w:val="21"/>
                    </w:rPr>
                    <w:t>直接排放</w:t>
                  </w:r>
                </w:p>
              </w:tc>
              <w:tc>
                <w:tcPr>
                  <w:tcW w:w="2955" w:type="pct"/>
                  <w:shd w:val="clear" w:color="auto" w:fill="auto"/>
                  <w:vAlign w:val="center"/>
                </w:tcPr>
                <w:p>
                  <w:pPr>
                    <w:widowControl/>
                    <w:adjustRightInd/>
                    <w:spacing w:line="240" w:lineRule="auto"/>
                    <w:jc w:val="center"/>
                    <w:textAlignment w:val="auto"/>
                    <w:rPr>
                      <w:rFonts w:hint="default" w:ascii="Times New Roman" w:hAnsi="Times New Roman" w:eastAsia="等线" w:cs="Times New Roman"/>
                      <w:szCs w:val="21"/>
                    </w:rPr>
                  </w:pPr>
                  <w:r>
                    <w:rPr>
                      <w:rFonts w:hint="default" w:ascii="Times New Roman" w:hAnsi="Times New Roman" w:eastAsia="等线" w:cs="Times New Roman"/>
                      <w:szCs w:val="21"/>
                    </w:rPr>
                    <w:t xml:space="preserve">Q≥20000 </w:t>
                  </w:r>
                  <w:r>
                    <w:rPr>
                      <w:rFonts w:hint="default" w:ascii="Times New Roman" w:hAnsi="Times New Roman" w:cs="Times New Roman"/>
                      <w:szCs w:val="21"/>
                    </w:rPr>
                    <w:t>或</w:t>
                  </w:r>
                  <w:r>
                    <w:rPr>
                      <w:rFonts w:hint="default" w:ascii="Times New Roman" w:hAnsi="Times New Roman" w:eastAsia="等线" w:cs="Times New Roman"/>
                      <w:szCs w:val="21"/>
                    </w:rPr>
                    <w:t>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3" w:type="pct"/>
                  <w:shd w:val="clear" w:color="auto" w:fill="auto"/>
                  <w:vAlign w:val="center"/>
                </w:tcPr>
                <w:p>
                  <w:pPr>
                    <w:widowControl/>
                    <w:adjustRightInd/>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二级</w:t>
                  </w:r>
                </w:p>
              </w:tc>
              <w:tc>
                <w:tcPr>
                  <w:tcW w:w="1023" w:type="pct"/>
                  <w:shd w:val="clear" w:color="auto" w:fill="auto"/>
                  <w:vAlign w:val="center"/>
                </w:tcPr>
                <w:p>
                  <w:pPr>
                    <w:widowControl/>
                    <w:adjustRightInd/>
                    <w:spacing w:line="240" w:lineRule="auto"/>
                    <w:ind w:firstLine="420" w:firstLineChars="200"/>
                    <w:jc w:val="left"/>
                    <w:textAlignment w:val="auto"/>
                    <w:rPr>
                      <w:rFonts w:hint="default" w:ascii="Times New Roman" w:hAnsi="Times New Roman" w:cs="Times New Roman"/>
                      <w:szCs w:val="21"/>
                    </w:rPr>
                  </w:pPr>
                  <w:r>
                    <w:rPr>
                      <w:rFonts w:hint="default" w:ascii="Times New Roman" w:hAnsi="Times New Roman" w:cs="Times New Roman"/>
                      <w:szCs w:val="21"/>
                    </w:rPr>
                    <w:t>直接排放</w:t>
                  </w:r>
                </w:p>
              </w:tc>
              <w:tc>
                <w:tcPr>
                  <w:tcW w:w="2955" w:type="pct"/>
                  <w:shd w:val="clear" w:color="auto" w:fill="auto"/>
                  <w:vAlign w:val="center"/>
                </w:tcPr>
                <w:p>
                  <w:pPr>
                    <w:widowControl/>
                    <w:adjustRightInd/>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3" w:type="pct"/>
                  <w:shd w:val="clear" w:color="auto" w:fill="auto"/>
                  <w:vAlign w:val="center"/>
                </w:tcPr>
                <w:p>
                  <w:pPr>
                    <w:widowControl/>
                    <w:adjustRightInd/>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三级A</w:t>
                  </w:r>
                </w:p>
              </w:tc>
              <w:tc>
                <w:tcPr>
                  <w:tcW w:w="1023" w:type="pct"/>
                  <w:shd w:val="clear" w:color="auto" w:fill="auto"/>
                  <w:vAlign w:val="center"/>
                </w:tcPr>
                <w:p>
                  <w:pPr>
                    <w:widowControl/>
                    <w:adjustRightInd/>
                    <w:spacing w:line="240" w:lineRule="auto"/>
                    <w:ind w:firstLine="420" w:firstLineChars="200"/>
                    <w:jc w:val="left"/>
                    <w:textAlignment w:val="auto"/>
                    <w:rPr>
                      <w:rFonts w:hint="default" w:ascii="Times New Roman" w:hAnsi="Times New Roman" w:cs="Times New Roman"/>
                      <w:szCs w:val="21"/>
                    </w:rPr>
                  </w:pPr>
                  <w:r>
                    <w:rPr>
                      <w:rFonts w:hint="default" w:ascii="Times New Roman" w:hAnsi="Times New Roman" w:cs="Times New Roman"/>
                      <w:szCs w:val="21"/>
                    </w:rPr>
                    <w:t>直接排放</w:t>
                  </w:r>
                </w:p>
              </w:tc>
              <w:tc>
                <w:tcPr>
                  <w:tcW w:w="2955" w:type="pct"/>
                  <w:shd w:val="clear" w:color="auto" w:fill="auto"/>
                  <w:vAlign w:val="center"/>
                </w:tcPr>
                <w:p>
                  <w:pPr>
                    <w:widowControl/>
                    <w:adjustRightInd/>
                    <w:spacing w:line="240" w:lineRule="auto"/>
                    <w:jc w:val="center"/>
                    <w:textAlignment w:val="auto"/>
                    <w:rPr>
                      <w:rFonts w:hint="default" w:ascii="Times New Roman" w:hAnsi="Times New Roman" w:eastAsia="等线" w:cs="Times New Roman"/>
                      <w:szCs w:val="21"/>
                    </w:rPr>
                  </w:pPr>
                  <w:r>
                    <w:rPr>
                      <w:rFonts w:hint="default" w:ascii="Times New Roman" w:hAnsi="Times New Roman" w:eastAsia="等线" w:cs="Times New Roman"/>
                      <w:szCs w:val="21"/>
                    </w:rPr>
                    <w:t>Q</w:t>
                  </w:r>
                  <w:r>
                    <w:rPr>
                      <w:rFonts w:hint="default" w:ascii="Times New Roman" w:hAnsi="Times New Roman" w:cs="Times New Roman"/>
                      <w:szCs w:val="21"/>
                    </w:rPr>
                    <w:t>＜</w:t>
                  </w:r>
                  <w:r>
                    <w:rPr>
                      <w:rFonts w:hint="default" w:ascii="Times New Roman" w:hAnsi="Times New Roman" w:eastAsia="等线" w:cs="Times New Roman"/>
                      <w:szCs w:val="21"/>
                    </w:rPr>
                    <w:t xml:space="preserve">200 </w:t>
                  </w:r>
                  <w:r>
                    <w:rPr>
                      <w:rFonts w:hint="default" w:ascii="Times New Roman" w:hAnsi="Times New Roman" w:cs="Times New Roman"/>
                      <w:szCs w:val="21"/>
                    </w:rPr>
                    <w:t xml:space="preserve">且 </w:t>
                  </w:r>
                  <w:r>
                    <w:rPr>
                      <w:rFonts w:hint="default" w:ascii="Times New Roman" w:hAnsi="Times New Roman" w:eastAsia="等线" w:cs="Times New Roman"/>
                      <w:szCs w:val="21"/>
                    </w:rPr>
                    <w:t>W</w:t>
                  </w:r>
                  <w:r>
                    <w:rPr>
                      <w:rFonts w:hint="default" w:ascii="Times New Roman" w:hAnsi="Times New Roman" w:cs="Times New Roman"/>
                      <w:szCs w:val="21"/>
                    </w:rPr>
                    <w:t>＜</w:t>
                  </w:r>
                  <w:r>
                    <w:rPr>
                      <w:rFonts w:hint="default" w:ascii="Times New Roman" w:hAnsi="Times New Roman" w:eastAsia="等线" w:cs="Times New Roman"/>
                      <w:szCs w:val="21"/>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3" w:type="pct"/>
                  <w:shd w:val="clear" w:color="auto" w:fill="auto"/>
                  <w:vAlign w:val="center"/>
                </w:tcPr>
                <w:p>
                  <w:pPr>
                    <w:widowControl/>
                    <w:adjustRightInd/>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三级B</w:t>
                  </w:r>
                </w:p>
              </w:tc>
              <w:tc>
                <w:tcPr>
                  <w:tcW w:w="1023" w:type="pct"/>
                  <w:shd w:val="clear" w:color="auto" w:fill="auto"/>
                  <w:vAlign w:val="center"/>
                </w:tcPr>
                <w:p>
                  <w:pPr>
                    <w:widowControl/>
                    <w:adjustRightInd/>
                    <w:spacing w:line="240" w:lineRule="auto"/>
                    <w:ind w:firstLine="420" w:firstLineChars="200"/>
                    <w:jc w:val="left"/>
                    <w:textAlignment w:val="auto"/>
                    <w:rPr>
                      <w:rFonts w:hint="default" w:ascii="Times New Roman" w:hAnsi="Times New Roman" w:cs="Times New Roman"/>
                      <w:szCs w:val="21"/>
                    </w:rPr>
                  </w:pPr>
                  <w:r>
                    <w:rPr>
                      <w:rFonts w:hint="default" w:ascii="Times New Roman" w:hAnsi="Times New Roman" w:cs="Times New Roman"/>
                      <w:szCs w:val="21"/>
                    </w:rPr>
                    <w:t>间接排放</w:t>
                  </w:r>
                </w:p>
              </w:tc>
              <w:tc>
                <w:tcPr>
                  <w:tcW w:w="2955" w:type="pct"/>
                  <w:shd w:val="clear" w:color="auto" w:fill="auto"/>
                  <w:vAlign w:val="center"/>
                </w:tcPr>
                <w:p>
                  <w:pPr>
                    <w:widowControl/>
                    <w:adjustRightInd/>
                    <w:spacing w:line="240" w:lineRule="auto"/>
                    <w:jc w:val="center"/>
                    <w:textAlignment w:val="auto"/>
                    <w:rPr>
                      <w:rFonts w:hint="default" w:ascii="Times New Roman" w:hAnsi="Times New Roman" w:eastAsia="等线" w:cs="Times New Roman"/>
                      <w:szCs w:val="21"/>
                    </w:rPr>
                  </w:pPr>
                  <w:r>
                    <w:rPr>
                      <w:rFonts w:hint="default" w:ascii="Times New Roman" w:hAnsi="Times New Roman" w:eastAsia="等线" w:cs="Times New Roman"/>
                      <w:szCs w:val="21"/>
                    </w:rPr>
                    <w:t>/</w:t>
                  </w:r>
                </w:p>
              </w:tc>
            </w:tr>
          </w:tbl>
          <w:p>
            <w:pPr>
              <w:pStyle w:val="148"/>
              <w:rPr>
                <w:rFonts w:hint="default" w:ascii="Times New Roman" w:hAnsi="Times New Roman" w:cs="Times New Roman"/>
              </w:rPr>
            </w:pPr>
            <w:r>
              <w:rPr>
                <w:rFonts w:hint="default" w:ascii="Times New Roman" w:hAnsi="Times New Roman" w:cs="Times New Roman"/>
              </w:rPr>
              <w:t>注：建设项目生产工艺中有废水产生，但作为回水利用，不排放到外环境的，按三级B评价</w:t>
            </w:r>
          </w:p>
          <w:p>
            <w:pPr>
              <w:pStyle w:val="137"/>
              <w:ind w:firstLine="480"/>
              <w:rPr>
                <w:rFonts w:hint="default" w:ascii="Times New Roman" w:hAnsi="Times New Roman" w:cs="Times New Roman"/>
              </w:rPr>
            </w:pPr>
            <w:r>
              <w:rPr>
                <w:rFonts w:hint="default" w:ascii="Times New Roman" w:hAnsi="Times New Roman" w:cs="Times New Roman"/>
              </w:rPr>
              <w:t>项目废水不外排，不排放到外环境，评价等级为水污染影响型三级 B，可不进行水环境影响预测，根据《环境影响评价技术导则 地表水环境》（HJ2.3-2018）的规定，水污染影响型三级B的地表水环境影响评价内容为：对水污染控制和水环境影响减缓措施的有效性、依托污水处理设施的环境可行性进行评价。</w:t>
            </w:r>
          </w:p>
          <w:p>
            <w:pPr>
              <w:pStyle w:val="137"/>
              <w:ind w:firstLine="480"/>
              <w:rPr>
                <w:rFonts w:hint="default" w:ascii="Times New Roman" w:hAnsi="Times New Roman" w:cs="Times New Roman"/>
              </w:rPr>
            </w:pPr>
            <w:r>
              <w:rPr>
                <w:rFonts w:hint="default" w:ascii="Times New Roman" w:hAnsi="Times New Roman" w:cs="Times New Roman"/>
              </w:rPr>
              <w:t>（2）水污染控制和水环境影响减缓措施的有效性评价</w:t>
            </w:r>
          </w:p>
          <w:p>
            <w:pPr>
              <w:pStyle w:val="137"/>
              <w:ind w:firstLine="480"/>
              <w:rPr>
                <w:rFonts w:hint="default" w:ascii="Times New Roman" w:hAnsi="Times New Roman" w:cs="Times New Roman"/>
              </w:rPr>
            </w:pPr>
            <w:r>
              <w:rPr>
                <w:rFonts w:hint="default" w:ascii="Times New Roman" w:hAnsi="Times New Roman" w:cs="Times New Roman"/>
              </w:rPr>
              <w:t>项目废水不外排，不会对项目周边水环境产生影响。</w:t>
            </w:r>
          </w:p>
          <w:p>
            <w:pPr>
              <w:pStyle w:val="137"/>
              <w:ind w:firstLine="480"/>
              <w:rPr>
                <w:rFonts w:hint="default" w:ascii="Times New Roman" w:hAnsi="Times New Roman" w:cs="Times New Roman"/>
              </w:rPr>
            </w:pPr>
            <w:r>
              <w:rPr>
                <w:rFonts w:hint="default" w:ascii="Times New Roman" w:hAnsi="Times New Roman" w:cs="Times New Roman"/>
              </w:rPr>
              <w:t>（3）依托污水处理设施的环境可行性进行评价</w:t>
            </w:r>
          </w:p>
          <w:p>
            <w:pPr>
              <w:pStyle w:val="137"/>
              <w:ind w:firstLine="480"/>
              <w:rPr>
                <w:rFonts w:hint="default" w:ascii="Times New Roman" w:hAnsi="Times New Roman" w:cs="Times New Roman"/>
              </w:rPr>
            </w:pPr>
            <w:r>
              <w:rPr>
                <w:rFonts w:hint="default" w:ascii="Times New Roman" w:hAnsi="Times New Roman" w:cs="Times New Roman"/>
              </w:rPr>
              <w:t>项目废水不外排，不依托污水处理设施。</w:t>
            </w:r>
          </w:p>
          <w:p>
            <w:pPr>
              <w:pStyle w:val="137"/>
              <w:ind w:firstLine="480"/>
              <w:rPr>
                <w:rFonts w:hint="default" w:ascii="Times New Roman" w:hAnsi="Times New Roman" w:cs="Times New Roman"/>
              </w:rPr>
            </w:pPr>
            <w:r>
              <w:rPr>
                <w:rFonts w:hint="default" w:ascii="Times New Roman" w:hAnsi="Times New Roman" w:cs="Times New Roman"/>
              </w:rPr>
              <w:t>3、地表水环境影响评价结论</w:t>
            </w:r>
          </w:p>
          <w:p>
            <w:pPr>
              <w:pStyle w:val="137"/>
              <w:ind w:firstLine="480"/>
              <w:rPr>
                <w:rFonts w:hint="default" w:ascii="Times New Roman" w:hAnsi="Times New Roman" w:cs="Times New Roman"/>
              </w:rPr>
            </w:pPr>
            <w:r>
              <w:rPr>
                <w:rFonts w:hint="default" w:ascii="Times New Roman" w:hAnsi="Times New Roman" w:cs="Times New Roman"/>
              </w:rPr>
              <w:t>综上所述，项目废水对地表水体造成的环境影响不大，其地表水环境影响是可接受的。</w:t>
            </w:r>
          </w:p>
          <w:p>
            <w:pPr>
              <w:pStyle w:val="137"/>
              <w:ind w:firstLine="480"/>
              <w:rPr>
                <w:rFonts w:hint="default" w:ascii="Times New Roman" w:hAnsi="Times New Roman" w:cs="Times New Roman"/>
              </w:rPr>
            </w:pPr>
            <w:r>
              <w:rPr>
                <w:rFonts w:hint="default" w:ascii="Times New Roman" w:hAnsi="Times New Roman" w:cs="Times New Roman"/>
              </w:rPr>
              <w:t>4、建设项目废水污染物排放信息</w:t>
            </w:r>
          </w:p>
          <w:p>
            <w:pPr>
              <w:pStyle w:val="143"/>
              <w:spacing w:before="156"/>
              <w:rPr>
                <w:rFonts w:hint="default" w:ascii="Times New Roman" w:hAnsi="Times New Roman" w:cs="Times New Roman"/>
              </w:rPr>
            </w:pPr>
            <w:r>
              <w:rPr>
                <w:rFonts w:hint="default" w:ascii="Times New Roman" w:hAnsi="Times New Roman" w:cs="Times New Roman"/>
              </w:rPr>
              <w:t>表</w:t>
            </w:r>
            <w:r>
              <w:rPr>
                <w:rFonts w:hint="eastAsia" w:cs="Times New Roman"/>
                <w:lang w:val="en-US" w:eastAsia="zh-CN"/>
              </w:rPr>
              <w:t>7-5</w:t>
            </w:r>
            <w:r>
              <w:rPr>
                <w:rFonts w:hint="default" w:ascii="Times New Roman" w:hAnsi="Times New Roman" w:cs="Times New Roman"/>
              </w:rPr>
              <w:t xml:space="preserve">  </w:t>
            </w:r>
            <w:r>
              <w:rPr>
                <w:rFonts w:hint="default" w:ascii="Times New Roman" w:hAnsi="Times New Roman" w:cs="Times New Roman"/>
                <w:sz w:val="22"/>
              </w:rPr>
              <w:t>水类别、污染物及污染治理设施信息表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1341"/>
              <w:gridCol w:w="1554"/>
              <w:gridCol w:w="1591"/>
              <w:gridCol w:w="463"/>
              <w:gridCol w:w="704"/>
              <w:gridCol w:w="463"/>
              <w:gridCol w:w="573"/>
              <w:gridCol w:w="793"/>
              <w:gridCol w:w="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3" w:type="dxa"/>
                  <w:vMerge w:val="restar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废水类别</w:t>
                  </w:r>
                </w:p>
              </w:tc>
              <w:tc>
                <w:tcPr>
                  <w:tcW w:w="1341" w:type="dxa"/>
                  <w:vMerge w:val="restar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污染物种类</w:t>
                  </w:r>
                </w:p>
              </w:tc>
              <w:tc>
                <w:tcPr>
                  <w:tcW w:w="1554" w:type="dxa"/>
                  <w:vMerge w:val="restar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排放去向</w:t>
                  </w:r>
                </w:p>
              </w:tc>
              <w:tc>
                <w:tcPr>
                  <w:tcW w:w="1591" w:type="dxa"/>
                  <w:vMerge w:val="restar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排放规律</w:t>
                  </w:r>
                </w:p>
              </w:tc>
              <w:tc>
                <w:tcPr>
                  <w:tcW w:w="1630" w:type="dxa"/>
                  <w:gridSpan w:val="3"/>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污染治理设施</w:t>
                  </w:r>
                </w:p>
              </w:tc>
              <w:tc>
                <w:tcPr>
                  <w:tcW w:w="573" w:type="dxa"/>
                  <w:vMerge w:val="restar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排放口编号</w:t>
                  </w:r>
                </w:p>
              </w:tc>
              <w:tc>
                <w:tcPr>
                  <w:tcW w:w="793" w:type="dxa"/>
                  <w:vMerge w:val="restar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排放口设置是否符合要求</w:t>
                  </w:r>
                </w:p>
              </w:tc>
              <w:tc>
                <w:tcPr>
                  <w:tcW w:w="573" w:type="dxa"/>
                  <w:vMerge w:val="restar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3" w:type="dxa"/>
                  <w:vMerge w:val="continue"/>
                  <w:vAlign w:val="center"/>
                </w:tcPr>
                <w:p>
                  <w:pPr>
                    <w:pStyle w:val="141"/>
                    <w:rPr>
                      <w:rFonts w:hint="default" w:ascii="Times New Roman" w:hAnsi="Times New Roman" w:cs="Times New Roman"/>
                    </w:rPr>
                  </w:pPr>
                </w:p>
              </w:tc>
              <w:tc>
                <w:tcPr>
                  <w:tcW w:w="1341" w:type="dxa"/>
                  <w:vMerge w:val="continue"/>
                  <w:vAlign w:val="center"/>
                </w:tcPr>
                <w:p>
                  <w:pPr>
                    <w:pStyle w:val="141"/>
                    <w:rPr>
                      <w:rFonts w:hint="default" w:ascii="Times New Roman" w:hAnsi="Times New Roman" w:cs="Times New Roman"/>
                    </w:rPr>
                  </w:pPr>
                </w:p>
              </w:tc>
              <w:tc>
                <w:tcPr>
                  <w:tcW w:w="1554" w:type="dxa"/>
                  <w:vMerge w:val="continue"/>
                  <w:vAlign w:val="center"/>
                </w:tcPr>
                <w:p>
                  <w:pPr>
                    <w:pStyle w:val="141"/>
                    <w:rPr>
                      <w:rFonts w:hint="default" w:ascii="Times New Roman" w:hAnsi="Times New Roman" w:cs="Times New Roman"/>
                    </w:rPr>
                  </w:pPr>
                </w:p>
              </w:tc>
              <w:tc>
                <w:tcPr>
                  <w:tcW w:w="1591" w:type="dxa"/>
                  <w:vMerge w:val="continue"/>
                  <w:vAlign w:val="center"/>
                </w:tcPr>
                <w:p>
                  <w:pPr>
                    <w:pStyle w:val="141"/>
                    <w:rPr>
                      <w:rFonts w:hint="default" w:ascii="Times New Roman" w:hAnsi="Times New Roman" w:cs="Times New Roman"/>
                    </w:rPr>
                  </w:pPr>
                </w:p>
              </w:tc>
              <w:tc>
                <w:tcPr>
                  <w:tcW w:w="463" w:type="dxa"/>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编号</w:t>
                  </w:r>
                </w:p>
              </w:tc>
              <w:tc>
                <w:tcPr>
                  <w:tcW w:w="704" w:type="dxa"/>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名称</w:t>
                  </w:r>
                </w:p>
              </w:tc>
              <w:tc>
                <w:tcPr>
                  <w:tcW w:w="463" w:type="dxa"/>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工艺</w:t>
                  </w:r>
                </w:p>
              </w:tc>
              <w:tc>
                <w:tcPr>
                  <w:tcW w:w="573" w:type="dxa"/>
                  <w:vMerge w:val="continue"/>
                  <w:vAlign w:val="center"/>
                </w:tcPr>
                <w:p>
                  <w:pPr>
                    <w:pStyle w:val="141"/>
                    <w:rPr>
                      <w:rFonts w:hint="default" w:ascii="Times New Roman" w:hAnsi="Times New Roman" w:cs="Times New Roman"/>
                    </w:rPr>
                  </w:pPr>
                </w:p>
              </w:tc>
              <w:tc>
                <w:tcPr>
                  <w:tcW w:w="793" w:type="dxa"/>
                  <w:vMerge w:val="continue"/>
                  <w:vAlign w:val="center"/>
                </w:tcPr>
                <w:p>
                  <w:pPr>
                    <w:pStyle w:val="141"/>
                    <w:rPr>
                      <w:rFonts w:hint="default" w:ascii="Times New Roman" w:hAnsi="Times New Roman" w:cs="Times New Roman"/>
                    </w:rPr>
                  </w:pPr>
                </w:p>
              </w:tc>
              <w:tc>
                <w:tcPr>
                  <w:tcW w:w="573" w:type="dxa"/>
                  <w:vMerge w:val="continue"/>
                  <w:vAlign w:val="center"/>
                </w:tcPr>
                <w:p>
                  <w:pPr>
                    <w:pStyle w:val="141"/>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893" w:type="dxa"/>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生活污水</w:t>
                  </w:r>
                </w:p>
              </w:tc>
              <w:tc>
                <w:tcPr>
                  <w:tcW w:w="1341" w:type="dxa"/>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CODcr、BOD</w:t>
                  </w:r>
                  <w:r>
                    <w:rPr>
                      <w:rFonts w:hint="default" w:ascii="Times New Roman" w:hAnsi="Times New Roman" w:cs="Times New Roman"/>
                      <w:vertAlign w:val="subscript"/>
                    </w:rPr>
                    <w:t>5</w:t>
                  </w:r>
                  <w:r>
                    <w:rPr>
                      <w:rFonts w:hint="default" w:ascii="Times New Roman" w:hAnsi="Times New Roman" w:cs="Times New Roman"/>
                    </w:rPr>
                    <w:t>、SS、NH</w:t>
                  </w:r>
                  <w:r>
                    <w:rPr>
                      <w:rFonts w:hint="default" w:ascii="Times New Roman" w:hAnsi="Times New Roman" w:cs="Times New Roman"/>
                      <w:vertAlign w:val="subscript"/>
                    </w:rPr>
                    <w:t>3</w:t>
                  </w:r>
                  <w:r>
                    <w:rPr>
                      <w:rFonts w:hint="default" w:ascii="Times New Roman" w:hAnsi="Times New Roman" w:cs="Times New Roman"/>
                    </w:rPr>
                    <w:t>-N</w:t>
                  </w:r>
                </w:p>
              </w:tc>
              <w:tc>
                <w:tcPr>
                  <w:tcW w:w="1554" w:type="dxa"/>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经三级化粪处理后，由附近村民定期清掏用于肥田回用</w:t>
                  </w:r>
                </w:p>
              </w:tc>
              <w:tc>
                <w:tcPr>
                  <w:tcW w:w="1591" w:type="dxa"/>
                  <w:vMerge w:val="restar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间断排放，排放期间流量不稳定且无规律，但不属于冲击型排放</w:t>
                  </w:r>
                </w:p>
              </w:tc>
              <w:tc>
                <w:tcPr>
                  <w:tcW w:w="463" w:type="dxa"/>
                  <w:vMerge w:val="restar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w:t>
                  </w:r>
                </w:p>
              </w:tc>
              <w:tc>
                <w:tcPr>
                  <w:tcW w:w="704" w:type="dxa"/>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 xml:space="preserve">三级化粪池 </w:t>
                  </w:r>
                </w:p>
              </w:tc>
              <w:tc>
                <w:tcPr>
                  <w:tcW w:w="463" w:type="dxa"/>
                  <w:vMerge w:val="restar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w:t>
                  </w:r>
                </w:p>
              </w:tc>
              <w:tc>
                <w:tcPr>
                  <w:tcW w:w="1939" w:type="dxa"/>
                  <w:gridSpan w:val="3"/>
                  <w:vMerge w:val="restar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本项目废水不外排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3" w:type="dxa"/>
                  <w:vAlign w:val="center"/>
                </w:tcPr>
                <w:p>
                  <w:pPr>
                    <w:pStyle w:val="141"/>
                    <w:rPr>
                      <w:rFonts w:hint="default" w:ascii="Times New Roman" w:hAnsi="Times New Roman" w:cs="Times New Roman"/>
                    </w:rPr>
                  </w:pPr>
                  <w:r>
                    <w:rPr>
                      <w:rFonts w:hint="default" w:ascii="Times New Roman" w:hAnsi="Times New Roman" w:cs="Times New Roman"/>
                    </w:rPr>
                    <w:t>初期雨水</w:t>
                  </w:r>
                </w:p>
              </w:tc>
              <w:tc>
                <w:tcPr>
                  <w:tcW w:w="1341" w:type="dxa"/>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SS、石油类</w:t>
                  </w:r>
                </w:p>
              </w:tc>
              <w:tc>
                <w:tcPr>
                  <w:tcW w:w="1554" w:type="dxa"/>
                  <w:vAlign w:val="center"/>
                </w:tcPr>
                <w:p>
                  <w:pPr>
                    <w:pStyle w:val="141"/>
                    <w:rPr>
                      <w:rFonts w:hint="default" w:ascii="Times New Roman" w:hAnsi="Times New Roman" w:cs="Times New Roman"/>
                    </w:rPr>
                  </w:pPr>
                  <w:r>
                    <w:rPr>
                      <w:rFonts w:hint="default" w:ascii="Times New Roman" w:hAnsi="Times New Roman" w:cs="Times New Roman"/>
                    </w:rPr>
                    <w:t>初期雨水经截流沟收集并进入隔油池、三级沉淀池处理后回用</w:t>
                  </w:r>
                </w:p>
              </w:tc>
              <w:tc>
                <w:tcPr>
                  <w:tcW w:w="1591" w:type="dxa"/>
                  <w:vMerge w:val="continue"/>
                  <w:vAlign w:val="center"/>
                </w:tcPr>
                <w:p>
                  <w:pPr>
                    <w:pStyle w:val="141"/>
                    <w:rPr>
                      <w:rFonts w:hint="default" w:ascii="Times New Roman" w:hAnsi="Times New Roman" w:cs="Times New Roman"/>
                    </w:rPr>
                  </w:pPr>
                </w:p>
              </w:tc>
              <w:tc>
                <w:tcPr>
                  <w:tcW w:w="463" w:type="dxa"/>
                  <w:vMerge w:val="continue"/>
                  <w:vAlign w:val="center"/>
                </w:tcPr>
                <w:p>
                  <w:pPr>
                    <w:pStyle w:val="141"/>
                    <w:rPr>
                      <w:rFonts w:hint="default" w:ascii="Times New Roman" w:hAnsi="Times New Roman" w:cs="Times New Roman"/>
                    </w:rPr>
                  </w:pPr>
                </w:p>
              </w:tc>
              <w:tc>
                <w:tcPr>
                  <w:tcW w:w="704" w:type="dxa"/>
                  <w:vMerge w:val="restart"/>
                  <w:vAlign w:val="center"/>
                </w:tcPr>
                <w:p>
                  <w:pPr>
                    <w:pStyle w:val="141"/>
                    <w:rPr>
                      <w:rFonts w:hint="default" w:ascii="Times New Roman" w:hAnsi="Times New Roman" w:cs="Times New Roman"/>
                    </w:rPr>
                  </w:pPr>
                  <w:r>
                    <w:rPr>
                      <w:rFonts w:hint="default" w:ascii="Times New Roman" w:hAnsi="Times New Roman" w:cs="Times New Roman"/>
                    </w:rPr>
                    <w:t>隔油池+三级沉淀池</w:t>
                  </w:r>
                </w:p>
              </w:tc>
              <w:tc>
                <w:tcPr>
                  <w:tcW w:w="463" w:type="dxa"/>
                  <w:vMerge w:val="continue"/>
                  <w:vAlign w:val="center"/>
                </w:tcPr>
                <w:p>
                  <w:pPr>
                    <w:pStyle w:val="141"/>
                    <w:rPr>
                      <w:rFonts w:hint="default" w:ascii="Times New Roman" w:hAnsi="Times New Roman" w:cs="Times New Roman"/>
                    </w:rPr>
                  </w:pPr>
                </w:p>
              </w:tc>
              <w:tc>
                <w:tcPr>
                  <w:tcW w:w="1939" w:type="dxa"/>
                  <w:gridSpan w:val="3"/>
                  <w:vMerge w:val="continue"/>
                  <w:vAlign w:val="center"/>
                </w:tcPr>
                <w:p>
                  <w:pPr>
                    <w:pStyle w:val="141"/>
                    <w:rPr>
                      <w:rFonts w:hint="default" w:ascii="Times New Roman" w:hAnsi="Times New Roman" w:eastAsia="等线"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3" w:type="dxa"/>
                  <w:vAlign w:val="center"/>
                </w:tcPr>
                <w:p>
                  <w:pPr>
                    <w:pStyle w:val="141"/>
                    <w:rPr>
                      <w:rFonts w:hint="default" w:ascii="Times New Roman" w:hAnsi="Times New Roman" w:cs="Times New Roman"/>
                    </w:rPr>
                  </w:pPr>
                  <w:r>
                    <w:rPr>
                      <w:rFonts w:hint="default" w:ascii="Times New Roman" w:hAnsi="Times New Roman" w:cs="Times New Roman"/>
                    </w:rPr>
                    <w:t>清洗废水、洗车废水</w:t>
                  </w:r>
                </w:p>
              </w:tc>
              <w:tc>
                <w:tcPr>
                  <w:tcW w:w="1341" w:type="dxa"/>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COD、SS、石油类</w:t>
                  </w:r>
                </w:p>
              </w:tc>
              <w:tc>
                <w:tcPr>
                  <w:tcW w:w="1554" w:type="dxa"/>
                  <w:vAlign w:val="center"/>
                </w:tcPr>
                <w:p>
                  <w:pPr>
                    <w:pStyle w:val="141"/>
                    <w:rPr>
                      <w:rFonts w:hint="default" w:ascii="Times New Roman" w:hAnsi="Times New Roman" w:cs="Times New Roman"/>
                    </w:rPr>
                  </w:pPr>
                  <w:r>
                    <w:rPr>
                      <w:rFonts w:hint="default" w:ascii="Times New Roman" w:hAnsi="Times New Roman" w:cs="Times New Roman"/>
                    </w:rPr>
                    <w:t>经隔油池、三级沉淀池处理后回用</w:t>
                  </w:r>
                </w:p>
              </w:tc>
              <w:tc>
                <w:tcPr>
                  <w:tcW w:w="1591" w:type="dxa"/>
                  <w:vMerge w:val="continue"/>
                  <w:vAlign w:val="center"/>
                </w:tcPr>
                <w:p>
                  <w:pPr>
                    <w:pStyle w:val="141"/>
                    <w:rPr>
                      <w:rFonts w:hint="default" w:ascii="Times New Roman" w:hAnsi="Times New Roman" w:cs="Times New Roman"/>
                    </w:rPr>
                  </w:pPr>
                </w:p>
              </w:tc>
              <w:tc>
                <w:tcPr>
                  <w:tcW w:w="463" w:type="dxa"/>
                  <w:vMerge w:val="continue"/>
                  <w:vAlign w:val="center"/>
                </w:tcPr>
                <w:p>
                  <w:pPr>
                    <w:pStyle w:val="141"/>
                    <w:rPr>
                      <w:rFonts w:hint="default" w:ascii="Times New Roman" w:hAnsi="Times New Roman" w:cs="Times New Roman"/>
                    </w:rPr>
                  </w:pPr>
                </w:p>
              </w:tc>
              <w:tc>
                <w:tcPr>
                  <w:tcW w:w="704" w:type="dxa"/>
                  <w:vMerge w:val="continue"/>
                  <w:vAlign w:val="center"/>
                </w:tcPr>
                <w:p>
                  <w:pPr>
                    <w:pStyle w:val="141"/>
                    <w:rPr>
                      <w:rFonts w:hint="default" w:ascii="Times New Roman" w:hAnsi="Times New Roman" w:cs="Times New Roman"/>
                    </w:rPr>
                  </w:pPr>
                </w:p>
              </w:tc>
              <w:tc>
                <w:tcPr>
                  <w:tcW w:w="463" w:type="dxa"/>
                  <w:vMerge w:val="continue"/>
                  <w:vAlign w:val="center"/>
                </w:tcPr>
                <w:p>
                  <w:pPr>
                    <w:pStyle w:val="141"/>
                    <w:rPr>
                      <w:rFonts w:hint="default" w:ascii="Times New Roman" w:hAnsi="Times New Roman" w:cs="Times New Roman"/>
                    </w:rPr>
                  </w:pPr>
                </w:p>
              </w:tc>
              <w:tc>
                <w:tcPr>
                  <w:tcW w:w="1939" w:type="dxa"/>
                  <w:gridSpan w:val="3"/>
                  <w:vMerge w:val="continue"/>
                  <w:vAlign w:val="center"/>
                </w:tcPr>
                <w:p>
                  <w:pPr>
                    <w:pStyle w:val="141"/>
                    <w:rPr>
                      <w:rFonts w:hint="default" w:ascii="Times New Roman" w:hAnsi="Times New Roman" w:eastAsia="等线" w:cs="Times New Roman"/>
                    </w:rPr>
                  </w:pPr>
                </w:p>
              </w:tc>
            </w:tr>
          </w:tbl>
          <w:p>
            <w:pPr>
              <w:pStyle w:val="143"/>
              <w:spacing w:before="156"/>
              <w:rPr>
                <w:rFonts w:hint="default" w:ascii="Times New Roman" w:hAnsi="Times New Roman" w:cs="Times New Roman"/>
              </w:rPr>
            </w:pPr>
            <w:r>
              <w:rPr>
                <w:rFonts w:hint="default" w:ascii="Times New Roman" w:hAnsi="Times New Roman" w:cs="Times New Roman"/>
              </w:rPr>
              <w:t>表</w:t>
            </w:r>
            <w:r>
              <w:rPr>
                <w:rFonts w:hint="eastAsia" w:cs="Times New Roman"/>
                <w:lang w:val="en-US" w:eastAsia="zh-CN"/>
              </w:rPr>
              <w:t>7-6</w:t>
            </w:r>
            <w:r>
              <w:rPr>
                <w:rFonts w:hint="default" w:ascii="Times New Roman" w:hAnsi="Times New Roman" w:cs="Times New Roman"/>
              </w:rPr>
              <w:t xml:space="preserve">   建设项目地表水环境影响评价自查表</w:t>
            </w:r>
          </w:p>
          <w:tbl>
            <w:tblPr>
              <w:tblStyle w:val="30"/>
              <w:tblW w:w="892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39"/>
              <w:gridCol w:w="1743"/>
              <w:gridCol w:w="1319"/>
              <w:gridCol w:w="346"/>
              <w:gridCol w:w="562"/>
              <w:gridCol w:w="453"/>
              <w:gridCol w:w="671"/>
              <w:gridCol w:w="671"/>
              <w:gridCol w:w="184"/>
              <w:gridCol w:w="292"/>
              <w:gridCol w:w="886"/>
              <w:gridCol w:w="54"/>
              <w:gridCol w:w="379"/>
              <w:gridCol w:w="9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6" w:hRule="atLeast"/>
                <w:tblHeader/>
                <w:jc w:val="center"/>
              </w:trPr>
              <w:tc>
                <w:tcPr>
                  <w:tcW w:w="218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1"/>
                    <w:rPr>
                      <w:rFonts w:hint="default" w:ascii="Times New Roman" w:hAnsi="Times New Roman" w:cs="Times New Roman"/>
                    </w:rPr>
                  </w:pPr>
                  <w:r>
                    <w:rPr>
                      <w:rFonts w:hint="default" w:ascii="Times New Roman" w:hAnsi="Times New Roman" w:cs="Times New Roman"/>
                    </w:rPr>
                    <w:t>工作内容</w:t>
                  </w:r>
                </w:p>
              </w:tc>
              <w:tc>
                <w:tcPr>
                  <w:tcW w:w="6746" w:type="dxa"/>
                  <w:gridSpan w:val="12"/>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1"/>
                    <w:rPr>
                      <w:rFonts w:hint="default" w:ascii="Times New Roman" w:hAnsi="Times New Roman" w:cs="Times New Roman"/>
                    </w:rPr>
                  </w:pPr>
                  <w:r>
                    <w:rPr>
                      <w:rFonts w:hint="default" w:ascii="Times New Roman" w:hAnsi="Times New Roman" w:cs="Times New Roman"/>
                    </w:rPr>
                    <w:t>自查项目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439" w:type="dxa"/>
                  <w:vMerge w:val="restart"/>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pStyle w:val="141"/>
                    <w:rPr>
                      <w:rFonts w:hint="default" w:ascii="Times New Roman" w:hAnsi="Times New Roman" w:cs="Times New Roman"/>
                    </w:rPr>
                  </w:pPr>
                  <w:r>
                    <w:rPr>
                      <w:rFonts w:hint="default" w:ascii="Times New Roman" w:hAnsi="Times New Roman" w:cs="Times New Roman"/>
                    </w:rPr>
                    <w:t>影响识别</w:t>
                  </w:r>
                </w:p>
              </w:tc>
              <w:tc>
                <w:tcPr>
                  <w:tcW w:w="17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影响类型</w:t>
                  </w:r>
                </w:p>
              </w:tc>
              <w:tc>
                <w:tcPr>
                  <w:tcW w:w="6746" w:type="dxa"/>
                  <w:gridSpan w:val="12"/>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1"/>
                    <w:rPr>
                      <w:rFonts w:hint="default" w:ascii="Times New Roman" w:hAnsi="Times New Roman" w:cs="Times New Roman"/>
                    </w:rPr>
                  </w:pPr>
                  <w:r>
                    <w:rPr>
                      <w:rFonts w:hint="default" w:ascii="Times New Roman" w:hAnsi="Times New Roman" w:cs="Times New Roman"/>
                    </w:rPr>
                    <w:t xml:space="preserve">水污染影响型 </w:t>
                  </w:r>
                  <w:r>
                    <w:rPr>
                      <w:rFonts w:hint="default" w:ascii="Times New Roman" w:hAnsi="Times New Roman" w:cs="Times New Roman"/>
                    </w:rPr>
                    <w:sym w:font="Wingdings 2" w:char="0052"/>
                  </w:r>
                  <w:r>
                    <w:rPr>
                      <w:rFonts w:hint="default" w:ascii="Times New Roman" w:hAnsi="Times New Roman" w:cs="Times New Roman"/>
                    </w:rPr>
                    <w:t>；水文要素影响型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439" w:type="dxa"/>
                  <w:vMerge w:val="continue"/>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p>
              </w:tc>
              <w:tc>
                <w:tcPr>
                  <w:tcW w:w="17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水环境保护目标</w:t>
                  </w:r>
                </w:p>
              </w:tc>
              <w:tc>
                <w:tcPr>
                  <w:tcW w:w="6746" w:type="dxa"/>
                  <w:gridSpan w:val="12"/>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饮用水水源保护区口；饮用水取水□；涉水的自然保护区 □；重要湿地 □；重点保护与珍稀水生生物的栖息地 □；重要水生生物的自然产卵场及索饵场、越冬场和洄游通道、天然渔场等渔业水体 □；涉水的风景名胜区 □；其他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439" w:type="dxa"/>
                  <w:vMerge w:val="continue"/>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p>
              </w:tc>
              <w:tc>
                <w:tcPr>
                  <w:tcW w:w="17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影响途径</w:t>
                  </w:r>
                </w:p>
              </w:tc>
              <w:tc>
                <w:tcPr>
                  <w:tcW w:w="3351"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水污染影响型</w:t>
                  </w:r>
                </w:p>
              </w:tc>
              <w:tc>
                <w:tcPr>
                  <w:tcW w:w="3395"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水文要素影响型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439" w:type="dxa"/>
                  <w:vMerge w:val="continue"/>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p>
              </w:tc>
              <w:tc>
                <w:tcPr>
                  <w:tcW w:w="17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p>
              </w:tc>
              <w:tc>
                <w:tcPr>
                  <w:tcW w:w="3351"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 xml:space="preserve">直接排放 □；间接排放 □；其他 </w:t>
                  </w:r>
                  <w:r>
                    <w:rPr>
                      <w:rFonts w:hint="default" w:ascii="Times New Roman" w:hAnsi="Times New Roman" w:cs="Times New Roman"/>
                    </w:rPr>
                    <w:sym w:font="Wingdings 2" w:char="0052"/>
                  </w:r>
                  <w:r>
                    <w:rPr>
                      <w:rFonts w:hint="default" w:ascii="Times New Roman" w:hAnsi="Times New Roman" w:cs="Times New Roman"/>
                    </w:rPr>
                    <w:t>，不外排</w:t>
                  </w:r>
                </w:p>
              </w:tc>
              <w:tc>
                <w:tcPr>
                  <w:tcW w:w="3395"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 xml:space="preserve">水温 □；径流 □；水域面积 </w:t>
                  </w:r>
                  <w:r>
                    <w:rPr>
                      <w:rFonts w:hint="default" w:ascii="Times New Roman" w:hAnsi="Times New Roman" w:cs="Times New Roman"/>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439" w:type="dxa"/>
                  <w:vMerge w:val="continue"/>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p>
              </w:tc>
              <w:tc>
                <w:tcPr>
                  <w:tcW w:w="17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影响因子</w:t>
                  </w:r>
                </w:p>
              </w:tc>
              <w:tc>
                <w:tcPr>
                  <w:tcW w:w="3351"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 xml:space="preserve">持久性污染物 □；有毒有害污染物 </w:t>
                  </w:r>
                  <w:r>
                    <w:rPr>
                      <w:rFonts w:hint="default" w:ascii="Times New Roman" w:hAnsi="Times New Roman" w:cs="Times New Roman"/>
                    </w:rPr>
                    <w:sym w:font="Wingdings 2" w:char="0052"/>
                  </w:r>
                  <w:r>
                    <w:rPr>
                      <w:rFonts w:hint="default" w:ascii="Times New Roman" w:hAnsi="Times New Roman" w:cs="Times New Roman"/>
                    </w:rPr>
                    <w:t>；非持久性污染物 □；pH值 □；热污染 □；富营养化 □；其他 □</w:t>
                  </w:r>
                </w:p>
              </w:tc>
              <w:tc>
                <w:tcPr>
                  <w:tcW w:w="3395"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 xml:space="preserve">水温 □；水位（水深） □；流速 □；流量 □；其他 </w:t>
                  </w:r>
                  <w:r>
                    <w:rPr>
                      <w:rFonts w:hint="default" w:ascii="Times New Roman" w:hAnsi="Times New Roman" w:cs="Times New Roman"/>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2182"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1"/>
                    <w:rPr>
                      <w:rFonts w:hint="default" w:ascii="Times New Roman" w:hAnsi="Times New Roman" w:cs="Times New Roman"/>
                    </w:rPr>
                  </w:pPr>
                  <w:r>
                    <w:rPr>
                      <w:rFonts w:hint="default" w:ascii="Times New Roman" w:hAnsi="Times New Roman" w:cs="Times New Roman"/>
                    </w:rPr>
                    <w:t>评价等级</w:t>
                  </w:r>
                </w:p>
              </w:tc>
              <w:tc>
                <w:tcPr>
                  <w:tcW w:w="3351"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1"/>
                    <w:rPr>
                      <w:rFonts w:hint="default" w:ascii="Times New Roman" w:hAnsi="Times New Roman" w:cs="Times New Roman"/>
                    </w:rPr>
                  </w:pPr>
                  <w:r>
                    <w:rPr>
                      <w:rFonts w:hint="default" w:ascii="Times New Roman" w:hAnsi="Times New Roman" w:cs="Times New Roman"/>
                    </w:rPr>
                    <w:t>水污染影响型</w:t>
                  </w:r>
                </w:p>
              </w:tc>
              <w:tc>
                <w:tcPr>
                  <w:tcW w:w="3395"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水文要素影响型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2182"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1"/>
                    <w:rPr>
                      <w:rFonts w:hint="default" w:ascii="Times New Roman" w:hAnsi="Times New Roman" w:cs="Times New Roman"/>
                    </w:rPr>
                  </w:pPr>
                </w:p>
              </w:tc>
              <w:tc>
                <w:tcPr>
                  <w:tcW w:w="3351"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1"/>
                    <w:rPr>
                      <w:rFonts w:hint="default" w:ascii="Times New Roman" w:hAnsi="Times New Roman" w:cs="Times New Roman"/>
                    </w:rPr>
                  </w:pPr>
                  <w:r>
                    <w:rPr>
                      <w:rFonts w:hint="default" w:ascii="Times New Roman" w:hAnsi="Times New Roman" w:cs="Times New Roman"/>
                    </w:rPr>
                    <w:t xml:space="preserve">一级 □；二级 □；三级A □；三级B </w:t>
                  </w:r>
                  <w:r>
                    <w:rPr>
                      <w:rFonts w:hint="default" w:ascii="Times New Roman" w:hAnsi="Times New Roman" w:cs="Times New Roman"/>
                    </w:rPr>
                    <w:sym w:font="Wingdings 2" w:char="0052"/>
                  </w:r>
                </w:p>
              </w:tc>
              <w:tc>
                <w:tcPr>
                  <w:tcW w:w="3395"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一级 □；二级 □；三级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439" w:type="dxa"/>
                  <w:vMerge w:val="restart"/>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pStyle w:val="141"/>
                    <w:rPr>
                      <w:rFonts w:hint="default" w:ascii="Times New Roman" w:hAnsi="Times New Roman" w:cs="Times New Roman"/>
                    </w:rPr>
                  </w:pPr>
                  <w:r>
                    <w:rPr>
                      <w:rFonts w:hint="default" w:ascii="Times New Roman" w:hAnsi="Times New Roman" w:cs="Times New Roman"/>
                    </w:rPr>
                    <w:t>现状调查</w:t>
                  </w:r>
                </w:p>
              </w:tc>
              <w:tc>
                <w:tcPr>
                  <w:tcW w:w="17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区域污染源</w:t>
                  </w:r>
                </w:p>
              </w:tc>
              <w:tc>
                <w:tcPr>
                  <w:tcW w:w="3351"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1"/>
                    <w:rPr>
                      <w:rFonts w:hint="default" w:ascii="Times New Roman" w:hAnsi="Times New Roman" w:cs="Times New Roman"/>
                    </w:rPr>
                  </w:pPr>
                  <w:r>
                    <w:rPr>
                      <w:rFonts w:hint="default" w:ascii="Times New Roman" w:hAnsi="Times New Roman" w:cs="Times New Roman"/>
                    </w:rPr>
                    <w:t>调查项目</w:t>
                  </w:r>
                </w:p>
              </w:tc>
              <w:tc>
                <w:tcPr>
                  <w:tcW w:w="3395"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1"/>
                    <w:rPr>
                      <w:rFonts w:hint="default" w:ascii="Times New Roman" w:hAnsi="Times New Roman" w:cs="Times New Roman"/>
                    </w:rPr>
                  </w:pPr>
                  <w:r>
                    <w:rPr>
                      <w:rFonts w:hint="default" w:ascii="Times New Roman" w:hAnsi="Times New Roman" w:cs="Times New Roman"/>
                    </w:rPr>
                    <w:t>数据来源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4" w:hRule="atLeast"/>
                <w:jc w:val="center"/>
              </w:trPr>
              <w:tc>
                <w:tcPr>
                  <w:tcW w:w="439" w:type="dxa"/>
                  <w:vMerge w:val="continue"/>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p>
              </w:tc>
              <w:tc>
                <w:tcPr>
                  <w:tcW w:w="1743" w:type="dxa"/>
                  <w:vMerge w:val="continue"/>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p>
              </w:tc>
              <w:tc>
                <w:tcPr>
                  <w:tcW w:w="166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 xml:space="preserve">已建 □；在建 □；拟建 </w:t>
                  </w:r>
                  <w:r>
                    <w:rPr>
                      <w:rFonts w:hint="default" w:ascii="Times New Roman" w:hAnsi="Times New Roman" w:cs="Times New Roman"/>
                    </w:rPr>
                    <w:sym w:font="Wingdings 2" w:char="0052"/>
                  </w:r>
                  <w:r>
                    <w:rPr>
                      <w:rFonts w:hint="default" w:ascii="Times New Roman" w:hAnsi="Times New Roman" w:cs="Times New Roman"/>
                    </w:rPr>
                    <w:t>；其他 □</w:t>
                  </w:r>
                </w:p>
              </w:tc>
              <w:tc>
                <w:tcPr>
                  <w:tcW w:w="168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拟替代的污染源 □</w:t>
                  </w:r>
                </w:p>
              </w:tc>
              <w:tc>
                <w:tcPr>
                  <w:tcW w:w="3395"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排污许可证 □；环评 □；环保验收 □；既有实测 □；现场监测 □；入河排放口数据 □；其他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439" w:type="dxa"/>
                  <w:vMerge w:val="continue"/>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p>
              </w:tc>
              <w:tc>
                <w:tcPr>
                  <w:tcW w:w="17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受影响水体水环境质量　</w:t>
                  </w:r>
                </w:p>
              </w:tc>
              <w:tc>
                <w:tcPr>
                  <w:tcW w:w="3351"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1"/>
                    <w:rPr>
                      <w:rFonts w:hint="default" w:ascii="Times New Roman" w:hAnsi="Times New Roman" w:cs="Times New Roman"/>
                    </w:rPr>
                  </w:pPr>
                  <w:r>
                    <w:rPr>
                      <w:rFonts w:hint="default" w:ascii="Times New Roman" w:hAnsi="Times New Roman" w:cs="Times New Roman"/>
                    </w:rPr>
                    <w:t>调查时期</w:t>
                  </w:r>
                </w:p>
              </w:tc>
              <w:tc>
                <w:tcPr>
                  <w:tcW w:w="3395"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1"/>
                    <w:rPr>
                      <w:rFonts w:hint="default" w:ascii="Times New Roman" w:hAnsi="Times New Roman" w:cs="Times New Roman"/>
                    </w:rPr>
                  </w:pPr>
                  <w:r>
                    <w:rPr>
                      <w:rFonts w:hint="default" w:ascii="Times New Roman" w:hAnsi="Times New Roman" w:cs="Times New Roman"/>
                    </w:rPr>
                    <w:t>数据来源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802" w:hRule="atLeast"/>
                <w:jc w:val="center"/>
              </w:trPr>
              <w:tc>
                <w:tcPr>
                  <w:tcW w:w="439" w:type="dxa"/>
                  <w:vMerge w:val="continue"/>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p>
              </w:tc>
              <w:tc>
                <w:tcPr>
                  <w:tcW w:w="17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p>
              </w:tc>
              <w:tc>
                <w:tcPr>
                  <w:tcW w:w="3351"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 xml:space="preserve">丰水期 </w:t>
                  </w:r>
                  <w:r>
                    <w:rPr>
                      <w:rFonts w:hint="default" w:ascii="Times New Roman" w:hAnsi="Times New Roman" w:cs="Times New Roman"/>
                    </w:rPr>
                    <w:sym w:font="Wingdings 2" w:char="00A3"/>
                  </w:r>
                  <w:r>
                    <w:rPr>
                      <w:rFonts w:hint="default" w:ascii="Times New Roman" w:hAnsi="Times New Roman" w:cs="Times New Roman"/>
                    </w:rPr>
                    <w:t>；平水期□；枯水期 □；冰封期 □春季 □；夏季 □；秋季 □；冬季 □</w:t>
                  </w:r>
                </w:p>
              </w:tc>
              <w:tc>
                <w:tcPr>
                  <w:tcW w:w="3395"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1"/>
                    <w:rPr>
                      <w:rFonts w:hint="default" w:ascii="Times New Roman" w:hAnsi="Times New Roman" w:cs="Times New Roman"/>
                    </w:rPr>
                  </w:pPr>
                  <w:r>
                    <w:rPr>
                      <w:rFonts w:hint="default" w:ascii="Times New Roman" w:hAnsi="Times New Roman" w:cs="Times New Roman"/>
                    </w:rPr>
                    <w:t>生态环境保护主管部门 □；补充监测 □；其他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439" w:type="dxa"/>
                  <w:vMerge w:val="continue"/>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p>
              </w:tc>
              <w:tc>
                <w:tcPr>
                  <w:tcW w:w="17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区域水资源开发利用状况</w:t>
                  </w:r>
                </w:p>
              </w:tc>
              <w:tc>
                <w:tcPr>
                  <w:tcW w:w="6746" w:type="dxa"/>
                  <w:gridSpan w:val="12"/>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1"/>
                    <w:rPr>
                      <w:rFonts w:hint="default" w:ascii="Times New Roman" w:hAnsi="Times New Roman" w:cs="Times New Roman"/>
                    </w:rPr>
                  </w:pPr>
                  <w:r>
                    <w:rPr>
                      <w:rFonts w:hint="default" w:ascii="Times New Roman" w:hAnsi="Times New Roman" w:cs="Times New Roman"/>
                    </w:rPr>
                    <w:t xml:space="preserve">未开发 □；开发量40%以下 □；开发量40%以上 </w:t>
                  </w:r>
                  <w:r>
                    <w:rPr>
                      <w:rFonts w:hint="default" w:ascii="Times New Roman" w:hAnsi="Times New Roman" w:cs="Times New Roman"/>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439" w:type="dxa"/>
                  <w:vMerge w:val="continue"/>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p>
              </w:tc>
              <w:tc>
                <w:tcPr>
                  <w:tcW w:w="17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水文情势调查　</w:t>
                  </w:r>
                </w:p>
              </w:tc>
              <w:tc>
                <w:tcPr>
                  <w:tcW w:w="3351"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1"/>
                    <w:rPr>
                      <w:rFonts w:hint="default" w:ascii="Times New Roman" w:hAnsi="Times New Roman" w:cs="Times New Roman"/>
                    </w:rPr>
                  </w:pPr>
                  <w:r>
                    <w:rPr>
                      <w:rFonts w:hint="default" w:ascii="Times New Roman" w:hAnsi="Times New Roman" w:cs="Times New Roman"/>
                    </w:rPr>
                    <w:t>调查时期</w:t>
                  </w:r>
                </w:p>
              </w:tc>
              <w:tc>
                <w:tcPr>
                  <w:tcW w:w="3395"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1"/>
                    <w:rPr>
                      <w:rFonts w:hint="default" w:ascii="Times New Roman" w:hAnsi="Times New Roman" w:cs="Times New Roman"/>
                    </w:rPr>
                  </w:pPr>
                  <w:r>
                    <w:rPr>
                      <w:rFonts w:hint="default" w:ascii="Times New Roman" w:hAnsi="Times New Roman" w:cs="Times New Roman"/>
                    </w:rPr>
                    <w:t>数据来源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2" w:hRule="atLeast"/>
                <w:jc w:val="center"/>
              </w:trPr>
              <w:tc>
                <w:tcPr>
                  <w:tcW w:w="439" w:type="dxa"/>
                  <w:vMerge w:val="continue"/>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p>
              </w:tc>
              <w:tc>
                <w:tcPr>
                  <w:tcW w:w="17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p>
              </w:tc>
              <w:tc>
                <w:tcPr>
                  <w:tcW w:w="3351"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 xml:space="preserve">丰水期 □；平水期 </w:t>
                  </w:r>
                  <w:r>
                    <w:rPr>
                      <w:rFonts w:hint="default" w:ascii="Times New Roman" w:hAnsi="Times New Roman" w:cs="Times New Roman"/>
                    </w:rPr>
                    <w:sym w:font="Wingdings 2" w:char="00A3"/>
                  </w:r>
                  <w:r>
                    <w:rPr>
                      <w:rFonts w:hint="default" w:ascii="Times New Roman" w:hAnsi="Times New Roman" w:cs="Times New Roman"/>
                    </w:rPr>
                    <w:t xml:space="preserve">；枯水期 </w:t>
                  </w:r>
                  <w:r>
                    <w:rPr>
                      <w:rFonts w:hint="default" w:ascii="Times New Roman" w:hAnsi="Times New Roman" w:cs="Times New Roman"/>
                    </w:rPr>
                    <w:sym w:font="Wingdings 2" w:char="0052"/>
                  </w:r>
                  <w:r>
                    <w:rPr>
                      <w:rFonts w:hint="default" w:ascii="Times New Roman" w:hAnsi="Times New Roman" w:cs="Times New Roman"/>
                    </w:rPr>
                    <w:t>；冰封期 □春季 □；夏季 □；秋季 □；冬季 □</w:t>
                  </w:r>
                </w:p>
              </w:tc>
              <w:tc>
                <w:tcPr>
                  <w:tcW w:w="3395"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1"/>
                    <w:rPr>
                      <w:rFonts w:hint="default" w:ascii="Times New Roman" w:hAnsi="Times New Roman" w:cs="Times New Roman"/>
                    </w:rPr>
                  </w:pPr>
                  <w:r>
                    <w:rPr>
                      <w:rFonts w:hint="default" w:ascii="Times New Roman" w:hAnsi="Times New Roman" w:cs="Times New Roman"/>
                    </w:rPr>
                    <w:t>水行政主管部门 □；补充监测 □；其他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67" w:hRule="atLeast"/>
                <w:jc w:val="center"/>
              </w:trPr>
              <w:tc>
                <w:tcPr>
                  <w:tcW w:w="439" w:type="dxa"/>
                  <w:vMerge w:val="continue"/>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p>
              </w:tc>
              <w:tc>
                <w:tcPr>
                  <w:tcW w:w="17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补充监测　</w:t>
                  </w:r>
                </w:p>
              </w:tc>
              <w:tc>
                <w:tcPr>
                  <w:tcW w:w="3351"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监测时期</w:t>
                  </w:r>
                </w:p>
              </w:tc>
              <w:tc>
                <w:tcPr>
                  <w:tcW w:w="2087"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1"/>
                    <w:rPr>
                      <w:rFonts w:hint="default" w:ascii="Times New Roman" w:hAnsi="Times New Roman" w:cs="Times New Roman"/>
                    </w:rPr>
                  </w:pPr>
                  <w:r>
                    <w:rPr>
                      <w:rFonts w:hint="default" w:ascii="Times New Roman" w:hAnsi="Times New Roman" w:cs="Times New Roman"/>
                    </w:rPr>
                    <w:t>监测因子</w:t>
                  </w:r>
                </w:p>
              </w:tc>
              <w:tc>
                <w:tcPr>
                  <w:tcW w:w="130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1"/>
                    <w:rPr>
                      <w:rFonts w:hint="default" w:ascii="Times New Roman" w:hAnsi="Times New Roman" w:cs="Times New Roman"/>
                    </w:rPr>
                  </w:pPr>
                  <w:r>
                    <w:rPr>
                      <w:rFonts w:hint="default" w:ascii="Times New Roman" w:hAnsi="Times New Roman" w:cs="Times New Roman"/>
                    </w:rPr>
                    <w:t>监测断面或点位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2" w:hRule="atLeast"/>
                <w:jc w:val="center"/>
              </w:trPr>
              <w:tc>
                <w:tcPr>
                  <w:tcW w:w="439" w:type="dxa"/>
                  <w:vMerge w:val="continue"/>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p>
              </w:tc>
              <w:tc>
                <w:tcPr>
                  <w:tcW w:w="17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p>
              </w:tc>
              <w:tc>
                <w:tcPr>
                  <w:tcW w:w="3351"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丰水期 □；平水期 □；枯水期□；冰封期 □春季 □；夏季 □；秋季 □；冬季 □</w:t>
                  </w:r>
                </w:p>
              </w:tc>
              <w:tc>
                <w:tcPr>
                  <w:tcW w:w="2087"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1"/>
                    <w:rPr>
                      <w:rFonts w:hint="default" w:ascii="Times New Roman" w:hAnsi="Times New Roman" w:cs="Times New Roman"/>
                    </w:rPr>
                  </w:pPr>
                  <w:r>
                    <w:rPr>
                      <w:rFonts w:hint="default" w:ascii="Times New Roman" w:hAnsi="Times New Roman" w:cs="Times New Roman"/>
                    </w:rPr>
                    <w:t>（   ）</w:t>
                  </w:r>
                </w:p>
              </w:tc>
              <w:tc>
                <w:tcPr>
                  <w:tcW w:w="130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1"/>
                    <w:rPr>
                      <w:rFonts w:hint="default" w:ascii="Times New Roman" w:hAnsi="Times New Roman" w:cs="Times New Roman"/>
                    </w:rPr>
                  </w:pPr>
                  <w:r>
                    <w:rPr>
                      <w:rFonts w:hint="default" w:ascii="Times New Roman" w:hAnsi="Times New Roman" w:cs="Times New Roman"/>
                    </w:rPr>
                    <w:t>监测断面或点位个数（   ）个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439" w:type="dxa"/>
                  <w:vMerge w:val="restart"/>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pStyle w:val="141"/>
                    <w:rPr>
                      <w:rFonts w:hint="default" w:ascii="Times New Roman" w:hAnsi="Times New Roman" w:cs="Times New Roman"/>
                    </w:rPr>
                  </w:pPr>
                  <w:r>
                    <w:rPr>
                      <w:rFonts w:hint="default" w:ascii="Times New Roman" w:hAnsi="Times New Roman" w:cs="Times New Roman"/>
                    </w:rPr>
                    <w:t>现状评价</w:t>
                  </w:r>
                </w:p>
              </w:tc>
              <w:tc>
                <w:tcPr>
                  <w:tcW w:w="17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评价范围</w:t>
                  </w:r>
                </w:p>
              </w:tc>
              <w:tc>
                <w:tcPr>
                  <w:tcW w:w="6746" w:type="dxa"/>
                  <w:gridSpan w:val="12"/>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1"/>
                    <w:rPr>
                      <w:rFonts w:hint="default" w:ascii="Times New Roman" w:hAnsi="Times New Roman" w:cs="Times New Roman"/>
                    </w:rPr>
                  </w:pPr>
                  <w:r>
                    <w:rPr>
                      <w:rFonts w:hint="default" w:ascii="Times New Roman" w:hAnsi="Times New Roman" w:cs="Times New Roman"/>
                    </w:rPr>
                    <w:t>河流：长度（  ）km；湖库、河口及近岸海域：面积（   ）km</w:t>
                  </w:r>
                  <w:r>
                    <w:rPr>
                      <w:rFonts w:hint="default" w:ascii="Times New Roman" w:hAnsi="Times New Roman" w:cs="Times New Roman"/>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439" w:type="dxa"/>
                  <w:vMerge w:val="continue"/>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p>
              </w:tc>
              <w:tc>
                <w:tcPr>
                  <w:tcW w:w="17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评价因子</w:t>
                  </w:r>
                </w:p>
              </w:tc>
              <w:tc>
                <w:tcPr>
                  <w:tcW w:w="6746" w:type="dxa"/>
                  <w:gridSpan w:val="12"/>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1"/>
                    <w:rPr>
                      <w:rFonts w:hint="default" w:ascii="Times New Roman" w:hAnsi="Times New Roman" w:cs="Times New Roman"/>
                    </w:rPr>
                  </w:pPr>
                  <w:r>
                    <w:rPr>
                      <w:rFonts w:hint="default" w:ascii="Times New Roman" w:hAnsi="Times New Roman" w:cs="Times New Roma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439" w:type="dxa"/>
                  <w:vMerge w:val="continue"/>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p>
              </w:tc>
              <w:tc>
                <w:tcPr>
                  <w:tcW w:w="17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评价标准</w:t>
                  </w:r>
                </w:p>
              </w:tc>
              <w:tc>
                <w:tcPr>
                  <w:tcW w:w="6746" w:type="dxa"/>
                  <w:gridSpan w:val="12"/>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1"/>
                    <w:rPr>
                      <w:rFonts w:hint="default" w:ascii="Times New Roman" w:hAnsi="Times New Roman" w:cs="Times New Roman"/>
                    </w:rPr>
                  </w:pPr>
                  <w:r>
                    <w:rPr>
                      <w:rFonts w:hint="default" w:ascii="Times New Roman" w:hAnsi="Times New Roman" w:cs="Times New Roman"/>
                    </w:rPr>
                    <w:t xml:space="preserve">河流、湖库、河口：Ⅰ类 □；Ⅱ类 □；Ⅲ类 </w:t>
                  </w:r>
                  <w:r>
                    <w:rPr>
                      <w:rFonts w:hint="default" w:ascii="Times New Roman" w:hAnsi="Times New Roman" w:cs="Times New Roman"/>
                    </w:rPr>
                    <w:sym w:font="Wingdings 2" w:char="0052"/>
                  </w:r>
                  <w:r>
                    <w:rPr>
                      <w:rFonts w:hint="default" w:ascii="Times New Roman" w:hAnsi="Times New Roman" w:cs="Times New Roman"/>
                    </w:rPr>
                    <w:t>；Ⅳ类 □；Ⅴ类 □</w:t>
                  </w:r>
                </w:p>
                <w:p>
                  <w:pPr>
                    <w:pStyle w:val="141"/>
                    <w:rPr>
                      <w:rFonts w:hint="default" w:ascii="Times New Roman" w:hAnsi="Times New Roman" w:cs="Times New Roman"/>
                    </w:rPr>
                  </w:pPr>
                  <w:r>
                    <w:rPr>
                      <w:rFonts w:hint="default" w:ascii="Times New Roman" w:hAnsi="Times New Roman" w:cs="Times New Roman"/>
                    </w:rPr>
                    <w:t xml:space="preserve">近岸海域：第一类 </w:t>
                  </w:r>
                  <w:r>
                    <w:rPr>
                      <w:rFonts w:hint="default" w:ascii="Times New Roman" w:hAnsi="Times New Roman" w:cs="Times New Roman"/>
                    </w:rPr>
                    <w:sym w:font="Wingdings 2" w:char="00A3"/>
                  </w:r>
                  <w:r>
                    <w:rPr>
                      <w:rFonts w:hint="default" w:ascii="Times New Roman" w:hAnsi="Times New Roman" w:cs="Times New Roman"/>
                    </w:rPr>
                    <w:t>；第二类 □；第三类 □；第四类 □</w:t>
                  </w:r>
                </w:p>
                <w:p>
                  <w:pPr>
                    <w:pStyle w:val="141"/>
                    <w:rPr>
                      <w:rFonts w:hint="default" w:ascii="Times New Roman" w:hAnsi="Times New Roman" w:cs="Times New Roman"/>
                    </w:rPr>
                  </w:pPr>
                  <w:r>
                    <w:rPr>
                      <w:rFonts w:hint="default" w:ascii="Times New Roman" w:hAnsi="Times New Roman" w:cs="Times New Roman"/>
                    </w:rPr>
                    <w:t>规划年评价标准（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439" w:type="dxa"/>
                  <w:vMerge w:val="continue"/>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p>
              </w:tc>
              <w:tc>
                <w:tcPr>
                  <w:tcW w:w="17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评价时期</w:t>
                  </w:r>
                </w:p>
              </w:tc>
              <w:tc>
                <w:tcPr>
                  <w:tcW w:w="6746" w:type="dxa"/>
                  <w:gridSpan w:val="12"/>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 xml:space="preserve">丰水期 □；平水期 □；枯水期 </w:t>
                  </w:r>
                  <w:r>
                    <w:rPr>
                      <w:rFonts w:hint="default" w:ascii="Times New Roman" w:hAnsi="Times New Roman" w:cs="Times New Roman"/>
                    </w:rPr>
                    <w:sym w:font="Wingdings 2" w:char="0052"/>
                  </w:r>
                  <w:r>
                    <w:rPr>
                      <w:rFonts w:hint="default" w:ascii="Times New Roman" w:hAnsi="Times New Roman" w:cs="Times New Roman"/>
                    </w:rPr>
                    <w:t>；冰封期 □</w:t>
                  </w:r>
                  <w:r>
                    <w:rPr>
                      <w:rFonts w:hint="default" w:ascii="Times New Roman" w:hAnsi="Times New Roman" w:cs="Times New Roman"/>
                    </w:rPr>
                    <w:br w:type="textWrapping"/>
                  </w:r>
                  <w:r>
                    <w:rPr>
                      <w:rFonts w:hint="default" w:ascii="Times New Roman" w:hAnsi="Times New Roman" w:cs="Times New Roman"/>
                    </w:rPr>
                    <w:t>春季 □；夏季 □；秋季 □；冬季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04" w:hRule="atLeast"/>
                <w:jc w:val="center"/>
              </w:trPr>
              <w:tc>
                <w:tcPr>
                  <w:tcW w:w="439" w:type="dxa"/>
                  <w:vMerge w:val="continue"/>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p>
              </w:tc>
              <w:tc>
                <w:tcPr>
                  <w:tcW w:w="17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评价结论</w:t>
                  </w:r>
                </w:p>
              </w:tc>
              <w:tc>
                <w:tcPr>
                  <w:tcW w:w="5817" w:type="dxa"/>
                  <w:gridSpan w:val="11"/>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水环境功能区或水功能区、近岸海域环境功能区水质达标状况 □：达标 □；不达标 □水环境控制单元或断面水质达标状况 □：达标 □；不达标 □水环境保护目标质量状况 □：达标 □；不达标 □对照断面、控制断面等代表性断面的水质状况 □：达标 □；不达标 □</w:t>
                  </w:r>
                </w:p>
                <w:p>
                  <w:pPr>
                    <w:pStyle w:val="141"/>
                    <w:rPr>
                      <w:rFonts w:hint="default" w:ascii="Times New Roman" w:hAnsi="Times New Roman" w:cs="Times New Roman"/>
                    </w:rPr>
                  </w:pPr>
                  <w:r>
                    <w:rPr>
                      <w:rFonts w:hint="default" w:ascii="Times New Roman" w:hAnsi="Times New Roman" w:cs="Times New Roman"/>
                    </w:rPr>
                    <w:t>底泥污染评价 □水资源与开发利用程度及其水文情势评价 □水环境质量回顾评价 □</w:t>
                  </w:r>
                  <w:r>
                    <w:rPr>
                      <w:rFonts w:hint="default" w:ascii="Times New Roman" w:hAnsi="Times New Roman" w:cs="Times New Roman"/>
                    </w:rPr>
                    <w:br w:type="textWrapping"/>
                  </w:r>
                  <w:r>
                    <w:rPr>
                      <w:rFonts w:hint="default" w:ascii="Times New Roman" w:hAnsi="Times New Roman" w:cs="Times New Roman"/>
                    </w:rPr>
                    <w:t>流域（区域）水资源（包括水能资源）与开发利用总体状况、生态流量管理要求与现状满足程度、建设项目占用水域空间的水流状况与河湖演变状况 □</w:t>
                  </w:r>
                </w:p>
              </w:tc>
              <w:tc>
                <w:tcPr>
                  <w:tcW w:w="92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 xml:space="preserve">达标区 </w:t>
                  </w:r>
                  <w:r>
                    <w:rPr>
                      <w:rFonts w:hint="default" w:ascii="Times New Roman" w:hAnsi="Times New Roman" w:cs="Times New Roman"/>
                    </w:rPr>
                    <w:sym w:font="Wingdings 2" w:char="0052"/>
                  </w:r>
                </w:p>
                <w:p>
                  <w:pPr>
                    <w:pStyle w:val="141"/>
                    <w:rPr>
                      <w:rFonts w:hint="default" w:ascii="Times New Roman" w:hAnsi="Times New Roman" w:cs="Times New Roman"/>
                    </w:rPr>
                  </w:pPr>
                  <w:r>
                    <w:rPr>
                      <w:rFonts w:hint="default" w:ascii="Times New Roman" w:hAnsi="Times New Roman" w:cs="Times New Roman"/>
                    </w:rPr>
                    <w:t>不达标区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439" w:type="dxa"/>
                  <w:vMerge w:val="restart"/>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pStyle w:val="141"/>
                    <w:rPr>
                      <w:rFonts w:hint="default" w:ascii="Times New Roman" w:hAnsi="Times New Roman" w:cs="Times New Roman"/>
                    </w:rPr>
                  </w:pPr>
                  <w:r>
                    <w:rPr>
                      <w:rFonts w:hint="default" w:ascii="Times New Roman" w:hAnsi="Times New Roman" w:cs="Times New Roman"/>
                    </w:rPr>
                    <w:t>影响预测</w:t>
                  </w:r>
                </w:p>
              </w:tc>
              <w:tc>
                <w:tcPr>
                  <w:tcW w:w="17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预测范围</w:t>
                  </w:r>
                </w:p>
              </w:tc>
              <w:tc>
                <w:tcPr>
                  <w:tcW w:w="6746" w:type="dxa"/>
                  <w:gridSpan w:val="12"/>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1"/>
                    <w:rPr>
                      <w:rFonts w:hint="default" w:ascii="Times New Roman" w:hAnsi="Times New Roman" w:cs="Times New Roman"/>
                    </w:rPr>
                  </w:pPr>
                  <w:r>
                    <w:rPr>
                      <w:rFonts w:hint="default" w:ascii="Times New Roman" w:hAnsi="Times New Roman" w:cs="Times New Roman"/>
                    </w:rPr>
                    <w:t>河流：长度（  ）km；湖库、河口及近岸海域：面积（   ）km</w:t>
                  </w:r>
                  <w:r>
                    <w:rPr>
                      <w:rFonts w:hint="default" w:ascii="Times New Roman" w:hAnsi="Times New Roman" w:cs="Times New Roman"/>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439" w:type="dxa"/>
                  <w:vMerge w:val="continue"/>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p>
              </w:tc>
              <w:tc>
                <w:tcPr>
                  <w:tcW w:w="17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预测因子</w:t>
                  </w:r>
                </w:p>
              </w:tc>
              <w:tc>
                <w:tcPr>
                  <w:tcW w:w="6746" w:type="dxa"/>
                  <w:gridSpan w:val="12"/>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1"/>
                    <w:rPr>
                      <w:rFonts w:hint="default" w:ascii="Times New Roman" w:hAnsi="Times New Roman" w:cs="Times New Roman"/>
                    </w:rPr>
                  </w:pPr>
                  <w:r>
                    <w:rPr>
                      <w:rFonts w:hint="default" w:ascii="Times New Roman" w:hAnsi="Times New Roman" w:cs="Times New Roman"/>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439" w:type="dxa"/>
                  <w:vMerge w:val="continue"/>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p>
              </w:tc>
              <w:tc>
                <w:tcPr>
                  <w:tcW w:w="17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预测时期</w:t>
                  </w:r>
                </w:p>
              </w:tc>
              <w:tc>
                <w:tcPr>
                  <w:tcW w:w="6746" w:type="dxa"/>
                  <w:gridSpan w:val="12"/>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 xml:space="preserve">丰水期 □；平水期 □；枯水期 </w:t>
                  </w:r>
                  <w:r>
                    <w:rPr>
                      <w:rFonts w:hint="default" w:ascii="Times New Roman" w:hAnsi="Times New Roman" w:cs="Times New Roman"/>
                    </w:rPr>
                    <w:sym w:font="Wingdings 2" w:char="00A3"/>
                  </w:r>
                  <w:r>
                    <w:rPr>
                      <w:rFonts w:hint="default" w:ascii="Times New Roman" w:hAnsi="Times New Roman" w:cs="Times New Roman"/>
                    </w:rPr>
                    <w:t>；冰封期 □</w:t>
                  </w:r>
                  <w:r>
                    <w:rPr>
                      <w:rFonts w:hint="default" w:ascii="Times New Roman" w:hAnsi="Times New Roman" w:cs="Times New Roman"/>
                    </w:rPr>
                    <w:br w:type="textWrapping"/>
                  </w:r>
                  <w:r>
                    <w:rPr>
                      <w:rFonts w:hint="default" w:ascii="Times New Roman" w:hAnsi="Times New Roman" w:cs="Times New Roman"/>
                    </w:rPr>
                    <w:t>春季 □；夏季 □；秋季 □；冬季 □</w:t>
                  </w:r>
                  <w:r>
                    <w:rPr>
                      <w:rFonts w:hint="default" w:ascii="Times New Roman" w:hAnsi="Times New Roman" w:cs="Times New Roman"/>
                    </w:rPr>
                    <w:br w:type="textWrapping"/>
                  </w:r>
                  <w:r>
                    <w:rPr>
                      <w:rFonts w:hint="default" w:ascii="Times New Roman" w:hAnsi="Times New Roman" w:cs="Times New Roman"/>
                    </w:rPr>
                    <w:t>设计水文条件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439" w:type="dxa"/>
                  <w:vMerge w:val="continue"/>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p>
              </w:tc>
              <w:tc>
                <w:tcPr>
                  <w:tcW w:w="17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预测情景</w:t>
                  </w:r>
                </w:p>
              </w:tc>
              <w:tc>
                <w:tcPr>
                  <w:tcW w:w="6746" w:type="dxa"/>
                  <w:gridSpan w:val="12"/>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 xml:space="preserve">建设期 □；生产运行期 </w:t>
                  </w:r>
                  <w:r>
                    <w:rPr>
                      <w:rFonts w:hint="default" w:ascii="Times New Roman" w:hAnsi="Times New Roman" w:cs="Times New Roman"/>
                    </w:rPr>
                    <w:sym w:font="Wingdings 2" w:char="0052"/>
                  </w:r>
                  <w:r>
                    <w:rPr>
                      <w:rFonts w:hint="default" w:ascii="Times New Roman" w:hAnsi="Times New Roman" w:cs="Times New Roman"/>
                    </w:rPr>
                    <w:t>；服务期满后 □</w:t>
                  </w:r>
                  <w:r>
                    <w:rPr>
                      <w:rFonts w:hint="default" w:ascii="Times New Roman" w:hAnsi="Times New Roman" w:cs="Times New Roman"/>
                    </w:rPr>
                    <w:br w:type="textWrapping"/>
                  </w:r>
                  <w:r>
                    <w:rPr>
                      <w:rFonts w:hint="default" w:ascii="Times New Roman" w:hAnsi="Times New Roman" w:cs="Times New Roman"/>
                    </w:rPr>
                    <w:t xml:space="preserve">正常工况 </w:t>
                  </w:r>
                  <w:r>
                    <w:rPr>
                      <w:rFonts w:hint="default" w:ascii="Times New Roman" w:hAnsi="Times New Roman" w:cs="Times New Roman"/>
                    </w:rPr>
                    <w:sym w:font="Wingdings 2" w:char="00A3"/>
                  </w:r>
                  <w:r>
                    <w:rPr>
                      <w:rFonts w:hint="default" w:ascii="Times New Roman" w:hAnsi="Times New Roman" w:cs="Times New Roman"/>
                    </w:rPr>
                    <w:t xml:space="preserve">；非正常工况 </w:t>
                  </w:r>
                  <w:r>
                    <w:rPr>
                      <w:rFonts w:hint="default" w:ascii="Times New Roman" w:hAnsi="Times New Roman" w:cs="Times New Roman"/>
                    </w:rPr>
                    <w:sym w:font="Wingdings 2" w:char="00A3"/>
                  </w:r>
                  <w:r>
                    <w:rPr>
                      <w:rFonts w:hint="default" w:ascii="Times New Roman" w:hAnsi="Times New Roman" w:cs="Times New Roman"/>
                    </w:rPr>
                    <w:br w:type="textWrapping"/>
                  </w:r>
                  <w:r>
                    <w:rPr>
                      <w:rFonts w:hint="default" w:ascii="Times New Roman" w:hAnsi="Times New Roman" w:cs="Times New Roman"/>
                    </w:rPr>
                    <w:t xml:space="preserve">污染控制和减缓措施方案 </w:t>
                  </w:r>
                  <w:r>
                    <w:rPr>
                      <w:rFonts w:hint="default" w:ascii="Times New Roman" w:hAnsi="Times New Roman" w:cs="Times New Roman"/>
                    </w:rPr>
                    <w:sym w:font="Wingdings 2" w:char="00A3"/>
                  </w:r>
                  <w:r>
                    <w:rPr>
                      <w:rFonts w:hint="default" w:ascii="Times New Roman" w:hAnsi="Times New Roman" w:cs="Times New Roman"/>
                    </w:rPr>
                    <w:br w:type="textWrapping"/>
                  </w:r>
                  <w:r>
                    <w:rPr>
                      <w:rFonts w:hint="default" w:ascii="Times New Roman" w:hAnsi="Times New Roman" w:cs="Times New Roman"/>
                    </w:rPr>
                    <w:t xml:space="preserve">区（流）域环境质量改善目标要求情景 </w:t>
                  </w:r>
                  <w:r>
                    <w:rPr>
                      <w:rFonts w:hint="default" w:ascii="Times New Roman" w:hAnsi="Times New Roman" w:cs="Times New Roman"/>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439" w:type="dxa"/>
                  <w:vMerge w:val="continue"/>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p>
              </w:tc>
              <w:tc>
                <w:tcPr>
                  <w:tcW w:w="17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预测方法</w:t>
                  </w:r>
                </w:p>
              </w:tc>
              <w:tc>
                <w:tcPr>
                  <w:tcW w:w="6746" w:type="dxa"/>
                  <w:gridSpan w:val="12"/>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1"/>
                    <w:rPr>
                      <w:rFonts w:hint="default" w:ascii="Times New Roman" w:hAnsi="Times New Roman" w:cs="Times New Roman"/>
                    </w:rPr>
                  </w:pPr>
                  <w:r>
                    <w:rPr>
                      <w:rFonts w:hint="default" w:ascii="Times New Roman" w:hAnsi="Times New Roman" w:cs="Times New Roman"/>
                    </w:rPr>
                    <w:t xml:space="preserve">数值解 □：解析解 □；其他 </w:t>
                  </w:r>
                  <w:r>
                    <w:rPr>
                      <w:rFonts w:hint="default" w:ascii="Times New Roman" w:hAnsi="Times New Roman" w:cs="Times New Roman"/>
                    </w:rPr>
                    <w:sym w:font="Wingdings 2" w:char="00A3"/>
                  </w:r>
                </w:p>
                <w:p>
                  <w:pPr>
                    <w:pStyle w:val="141"/>
                    <w:rPr>
                      <w:rFonts w:hint="default" w:ascii="Times New Roman" w:hAnsi="Times New Roman" w:cs="Times New Roman"/>
                    </w:rPr>
                  </w:pPr>
                  <w:r>
                    <w:rPr>
                      <w:rFonts w:hint="default" w:ascii="Times New Roman" w:hAnsi="Times New Roman" w:cs="Times New Roman"/>
                    </w:rPr>
                    <w:t xml:space="preserve">导则推荐模式 □：其他 </w:t>
                  </w:r>
                  <w:r>
                    <w:rPr>
                      <w:rFonts w:hint="default" w:ascii="Times New Roman" w:hAnsi="Times New Roman" w:cs="Times New Roman"/>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4" w:hRule="atLeast"/>
                <w:jc w:val="center"/>
              </w:trPr>
              <w:tc>
                <w:tcPr>
                  <w:tcW w:w="439" w:type="dxa"/>
                  <w:vMerge w:val="restart"/>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pStyle w:val="141"/>
                    <w:rPr>
                      <w:rFonts w:hint="default" w:ascii="Times New Roman" w:hAnsi="Times New Roman" w:cs="Times New Roman"/>
                    </w:rPr>
                  </w:pPr>
                  <w:r>
                    <w:rPr>
                      <w:rFonts w:hint="default" w:ascii="Times New Roman" w:hAnsi="Times New Roman" w:cs="Times New Roman"/>
                    </w:rPr>
                    <w:t>影响评价</w:t>
                  </w:r>
                </w:p>
              </w:tc>
              <w:tc>
                <w:tcPr>
                  <w:tcW w:w="17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水污染控制和水环境影响减缓措施有效性评价</w:t>
                  </w:r>
                </w:p>
              </w:tc>
              <w:tc>
                <w:tcPr>
                  <w:tcW w:w="6746" w:type="dxa"/>
                  <w:gridSpan w:val="12"/>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1"/>
                    <w:rPr>
                      <w:rFonts w:hint="default" w:ascii="Times New Roman" w:hAnsi="Times New Roman" w:cs="Times New Roman"/>
                    </w:rPr>
                  </w:pPr>
                  <w:r>
                    <w:rPr>
                      <w:rFonts w:hint="default" w:ascii="Times New Roman" w:hAnsi="Times New Roman" w:cs="Times New Roman"/>
                    </w:rPr>
                    <w:t xml:space="preserve">区（流）域水环境质量改善目标 </w:t>
                  </w:r>
                  <w:r>
                    <w:rPr>
                      <w:rFonts w:hint="default" w:ascii="Times New Roman" w:hAnsi="Times New Roman" w:cs="Times New Roman"/>
                    </w:rPr>
                    <w:sym w:font="Wingdings 2" w:char="0052"/>
                  </w:r>
                  <w:r>
                    <w:rPr>
                      <w:rFonts w:hint="default" w:ascii="Times New Roman" w:hAnsi="Times New Roman" w:cs="Times New Roman"/>
                    </w:rPr>
                    <w:t>；替代削减源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71" w:hRule="atLeast"/>
                <w:jc w:val="center"/>
              </w:trPr>
              <w:tc>
                <w:tcPr>
                  <w:tcW w:w="439" w:type="dxa"/>
                  <w:vMerge w:val="continue"/>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p>
              </w:tc>
              <w:tc>
                <w:tcPr>
                  <w:tcW w:w="17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水环境影响评价</w:t>
                  </w:r>
                </w:p>
              </w:tc>
              <w:tc>
                <w:tcPr>
                  <w:tcW w:w="6746" w:type="dxa"/>
                  <w:gridSpan w:val="12"/>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 xml:space="preserve">排放口混合区外满足水环境管理要求 </w:t>
                  </w:r>
                  <w:r>
                    <w:rPr>
                      <w:rFonts w:hint="default" w:ascii="Times New Roman" w:hAnsi="Times New Roman" w:cs="Times New Roman"/>
                    </w:rPr>
                    <w:sym w:font="Wingdings 2" w:char="0052"/>
                  </w:r>
                  <w:r>
                    <w:rPr>
                      <w:rFonts w:hint="default" w:ascii="Times New Roman" w:hAnsi="Times New Roman" w:cs="Times New Roman"/>
                    </w:rPr>
                    <w:br w:type="textWrapping"/>
                  </w:r>
                  <w:r>
                    <w:rPr>
                      <w:rFonts w:hint="default" w:ascii="Times New Roman" w:hAnsi="Times New Roman" w:cs="Times New Roman"/>
                    </w:rPr>
                    <w:t>水环境功能区或水功能区、近岸海域环境功能区水质达标 □</w:t>
                  </w:r>
                  <w:r>
                    <w:rPr>
                      <w:rFonts w:hint="default" w:ascii="Times New Roman" w:hAnsi="Times New Roman" w:cs="Times New Roman"/>
                    </w:rPr>
                    <w:br w:type="textWrapping"/>
                  </w:r>
                  <w:r>
                    <w:rPr>
                      <w:rFonts w:hint="default" w:ascii="Times New Roman" w:hAnsi="Times New Roman" w:cs="Times New Roman"/>
                    </w:rPr>
                    <w:t xml:space="preserve">满足水环境保护目标水域水环境质量要求 </w:t>
                  </w:r>
                  <w:r>
                    <w:rPr>
                      <w:rFonts w:hint="default" w:ascii="Times New Roman" w:hAnsi="Times New Roman" w:cs="Times New Roman"/>
                    </w:rPr>
                    <w:sym w:font="Wingdings 2" w:char="0052"/>
                  </w:r>
                  <w:r>
                    <w:rPr>
                      <w:rFonts w:hint="default" w:ascii="Times New Roman" w:hAnsi="Times New Roman" w:cs="Times New Roman"/>
                    </w:rPr>
                    <w:br w:type="textWrapping"/>
                  </w:r>
                  <w:r>
                    <w:rPr>
                      <w:rFonts w:hint="default" w:ascii="Times New Roman" w:hAnsi="Times New Roman" w:cs="Times New Roman"/>
                    </w:rPr>
                    <w:t>水环境控制单元或断面水质达标 □</w:t>
                  </w:r>
                  <w:r>
                    <w:rPr>
                      <w:rFonts w:hint="default" w:ascii="Times New Roman" w:hAnsi="Times New Roman" w:cs="Times New Roman"/>
                    </w:rPr>
                    <w:br w:type="textWrapping"/>
                  </w:r>
                  <w:r>
                    <w:rPr>
                      <w:rFonts w:hint="default" w:ascii="Times New Roman" w:hAnsi="Times New Roman" w:cs="Times New Roman"/>
                    </w:rPr>
                    <w:t>满足重点水污染物排放总量控制指标要求，重点行业建设项目， 主要污染物排放满足等量或减量替代要求 □</w:t>
                  </w:r>
                </w:p>
                <w:p>
                  <w:pPr>
                    <w:pStyle w:val="141"/>
                    <w:rPr>
                      <w:rFonts w:hint="default" w:ascii="Times New Roman" w:hAnsi="Times New Roman" w:cs="Times New Roman"/>
                    </w:rPr>
                  </w:pPr>
                  <w:r>
                    <w:rPr>
                      <w:rFonts w:hint="default" w:ascii="Times New Roman" w:hAnsi="Times New Roman" w:cs="Times New Roman"/>
                    </w:rPr>
                    <w:t>满足区（流）域水环境质量改善目标要求 □</w:t>
                  </w:r>
                  <w:r>
                    <w:rPr>
                      <w:rFonts w:hint="default" w:ascii="Times New Roman" w:hAnsi="Times New Roman" w:cs="Times New Roman"/>
                    </w:rPr>
                    <w:br w:type="textWrapping"/>
                  </w:r>
                  <w:r>
                    <w:rPr>
                      <w:rFonts w:hint="default" w:ascii="Times New Roman" w:hAnsi="Times New Roman" w:cs="Times New Roman"/>
                    </w:rPr>
                    <w:t>水文要素影响型建设项目同时应包括水文情势变化评价、主要水文特征值影响评价、生态流量符合性评价 □</w:t>
                  </w:r>
                  <w:r>
                    <w:rPr>
                      <w:rFonts w:hint="default" w:ascii="Times New Roman" w:hAnsi="Times New Roman" w:cs="Times New Roman"/>
                    </w:rPr>
                    <w:br w:type="textWrapping"/>
                  </w:r>
                  <w:r>
                    <w:rPr>
                      <w:rFonts w:hint="default" w:ascii="Times New Roman" w:hAnsi="Times New Roman" w:cs="Times New Roman"/>
                    </w:rPr>
                    <w:t>对于新设或调整入河（湖库、近岸海域）排放口的建设项目，应包括排放口设置的环境合理性评价 □</w:t>
                  </w:r>
                  <w:r>
                    <w:rPr>
                      <w:rFonts w:hint="default" w:ascii="Times New Roman" w:hAnsi="Times New Roman" w:cs="Times New Roman"/>
                    </w:rPr>
                    <w:br w:type="textWrapping"/>
                  </w:r>
                  <w:r>
                    <w:rPr>
                      <w:rFonts w:hint="default" w:ascii="Times New Roman" w:hAnsi="Times New Roman" w:cs="Times New Roman"/>
                    </w:rPr>
                    <w:t>满足生态保护红线、水环境质量底线、资源利用上线和环境准入清单管理要求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439" w:type="dxa"/>
                  <w:vMerge w:val="continue"/>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p>
              </w:tc>
              <w:tc>
                <w:tcPr>
                  <w:tcW w:w="17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污染源排放量核算</w:t>
                  </w:r>
                </w:p>
              </w:tc>
              <w:tc>
                <w:tcPr>
                  <w:tcW w:w="2227"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1"/>
                    <w:rPr>
                      <w:rFonts w:hint="default" w:ascii="Times New Roman" w:hAnsi="Times New Roman" w:cs="Times New Roman"/>
                    </w:rPr>
                  </w:pPr>
                  <w:r>
                    <w:rPr>
                      <w:rFonts w:hint="default" w:ascii="Times New Roman" w:hAnsi="Times New Roman" w:cs="Times New Roman"/>
                    </w:rPr>
                    <w:t>污染物名称</w:t>
                  </w:r>
                </w:p>
              </w:tc>
              <w:tc>
                <w:tcPr>
                  <w:tcW w:w="2271"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排放量/（t/a）</w:t>
                  </w:r>
                </w:p>
              </w:tc>
              <w:tc>
                <w:tcPr>
                  <w:tcW w:w="224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排放浓度/（mg/L）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439" w:type="dxa"/>
                  <w:vMerge w:val="continue"/>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p>
              </w:tc>
              <w:tc>
                <w:tcPr>
                  <w:tcW w:w="17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p>
              </w:tc>
              <w:tc>
                <w:tcPr>
                  <w:tcW w:w="2227"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1"/>
                    <w:rPr>
                      <w:rFonts w:hint="default" w:ascii="Times New Roman" w:hAnsi="Times New Roman" w:cs="Times New Roman"/>
                    </w:rPr>
                  </w:pPr>
                  <w:r>
                    <w:rPr>
                      <w:rFonts w:hint="default" w:ascii="Times New Roman" w:hAnsi="Times New Roman" w:cs="Times New Roman"/>
                    </w:rPr>
                    <w:t>（   ）</w:t>
                  </w:r>
                </w:p>
              </w:tc>
              <w:tc>
                <w:tcPr>
                  <w:tcW w:w="2271"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  ）</w:t>
                  </w:r>
                </w:p>
              </w:tc>
              <w:tc>
                <w:tcPr>
                  <w:tcW w:w="224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439" w:type="dxa"/>
                  <w:vMerge w:val="continue"/>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p>
              </w:tc>
              <w:tc>
                <w:tcPr>
                  <w:tcW w:w="17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替代源排放情况</w:t>
                  </w:r>
                </w:p>
              </w:tc>
              <w:tc>
                <w:tcPr>
                  <w:tcW w:w="1319"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1"/>
                    <w:rPr>
                      <w:rFonts w:hint="default" w:ascii="Times New Roman" w:hAnsi="Times New Roman" w:cs="Times New Roman"/>
                    </w:rPr>
                  </w:pPr>
                  <w:r>
                    <w:rPr>
                      <w:rFonts w:hint="default" w:ascii="Times New Roman" w:hAnsi="Times New Roman" w:cs="Times New Roman"/>
                    </w:rPr>
                    <w:t>污染源名称</w:t>
                  </w:r>
                </w:p>
              </w:tc>
              <w:tc>
                <w:tcPr>
                  <w:tcW w:w="13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排污许可证编号</w:t>
                  </w:r>
                </w:p>
              </w:tc>
              <w:tc>
                <w:tcPr>
                  <w:tcW w:w="134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污染物名称</w:t>
                  </w:r>
                </w:p>
              </w:tc>
              <w:tc>
                <w:tcPr>
                  <w:tcW w:w="136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排放量/（t/a）</w:t>
                  </w:r>
                </w:p>
              </w:tc>
              <w:tc>
                <w:tcPr>
                  <w:tcW w:w="136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排放浓度/（mg/L）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439" w:type="dxa"/>
                  <w:vMerge w:val="continue"/>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p>
              </w:tc>
              <w:tc>
                <w:tcPr>
                  <w:tcW w:w="17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p>
              </w:tc>
              <w:tc>
                <w:tcPr>
                  <w:tcW w:w="1319"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1"/>
                    <w:rPr>
                      <w:rFonts w:hint="default" w:ascii="Times New Roman" w:hAnsi="Times New Roman" w:cs="Times New Roman"/>
                    </w:rPr>
                  </w:pPr>
                  <w:r>
                    <w:rPr>
                      <w:rFonts w:hint="default" w:ascii="Times New Roman" w:hAnsi="Times New Roman" w:cs="Times New Roman"/>
                    </w:rPr>
                    <w:t>（   ）</w:t>
                  </w:r>
                </w:p>
              </w:tc>
              <w:tc>
                <w:tcPr>
                  <w:tcW w:w="136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   ）</w:t>
                  </w:r>
                </w:p>
              </w:tc>
              <w:tc>
                <w:tcPr>
                  <w:tcW w:w="134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   ）</w:t>
                  </w:r>
                </w:p>
              </w:tc>
              <w:tc>
                <w:tcPr>
                  <w:tcW w:w="136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   ）</w:t>
                  </w:r>
                </w:p>
              </w:tc>
              <w:tc>
                <w:tcPr>
                  <w:tcW w:w="136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439" w:type="dxa"/>
                  <w:vMerge w:val="continue"/>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p>
              </w:tc>
              <w:tc>
                <w:tcPr>
                  <w:tcW w:w="17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生态流量确定</w:t>
                  </w:r>
                </w:p>
              </w:tc>
              <w:tc>
                <w:tcPr>
                  <w:tcW w:w="6746" w:type="dxa"/>
                  <w:gridSpan w:val="12"/>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1"/>
                    <w:rPr>
                      <w:rFonts w:hint="default" w:ascii="Times New Roman" w:hAnsi="Times New Roman" w:cs="Times New Roman"/>
                    </w:rPr>
                  </w:pPr>
                  <w:r>
                    <w:rPr>
                      <w:rFonts w:hint="default" w:ascii="Times New Roman" w:hAnsi="Times New Roman" w:cs="Times New Roman"/>
                    </w:rPr>
                    <w:t>生态流量：一般水期（   ）m</w:t>
                  </w:r>
                  <w:r>
                    <w:rPr>
                      <w:rFonts w:hint="default" w:ascii="Times New Roman" w:hAnsi="Times New Roman" w:cs="Times New Roman"/>
                      <w:vertAlign w:val="superscript"/>
                    </w:rPr>
                    <w:t>3</w:t>
                  </w:r>
                  <w:r>
                    <w:rPr>
                      <w:rFonts w:hint="default" w:ascii="Times New Roman" w:hAnsi="Times New Roman" w:cs="Times New Roman"/>
                    </w:rPr>
                    <w:t>/s；鱼类繁殖期（   ）m</w:t>
                  </w:r>
                  <w:r>
                    <w:rPr>
                      <w:rFonts w:hint="default" w:ascii="Times New Roman" w:hAnsi="Times New Roman" w:cs="Times New Roman"/>
                      <w:vertAlign w:val="superscript"/>
                    </w:rPr>
                    <w:t>3</w:t>
                  </w:r>
                  <w:r>
                    <w:rPr>
                      <w:rFonts w:hint="default" w:ascii="Times New Roman" w:hAnsi="Times New Roman" w:cs="Times New Roman"/>
                    </w:rPr>
                    <w:t>/s；其他（   ）m</w:t>
                  </w:r>
                  <w:r>
                    <w:rPr>
                      <w:rFonts w:hint="default" w:ascii="Times New Roman" w:hAnsi="Times New Roman" w:cs="Times New Roman"/>
                      <w:vertAlign w:val="superscript"/>
                    </w:rPr>
                    <w:t>3</w:t>
                  </w:r>
                  <w:r>
                    <w:rPr>
                      <w:rFonts w:hint="default" w:ascii="Times New Roman" w:hAnsi="Times New Roman" w:cs="Times New Roman"/>
                    </w:rPr>
                    <w:t>/s</w:t>
                  </w:r>
                </w:p>
                <w:p>
                  <w:pPr>
                    <w:pStyle w:val="141"/>
                    <w:rPr>
                      <w:rFonts w:hint="default" w:ascii="Times New Roman" w:hAnsi="Times New Roman" w:cs="Times New Roman"/>
                    </w:rPr>
                  </w:pPr>
                  <w:r>
                    <w:rPr>
                      <w:rFonts w:hint="default" w:ascii="Times New Roman" w:hAnsi="Times New Roman" w:cs="Times New Roman"/>
                    </w:rPr>
                    <w:t>生态水位：一般水期（   ）m；鱼类繁殖期（   ）m；其他（   ）m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439" w:type="dxa"/>
                  <w:vMerge w:val="restart"/>
                  <w:tcBorders>
                    <w:top w:val="single" w:color="auto" w:sz="4" w:space="0"/>
                    <w:left w:val="single" w:color="auto" w:sz="4" w:space="0"/>
                    <w:bottom w:val="single" w:color="auto" w:sz="4" w:space="0"/>
                    <w:right w:val="single" w:color="auto" w:sz="4" w:space="0"/>
                  </w:tcBorders>
                  <w:shd w:val="clear" w:color="auto" w:fill="auto"/>
                  <w:noWrap/>
                  <w:textDirection w:val="tbRlV"/>
                  <w:vAlign w:val="center"/>
                </w:tcPr>
                <w:p>
                  <w:pPr>
                    <w:pStyle w:val="141"/>
                    <w:rPr>
                      <w:rFonts w:hint="default" w:ascii="Times New Roman" w:hAnsi="Times New Roman" w:cs="Times New Roman"/>
                    </w:rPr>
                  </w:pPr>
                  <w:r>
                    <w:rPr>
                      <w:rFonts w:hint="default" w:ascii="Times New Roman" w:hAnsi="Times New Roman" w:cs="Times New Roman"/>
                    </w:rPr>
                    <w:t>防治措施</w:t>
                  </w:r>
                </w:p>
              </w:tc>
              <w:tc>
                <w:tcPr>
                  <w:tcW w:w="17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环保措施</w:t>
                  </w:r>
                </w:p>
              </w:tc>
              <w:tc>
                <w:tcPr>
                  <w:tcW w:w="6746" w:type="dxa"/>
                  <w:gridSpan w:val="12"/>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1"/>
                    <w:rPr>
                      <w:rFonts w:hint="default" w:ascii="Times New Roman" w:hAnsi="Times New Roman" w:cs="Times New Roman"/>
                    </w:rPr>
                  </w:pPr>
                  <w:r>
                    <w:rPr>
                      <w:rFonts w:hint="default" w:ascii="Times New Roman" w:hAnsi="Times New Roman" w:cs="Times New Roman"/>
                    </w:rPr>
                    <w:t xml:space="preserve">污水处理设施 </w:t>
                  </w:r>
                  <w:r>
                    <w:rPr>
                      <w:rFonts w:hint="default" w:ascii="Times New Roman" w:hAnsi="Times New Roman" w:cs="Times New Roman"/>
                    </w:rPr>
                    <w:sym w:font="Wingdings 2" w:char="0052"/>
                  </w:r>
                  <w:r>
                    <w:rPr>
                      <w:rFonts w:hint="default" w:ascii="Times New Roman" w:hAnsi="Times New Roman" w:cs="Times New Roman"/>
                    </w:rPr>
                    <w:t>；水文减缓设施 □；生态流量保障设施 □；区域削减 □；依托其他工程措施 □；其他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1" w:hRule="atLeast"/>
                <w:jc w:val="center"/>
              </w:trPr>
              <w:tc>
                <w:tcPr>
                  <w:tcW w:w="439" w:type="dxa"/>
                  <w:vMerge w:val="continue"/>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p>
              </w:tc>
              <w:tc>
                <w:tcPr>
                  <w:tcW w:w="17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监测计划</w:t>
                  </w:r>
                </w:p>
              </w:tc>
              <w:tc>
                <w:tcPr>
                  <w:tcW w:w="16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1"/>
                    <w:rPr>
                      <w:rFonts w:hint="default" w:ascii="Times New Roman" w:hAnsi="Times New Roman" w:cs="Times New Roman"/>
                    </w:rPr>
                  </w:pPr>
                </w:p>
              </w:tc>
              <w:tc>
                <w:tcPr>
                  <w:tcW w:w="2541"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环境质量</w:t>
                  </w:r>
                </w:p>
              </w:tc>
              <w:tc>
                <w:tcPr>
                  <w:tcW w:w="2540"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污染源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21" w:hRule="atLeast"/>
                <w:jc w:val="center"/>
              </w:trPr>
              <w:tc>
                <w:tcPr>
                  <w:tcW w:w="439" w:type="dxa"/>
                  <w:vMerge w:val="continue"/>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p>
              </w:tc>
              <w:tc>
                <w:tcPr>
                  <w:tcW w:w="17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p>
              </w:tc>
              <w:tc>
                <w:tcPr>
                  <w:tcW w:w="16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1"/>
                    <w:rPr>
                      <w:rFonts w:hint="default" w:ascii="Times New Roman" w:hAnsi="Times New Roman" w:cs="Times New Roman"/>
                    </w:rPr>
                  </w:pPr>
                  <w:r>
                    <w:rPr>
                      <w:rFonts w:hint="default" w:ascii="Times New Roman" w:hAnsi="Times New Roman" w:cs="Times New Roman"/>
                    </w:rPr>
                    <w:t>监测方式</w:t>
                  </w:r>
                </w:p>
              </w:tc>
              <w:tc>
                <w:tcPr>
                  <w:tcW w:w="2541"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b/>
                    </w:rPr>
                  </w:pPr>
                  <w:r>
                    <w:rPr>
                      <w:rFonts w:hint="default" w:ascii="Times New Roman" w:hAnsi="Times New Roman" w:cs="Times New Roman"/>
                    </w:rPr>
                    <w:t xml:space="preserve">手动 </w:t>
                  </w:r>
                  <w:r>
                    <w:rPr>
                      <w:rFonts w:hint="default" w:ascii="Times New Roman" w:hAnsi="Times New Roman" w:cs="Times New Roman"/>
                    </w:rPr>
                    <w:sym w:font="Wingdings 2" w:char="00A3"/>
                  </w:r>
                  <w:r>
                    <w:rPr>
                      <w:rFonts w:hint="default" w:ascii="Times New Roman" w:hAnsi="Times New Roman" w:cs="Times New Roman"/>
                    </w:rPr>
                    <w:t>；自动 □；无监测 □</w:t>
                  </w:r>
                </w:p>
              </w:tc>
              <w:tc>
                <w:tcPr>
                  <w:tcW w:w="2540"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 xml:space="preserve">手动 </w:t>
                  </w:r>
                  <w:r>
                    <w:rPr>
                      <w:rFonts w:hint="default" w:ascii="Times New Roman" w:hAnsi="Times New Roman" w:cs="Times New Roman"/>
                    </w:rPr>
                    <w:sym w:font="Wingdings 2" w:char="0052"/>
                  </w:r>
                  <w:r>
                    <w:rPr>
                      <w:rFonts w:hint="default" w:ascii="Times New Roman" w:hAnsi="Times New Roman" w:cs="Times New Roman"/>
                    </w:rPr>
                    <w:t>；自动 □；无监测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439" w:type="dxa"/>
                  <w:vMerge w:val="continue"/>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p>
              </w:tc>
              <w:tc>
                <w:tcPr>
                  <w:tcW w:w="17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p>
              </w:tc>
              <w:tc>
                <w:tcPr>
                  <w:tcW w:w="16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1"/>
                    <w:rPr>
                      <w:rFonts w:hint="default" w:ascii="Times New Roman" w:hAnsi="Times New Roman" w:cs="Times New Roman"/>
                    </w:rPr>
                  </w:pPr>
                  <w:r>
                    <w:rPr>
                      <w:rFonts w:hint="default" w:ascii="Times New Roman" w:hAnsi="Times New Roman" w:cs="Times New Roman"/>
                    </w:rPr>
                    <w:t>监测点位</w:t>
                  </w:r>
                </w:p>
              </w:tc>
              <w:tc>
                <w:tcPr>
                  <w:tcW w:w="2541"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   ）</w:t>
                  </w:r>
                </w:p>
              </w:tc>
              <w:tc>
                <w:tcPr>
                  <w:tcW w:w="2540"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1" w:hRule="atLeast"/>
                <w:jc w:val="center"/>
              </w:trPr>
              <w:tc>
                <w:tcPr>
                  <w:tcW w:w="439" w:type="dxa"/>
                  <w:vMerge w:val="continue"/>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p>
              </w:tc>
              <w:tc>
                <w:tcPr>
                  <w:tcW w:w="17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p>
              </w:tc>
              <w:tc>
                <w:tcPr>
                  <w:tcW w:w="166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1"/>
                    <w:rPr>
                      <w:rFonts w:hint="default" w:ascii="Times New Roman" w:hAnsi="Times New Roman" w:cs="Times New Roman"/>
                    </w:rPr>
                  </w:pPr>
                  <w:r>
                    <w:rPr>
                      <w:rFonts w:hint="default" w:ascii="Times New Roman" w:hAnsi="Times New Roman" w:cs="Times New Roman"/>
                    </w:rPr>
                    <w:t>监测因子</w:t>
                  </w:r>
                </w:p>
              </w:tc>
              <w:tc>
                <w:tcPr>
                  <w:tcW w:w="2541" w:type="dxa"/>
                  <w:gridSpan w:val="5"/>
                  <w:tcBorders>
                    <w:top w:val="single" w:color="auto" w:sz="4" w:space="0"/>
                    <w:left w:val="single" w:color="auto" w:sz="4" w:space="0"/>
                    <w:bottom w:val="single" w:color="auto" w:sz="4" w:space="0"/>
                    <w:right w:val="single" w:color="auto" w:sz="4" w:space="0"/>
                  </w:tcBorders>
                  <w:shd w:val="clear" w:color="auto" w:fill="auto"/>
                </w:tcPr>
                <w:p>
                  <w:pPr>
                    <w:pStyle w:val="141"/>
                    <w:rPr>
                      <w:rFonts w:hint="default" w:ascii="Times New Roman" w:hAnsi="Times New Roman" w:cs="Times New Roman"/>
                    </w:rPr>
                  </w:pPr>
                  <w:r>
                    <w:rPr>
                      <w:rFonts w:hint="default" w:ascii="Times New Roman" w:hAnsi="Times New Roman" w:cs="Times New Roman"/>
                    </w:rPr>
                    <w:t>（   ）</w:t>
                  </w:r>
                </w:p>
              </w:tc>
              <w:tc>
                <w:tcPr>
                  <w:tcW w:w="2540" w:type="dxa"/>
                  <w:gridSpan w:val="5"/>
                  <w:tcBorders>
                    <w:top w:val="single" w:color="auto" w:sz="4" w:space="0"/>
                    <w:left w:val="single" w:color="auto" w:sz="4" w:space="0"/>
                    <w:bottom w:val="single" w:color="auto" w:sz="4" w:space="0"/>
                    <w:right w:val="single" w:color="auto" w:sz="4" w:space="0"/>
                  </w:tcBorders>
                  <w:shd w:val="clear" w:color="auto" w:fill="auto"/>
                </w:tcPr>
                <w:p>
                  <w:pPr>
                    <w:pStyle w:val="141"/>
                    <w:rPr>
                      <w:rFonts w:hint="default" w:ascii="Times New Roman" w:hAnsi="Times New Roman" w:cs="Times New Roman"/>
                    </w:rPr>
                  </w:pPr>
                  <w:r>
                    <w:rPr>
                      <w:rFonts w:hint="default" w:ascii="Times New Roman" w:hAnsi="Times New Roman" w:cs="Times New Roma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439" w:type="dxa"/>
                  <w:vMerge w:val="continue"/>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p>
              </w:tc>
              <w:tc>
                <w:tcPr>
                  <w:tcW w:w="17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污染物排放清单</w:t>
                  </w:r>
                </w:p>
              </w:tc>
              <w:tc>
                <w:tcPr>
                  <w:tcW w:w="6746" w:type="dxa"/>
                  <w:gridSpan w:val="12"/>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1"/>
                    <w:rPr>
                      <w:rFonts w:hint="default" w:ascii="Times New Roman" w:hAnsi="Times New Roman" w:cs="Times New Roman"/>
                    </w:rPr>
                  </w:pPr>
                  <w:r>
                    <w:rPr>
                      <w:rFonts w:hint="default" w:ascii="Times New Roman" w:hAnsi="Times New Roman" w:cs="Times New Roma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218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1"/>
                    <w:rPr>
                      <w:rFonts w:hint="default" w:ascii="Times New Roman" w:hAnsi="Times New Roman" w:cs="Times New Roman"/>
                    </w:rPr>
                  </w:pPr>
                  <w:r>
                    <w:rPr>
                      <w:rFonts w:hint="default" w:ascii="Times New Roman" w:hAnsi="Times New Roman" w:cs="Times New Roman"/>
                    </w:rPr>
                    <w:t>评价结论</w:t>
                  </w:r>
                </w:p>
              </w:tc>
              <w:tc>
                <w:tcPr>
                  <w:tcW w:w="6746" w:type="dxa"/>
                  <w:gridSpan w:val="12"/>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1"/>
                    <w:rPr>
                      <w:rFonts w:hint="default" w:ascii="Times New Roman" w:hAnsi="Times New Roman" w:cs="Times New Roman"/>
                    </w:rPr>
                  </w:pPr>
                  <w:r>
                    <w:rPr>
                      <w:rFonts w:hint="default" w:ascii="Times New Roman" w:hAnsi="Times New Roman" w:cs="Times New Roman"/>
                    </w:rPr>
                    <w:t xml:space="preserve">可以接受 </w:t>
                  </w:r>
                  <w:r>
                    <w:rPr>
                      <w:rFonts w:hint="default" w:ascii="Times New Roman" w:hAnsi="Times New Roman" w:cs="Times New Roman"/>
                    </w:rPr>
                    <w:sym w:font="Wingdings 2" w:char="0052"/>
                  </w:r>
                  <w:r>
                    <w:rPr>
                      <w:rFonts w:hint="default" w:ascii="Times New Roman" w:hAnsi="Times New Roman" w:cs="Times New Roman"/>
                    </w:rPr>
                    <w:t>；不可以接受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928" w:type="dxa"/>
                  <w:gridSpan w:val="14"/>
                  <w:tcBorders>
                    <w:top w:val="single" w:color="auto" w:sz="4" w:space="0"/>
                    <w:left w:val="single" w:color="auto" w:sz="4" w:space="0"/>
                    <w:bottom w:val="single" w:color="auto" w:sz="4" w:space="0"/>
                    <w:right w:val="single" w:color="auto" w:sz="4" w:space="0"/>
                  </w:tcBorders>
                  <w:shd w:val="clear" w:color="auto" w:fill="auto"/>
                  <w:noWrap/>
                  <w:vAlign w:val="center"/>
                </w:tcPr>
                <w:p>
                  <w:pPr>
                    <w:pStyle w:val="141"/>
                    <w:rPr>
                      <w:rFonts w:hint="default" w:ascii="Times New Roman" w:hAnsi="Times New Roman" w:cs="Times New Roman"/>
                    </w:rPr>
                  </w:pPr>
                  <w:r>
                    <w:rPr>
                      <w:rFonts w:hint="default" w:ascii="Times New Roman" w:hAnsi="Times New Roman" w:cs="Times New Roman"/>
                    </w:rPr>
                    <w:t>注：“□”为勾选项，可√；“（   ）”为内容填写项；“备注”为其他补充内容。</w:t>
                  </w:r>
                </w:p>
              </w:tc>
            </w:tr>
          </w:tbl>
          <w:p>
            <w:pPr>
              <w:pStyle w:val="137"/>
              <w:ind w:firstLine="480"/>
              <w:rPr>
                <w:rFonts w:hint="default" w:ascii="Times New Roman" w:hAnsi="Times New Roman" w:cs="Times New Roman"/>
              </w:rPr>
            </w:pPr>
          </w:p>
          <w:p>
            <w:pPr>
              <w:pStyle w:val="137"/>
              <w:ind w:firstLine="480"/>
              <w:rPr>
                <w:rFonts w:hint="default" w:ascii="Times New Roman" w:hAnsi="Times New Roman" w:cs="Times New Roman"/>
                <w:b/>
                <w:bCs/>
              </w:rPr>
            </w:pPr>
            <w:r>
              <w:rPr>
                <w:rFonts w:hint="default" w:ascii="Times New Roman" w:hAnsi="Times New Roman" w:cs="Times New Roman"/>
                <w:b/>
                <w:bCs/>
              </w:rPr>
              <w:t>二、地下水环境影响分析及控制措施</w:t>
            </w:r>
          </w:p>
          <w:p>
            <w:pPr>
              <w:pStyle w:val="137"/>
              <w:ind w:firstLine="480"/>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rPr>
              <w:tab/>
            </w:r>
            <w:r>
              <w:rPr>
                <w:rFonts w:hint="default" w:ascii="Times New Roman" w:hAnsi="Times New Roman" w:cs="Times New Roman"/>
              </w:rPr>
              <w:t>评价等级确定</w:t>
            </w:r>
          </w:p>
          <w:p>
            <w:pPr>
              <w:pStyle w:val="137"/>
              <w:ind w:firstLine="480"/>
              <w:rPr>
                <w:rFonts w:hint="default" w:ascii="Times New Roman" w:hAnsi="Times New Roman" w:cs="Times New Roman"/>
              </w:rPr>
            </w:pPr>
            <w:r>
              <w:rPr>
                <w:rFonts w:hint="default" w:ascii="Times New Roman" w:hAnsi="Times New Roman" w:cs="Times New Roman"/>
              </w:rPr>
              <w:t>本项目采用市政供水，根据《环境影响评价技术导则 地下水环境》（HJ6102016）附录 A 确定本项目地下水环境影响评价项目类别为Ⅱ类项目，据调查，本项目区不属于水源地保护区范围内，属于不敏感环境影响区域。综上，可确定本项目地下水评价等级为三级。</w:t>
            </w:r>
          </w:p>
          <w:p>
            <w:pPr>
              <w:pStyle w:val="137"/>
              <w:ind w:firstLine="480"/>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rPr>
              <w:tab/>
            </w:r>
            <w:r>
              <w:rPr>
                <w:rFonts w:hint="default" w:ascii="Times New Roman" w:hAnsi="Times New Roman" w:cs="Times New Roman"/>
              </w:rPr>
              <w:t>地下水环境污染</w:t>
            </w:r>
          </w:p>
          <w:p>
            <w:pPr>
              <w:pStyle w:val="137"/>
              <w:ind w:firstLine="480"/>
              <w:rPr>
                <w:rFonts w:hint="default" w:ascii="Times New Roman" w:hAnsi="Times New Roman" w:cs="Times New Roman"/>
              </w:rPr>
            </w:pPr>
            <w:r>
              <w:rPr>
                <w:rFonts w:hint="default" w:ascii="Times New Roman" w:hAnsi="Times New Roman" w:cs="Times New Roman"/>
              </w:rPr>
              <w:t>地下水污染是指由于人类活动使地下水的物理、化学和生物特征发生了变化，因而限制或妨碍它在各方面的正常使用。本项目渗入含水层的有机类污染物可能来自地面清洁、油罐可能发生的爆炸、泄漏和溢出等，这些含油、烃类的污染物以一种不溶于水的形式进入土壤， 它们会逐渐被下渗水或地下水流所溶解，从而引起地下水的污染。</w:t>
            </w:r>
          </w:p>
          <w:p>
            <w:pPr>
              <w:pStyle w:val="137"/>
              <w:ind w:firstLine="480"/>
              <w:rPr>
                <w:rFonts w:hint="default" w:ascii="Times New Roman" w:hAnsi="Times New Roman" w:cs="Times New Roman"/>
              </w:rPr>
            </w:pPr>
            <w:r>
              <w:rPr>
                <w:rFonts w:hint="default" w:ascii="Times New Roman" w:hAnsi="Times New Roman" w:cs="Times New Roman"/>
              </w:rPr>
              <w:t>3、地下水污染途径、影响分析</w:t>
            </w:r>
          </w:p>
          <w:p>
            <w:pPr>
              <w:pStyle w:val="137"/>
              <w:ind w:firstLine="480"/>
              <w:rPr>
                <w:rFonts w:hint="default" w:ascii="Times New Roman" w:hAnsi="Times New Roman" w:cs="Times New Roman"/>
              </w:rPr>
            </w:pPr>
            <w:r>
              <w:rPr>
                <w:rFonts w:hint="default" w:ascii="Times New Roman" w:hAnsi="Times New Roman" w:cs="Times New Roman"/>
              </w:rPr>
              <w:t>（1）污染途径</w:t>
            </w:r>
          </w:p>
          <w:p>
            <w:pPr>
              <w:pStyle w:val="137"/>
              <w:ind w:firstLine="480"/>
              <w:rPr>
                <w:rFonts w:hint="default" w:ascii="Times New Roman" w:hAnsi="Times New Roman" w:cs="Times New Roman"/>
              </w:rPr>
            </w:pPr>
            <w:r>
              <w:rPr>
                <w:rFonts w:hint="default" w:ascii="Times New Roman" w:hAnsi="Times New Roman" w:cs="Times New Roman"/>
              </w:rPr>
              <w:t>污染物从污染源进入地下水所经过路径称为地下水污染途径，地下水污染途径是多种多样的。根据工程所处区域的地质情况，本项目可能对下水造成污染的途径为罐区油品泄漏下渗、化粪池泄漏对地下水造成的污染。</w:t>
            </w:r>
          </w:p>
          <w:p>
            <w:pPr>
              <w:pStyle w:val="137"/>
              <w:ind w:firstLine="480"/>
              <w:rPr>
                <w:rFonts w:hint="default" w:ascii="Times New Roman" w:hAnsi="Times New Roman" w:cs="Times New Roman"/>
              </w:rPr>
            </w:pPr>
            <w:r>
              <w:rPr>
                <w:rFonts w:hint="default" w:ascii="Times New Roman" w:hAnsi="Times New Roman" w:cs="Times New Roman"/>
              </w:rPr>
              <w:t>（2）影响分析</w:t>
            </w:r>
          </w:p>
          <w:p>
            <w:pPr>
              <w:pStyle w:val="137"/>
              <w:ind w:firstLine="480"/>
              <w:rPr>
                <w:rFonts w:hint="default" w:ascii="Times New Roman" w:hAnsi="Times New Roman" w:cs="Times New Roman"/>
              </w:rPr>
            </w:pPr>
            <w:r>
              <w:rPr>
                <w:rFonts w:hint="default" w:ascii="Times New Roman" w:hAnsi="Times New Roman" w:cs="Times New Roman"/>
              </w:rPr>
              <w:t>①对浅层地下水的污染影响</w:t>
            </w:r>
          </w:p>
          <w:p>
            <w:pPr>
              <w:pStyle w:val="137"/>
              <w:ind w:firstLine="480"/>
              <w:rPr>
                <w:rFonts w:hint="default" w:ascii="Times New Roman" w:hAnsi="Times New Roman" w:cs="Times New Roman"/>
              </w:rPr>
            </w:pPr>
            <w:r>
              <w:rPr>
                <w:rFonts w:hint="default" w:ascii="Times New Roman" w:hAnsi="Times New Roman" w:cs="Times New Roman"/>
              </w:rPr>
              <w:t>工程污染物主要是通过废水入渗来影响地下水环境。废水中的污染物随下渗水进入包气带，在包气带中可得到一定程度的净化。对于有机和无机污染物质，可通过土壤颗粒的吸附、凝聚、离子交换、过滤、植物吸收等作用得以去除。对厂址区域水文地质条件分析表明，厂址区域地层防污性能较好。</w:t>
            </w:r>
          </w:p>
          <w:p>
            <w:pPr>
              <w:pStyle w:val="137"/>
              <w:ind w:firstLine="480"/>
              <w:rPr>
                <w:rFonts w:hint="default" w:ascii="Times New Roman" w:hAnsi="Times New Roman" w:cs="Times New Roman"/>
              </w:rPr>
            </w:pPr>
            <w:r>
              <w:rPr>
                <w:rFonts w:hint="default" w:ascii="Times New Roman" w:hAnsi="Times New Roman" w:cs="Times New Roman"/>
              </w:rPr>
              <w:t>②对深层地下水的污染影响</w:t>
            </w:r>
          </w:p>
          <w:p>
            <w:pPr>
              <w:pStyle w:val="137"/>
              <w:ind w:firstLine="480"/>
              <w:rPr>
                <w:rFonts w:hint="default" w:ascii="Times New Roman" w:hAnsi="Times New Roman" w:cs="Times New Roman"/>
              </w:rPr>
            </w:pPr>
            <w:r>
              <w:rPr>
                <w:rFonts w:hint="default" w:ascii="Times New Roman" w:hAnsi="Times New Roman" w:cs="Times New Roman"/>
              </w:rPr>
              <w:t>判断深层地下水是否会受到污染影响，通常分析深层地下水含水组上覆地层的防污性能和有无与浅层地下水的水利联系。通过水文地质条件分析，厂区上部地层为新近回填的素填土、第四系全新统形成的圆砾、粉质粘土、粗砾砂，基地为混合花岗岩，垂直渗入补给条件较差，与浅层地下水水力联系不密切。因此， 深层地下水不易受到项目影响。</w:t>
            </w:r>
          </w:p>
          <w:p>
            <w:pPr>
              <w:pStyle w:val="137"/>
              <w:ind w:firstLine="480"/>
              <w:rPr>
                <w:rFonts w:hint="default" w:ascii="Times New Roman" w:hAnsi="Times New Roman" w:cs="Times New Roman"/>
              </w:rPr>
            </w:pPr>
            <w:r>
              <w:rPr>
                <w:rFonts w:hint="default" w:ascii="Times New Roman" w:hAnsi="Times New Roman" w:cs="Times New Roman"/>
              </w:rPr>
              <w:t>4、地下水环境污染防治措施</w:t>
            </w:r>
          </w:p>
          <w:p>
            <w:pPr>
              <w:pStyle w:val="137"/>
              <w:ind w:firstLine="480"/>
              <w:rPr>
                <w:rFonts w:hint="default" w:ascii="Times New Roman" w:hAnsi="Times New Roman" w:cs="Times New Roman"/>
              </w:rPr>
            </w:pPr>
            <w:r>
              <w:rPr>
                <w:rFonts w:hint="default" w:ascii="Times New Roman" w:hAnsi="Times New Roman" w:cs="Times New Roman"/>
              </w:rPr>
              <w:t>储油罐和输油管线的泄漏或渗漏对地下水的污染严重，地下水—旦遭到燃料油的污染，将会产生严重异味，并有较强的致畸致癌性，根本无法饮用。又由于这种渗漏必然穿过较厚的土壤层，使土壤层中吸附了大量的燃料油，土壤层吸附的燃料油不仅会造成植物生物的死亡，而且土壤层吸附的燃料油还会随着地表水的下渗对土壤层的冲刷作用补充到地下水，这样尽管污染源得到及时控制，但这种污染仅靠地表雨水入渗的冲刷，含水层的自净降解将是一个长期的过程，达到地下水的完全恢复需几十年甚至上百年的时间。</w:t>
            </w:r>
          </w:p>
          <w:p>
            <w:pPr>
              <w:pStyle w:val="137"/>
              <w:ind w:firstLine="480"/>
              <w:rPr>
                <w:rFonts w:hint="default" w:ascii="Times New Roman" w:hAnsi="Times New Roman" w:cs="Times New Roman"/>
              </w:rPr>
            </w:pPr>
            <w:r>
              <w:rPr>
                <w:rFonts w:hint="default" w:ascii="Times New Roman" w:hAnsi="Times New Roman" w:cs="Times New Roman"/>
              </w:rPr>
              <w:t>本项目根据厂区可能泄漏至地面区域污染物的性质，将厂区划分为重点污染防治区、一般污染防治区和简单污染防治区，针对地下水环境问题，提出相应的防渗要求，项目地下水污染防治区见</w:t>
            </w:r>
            <w:r>
              <w:rPr>
                <w:rFonts w:hint="eastAsia" w:cs="Times New Roman"/>
                <w:lang w:val="en-US" w:eastAsia="zh-CN"/>
              </w:rPr>
              <w:t>表7-7</w:t>
            </w:r>
            <w:r>
              <w:rPr>
                <w:rFonts w:hint="default" w:ascii="Times New Roman" w:hAnsi="Times New Roman" w:cs="Times New Roman"/>
              </w:rPr>
              <w:t>。</w:t>
            </w:r>
          </w:p>
          <w:p>
            <w:pPr>
              <w:pStyle w:val="143"/>
              <w:keepNext w:val="0"/>
              <w:keepLines w:val="0"/>
              <w:pageBreakBefore w:val="0"/>
              <w:widowControl w:val="0"/>
              <w:kinsoku/>
              <w:wordWrap/>
              <w:overflowPunct/>
              <w:topLinePunct w:val="0"/>
              <w:autoSpaceDE/>
              <w:autoSpaceDN/>
              <w:bidi w:val="0"/>
              <w:adjustRightInd/>
              <w:snapToGrid/>
              <w:spacing w:beforeLines="0"/>
              <w:textAlignment w:val="auto"/>
              <w:rPr>
                <w:rFonts w:hint="default" w:ascii="Times New Roman" w:hAnsi="Times New Roman" w:cs="Times New Roman"/>
              </w:rPr>
            </w:pPr>
            <w:bookmarkStart w:id="35" w:name="_Ref45528729"/>
            <w:r>
              <w:rPr>
                <w:rFonts w:hint="default" w:ascii="Times New Roman" w:hAnsi="Times New Roman" w:cs="Times New Roman"/>
              </w:rPr>
              <w:t>表</w:t>
            </w:r>
            <w:bookmarkEnd w:id="35"/>
            <w:r>
              <w:rPr>
                <w:rFonts w:hint="eastAsia" w:cs="Times New Roman"/>
                <w:lang w:val="en-US" w:eastAsia="zh-CN"/>
              </w:rPr>
              <w:t xml:space="preserve">7-7 </w:t>
            </w:r>
            <w:r>
              <w:rPr>
                <w:rFonts w:hint="default" w:ascii="Times New Roman" w:hAnsi="Times New Roman" w:eastAsia="Times New Roman" w:cs="Times New Roman"/>
              </w:rPr>
              <w:t xml:space="preserve"> </w:t>
            </w:r>
            <w:r>
              <w:rPr>
                <w:rFonts w:hint="default" w:ascii="Times New Roman" w:hAnsi="Times New Roman" w:cs="Times New Roman"/>
              </w:rPr>
              <w:t xml:space="preserve">  地下水污染防治分区一览表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5"/>
              <w:gridCol w:w="1262"/>
              <w:gridCol w:w="3839"/>
              <w:gridCol w:w="3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5" w:type="dxa"/>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序号</w:t>
                  </w:r>
                </w:p>
              </w:tc>
              <w:tc>
                <w:tcPr>
                  <w:tcW w:w="1262" w:type="dxa"/>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防治分区</w:t>
                  </w:r>
                </w:p>
              </w:tc>
              <w:tc>
                <w:tcPr>
                  <w:tcW w:w="3839" w:type="dxa"/>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装置或构筑物名称</w:t>
                  </w:r>
                </w:p>
              </w:tc>
              <w:tc>
                <w:tcPr>
                  <w:tcW w:w="3282" w:type="dxa"/>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防渗区域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5" w:type="dxa"/>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1</w:t>
                  </w:r>
                </w:p>
              </w:tc>
              <w:tc>
                <w:tcPr>
                  <w:tcW w:w="1262" w:type="dxa"/>
                  <w:vMerge w:val="restar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重点污染防治区</w:t>
                  </w:r>
                </w:p>
              </w:tc>
              <w:tc>
                <w:tcPr>
                  <w:tcW w:w="3839" w:type="dxa"/>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埋地储罐、化粪池、沉淀室、隔油池、洗车废水处理设施</w:t>
                  </w:r>
                </w:p>
              </w:tc>
              <w:tc>
                <w:tcPr>
                  <w:tcW w:w="3282" w:type="dxa"/>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底部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5" w:type="dxa"/>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2</w:t>
                  </w:r>
                </w:p>
              </w:tc>
              <w:tc>
                <w:tcPr>
                  <w:tcW w:w="1262" w:type="dxa"/>
                  <w:vMerge w:val="continue"/>
                  <w:vAlign w:val="center"/>
                </w:tcPr>
                <w:p>
                  <w:pPr>
                    <w:pStyle w:val="141"/>
                    <w:rPr>
                      <w:rFonts w:hint="default" w:ascii="Times New Roman" w:hAnsi="Times New Roman" w:cs="Times New Roman"/>
                    </w:rPr>
                  </w:pPr>
                </w:p>
              </w:tc>
              <w:tc>
                <w:tcPr>
                  <w:tcW w:w="3839" w:type="dxa"/>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管线</w:t>
                  </w:r>
                </w:p>
              </w:tc>
              <w:tc>
                <w:tcPr>
                  <w:tcW w:w="3282" w:type="dxa"/>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管道四周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5" w:type="dxa"/>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3</w:t>
                  </w:r>
                </w:p>
              </w:tc>
              <w:tc>
                <w:tcPr>
                  <w:tcW w:w="1262" w:type="dxa"/>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一般污染防治区</w:t>
                  </w:r>
                </w:p>
              </w:tc>
              <w:tc>
                <w:tcPr>
                  <w:tcW w:w="3839" w:type="dxa"/>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加油站地面</w:t>
                  </w:r>
                </w:p>
              </w:tc>
              <w:tc>
                <w:tcPr>
                  <w:tcW w:w="3282" w:type="dxa"/>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5" w:type="dxa"/>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4</w:t>
                  </w:r>
                </w:p>
              </w:tc>
              <w:tc>
                <w:tcPr>
                  <w:tcW w:w="1262" w:type="dxa"/>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简单污染防治区</w:t>
                  </w:r>
                </w:p>
              </w:tc>
              <w:tc>
                <w:tcPr>
                  <w:tcW w:w="3839" w:type="dxa"/>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w:t>
                  </w:r>
                </w:p>
              </w:tc>
              <w:tc>
                <w:tcPr>
                  <w:tcW w:w="3282" w:type="dxa"/>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除重点污染防治区、一般污染防治区以外的区域</w:t>
                  </w:r>
                </w:p>
              </w:tc>
            </w:tr>
          </w:tbl>
          <w:p>
            <w:pPr>
              <w:pStyle w:val="137"/>
              <w:ind w:firstLine="480"/>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rPr>
              <w:tab/>
            </w:r>
            <w:r>
              <w:rPr>
                <w:rFonts w:hint="default" w:ascii="Times New Roman" w:hAnsi="Times New Roman" w:cs="Times New Roman"/>
              </w:rPr>
              <w:t>重点污染防冶区</w:t>
            </w:r>
          </w:p>
          <w:p>
            <w:pPr>
              <w:pStyle w:val="137"/>
              <w:ind w:firstLine="480"/>
              <w:rPr>
                <w:rFonts w:hint="default" w:ascii="Times New Roman" w:hAnsi="Times New Roman" w:cs="Times New Roman"/>
              </w:rPr>
            </w:pPr>
            <w:r>
              <w:rPr>
                <w:rFonts w:hint="default" w:ascii="Times New Roman" w:hAnsi="Times New Roman" w:cs="Times New Roman"/>
              </w:rPr>
              <w:t>本项目重点污染防治区主要为埋地储罐、加油枪至油罐间管线。防渗要求：</w:t>
            </w:r>
          </w:p>
          <w:p>
            <w:pPr>
              <w:pStyle w:val="137"/>
              <w:ind w:firstLine="480"/>
              <w:rPr>
                <w:rFonts w:hint="default" w:ascii="Times New Roman" w:hAnsi="Times New Roman" w:cs="Times New Roman"/>
              </w:rPr>
            </w:pPr>
            <w:r>
              <w:rPr>
                <w:rFonts w:hint="default" w:ascii="Times New Roman" w:hAnsi="Times New Roman" w:cs="Times New Roman"/>
              </w:rPr>
              <w:t>①埋地储罐、加油枪至油罐间管线的水平防渗拟采用等效黏土防渗层Mb≥6.0m，K≤1×10</w:t>
            </w:r>
            <w:r>
              <w:rPr>
                <w:rFonts w:hint="default" w:ascii="Times New Roman" w:hAnsi="Times New Roman" w:cs="Times New Roman"/>
                <w:vertAlign w:val="superscript"/>
              </w:rPr>
              <w:t>-7</w:t>
            </w:r>
            <w:r>
              <w:rPr>
                <w:rFonts w:hint="default" w:ascii="Times New Roman" w:hAnsi="Times New Roman" w:cs="Times New Roman"/>
              </w:rPr>
              <w:t>cm/s，如黏土、HDPE 膜、配筋混凝土加防渗剂等。</w:t>
            </w:r>
          </w:p>
          <w:p>
            <w:pPr>
              <w:pStyle w:val="137"/>
              <w:ind w:firstLine="480"/>
              <w:rPr>
                <w:rFonts w:hint="default" w:ascii="Times New Roman" w:hAnsi="Times New Roman" w:cs="Times New Roman"/>
              </w:rPr>
            </w:pPr>
            <w:r>
              <w:rPr>
                <w:rFonts w:hint="default" w:ascii="Times New Roman" w:hAnsi="Times New Roman" w:cs="Times New Roman"/>
              </w:rPr>
              <w:t>②埋地储罐、加油枪至油罐间管线的胀缝和缩缝拟采用防渗柔性材料填塞。</w:t>
            </w:r>
          </w:p>
          <w:p>
            <w:pPr>
              <w:pStyle w:val="137"/>
              <w:ind w:firstLine="480"/>
              <w:rPr>
                <w:rFonts w:hint="default" w:ascii="Times New Roman" w:hAnsi="Times New Roman" w:cs="Times New Roman"/>
              </w:rPr>
            </w:pPr>
            <w:r>
              <w:rPr>
                <w:rFonts w:hint="default" w:ascii="Times New Roman" w:hAnsi="Times New Roman" w:cs="Times New Roman"/>
              </w:rPr>
              <w:t>③按设计要求使用符合产品标准的管材、阀门及配件，防止发生管道泄漏事故。④加油枪至油罐间管线拟严格按照防渗要求，采用耐腐蚀防渗材料(如双壁波纹管)。</w:t>
            </w:r>
          </w:p>
          <w:p>
            <w:pPr>
              <w:pStyle w:val="137"/>
              <w:ind w:firstLine="480"/>
              <w:rPr>
                <w:rFonts w:hint="default" w:ascii="Times New Roman" w:hAnsi="Times New Roman" w:cs="Times New Roman"/>
              </w:rPr>
            </w:pPr>
            <w:r>
              <w:rPr>
                <w:rFonts w:hint="default" w:ascii="Times New Roman" w:hAnsi="Times New Roman" w:cs="Times New Roman"/>
              </w:rPr>
              <w:t>（2）一般污染防治区包含加油站地面等。</w:t>
            </w:r>
          </w:p>
          <w:p>
            <w:pPr>
              <w:pStyle w:val="137"/>
              <w:ind w:firstLine="480"/>
              <w:rPr>
                <w:rFonts w:hint="default" w:ascii="Times New Roman" w:hAnsi="Times New Roman" w:cs="Times New Roman"/>
              </w:rPr>
            </w:pPr>
            <w:r>
              <w:rPr>
                <w:rFonts w:hint="default" w:ascii="Times New Roman" w:hAnsi="Times New Roman" w:cs="Times New Roman"/>
              </w:rPr>
              <w:t>防渗措施：</w:t>
            </w:r>
          </w:p>
          <w:p>
            <w:pPr>
              <w:pStyle w:val="137"/>
              <w:ind w:firstLine="480"/>
              <w:rPr>
                <w:rFonts w:hint="default" w:ascii="Times New Roman" w:hAnsi="Times New Roman" w:cs="Times New Roman"/>
              </w:rPr>
            </w:pPr>
            <w:r>
              <w:rPr>
                <w:rFonts w:hint="default" w:ascii="Times New Roman" w:hAnsi="Times New Roman" w:cs="Times New Roman"/>
              </w:rPr>
              <w:t>①加油站地面采用混凝土铺砌底面，铺砌混凝土采用配筋混凝土加防渗剂，等效黏土防渗层 Mb≥1.5m，K≤1×10</w:t>
            </w:r>
            <w:r>
              <w:rPr>
                <w:rFonts w:hint="default" w:ascii="Times New Roman" w:hAnsi="Times New Roman" w:cs="Times New Roman"/>
                <w:vertAlign w:val="superscript"/>
              </w:rPr>
              <w:t>-7</w:t>
            </w:r>
            <w:r>
              <w:rPr>
                <w:rFonts w:hint="default" w:ascii="Times New Roman" w:hAnsi="Times New Roman" w:cs="Times New Roman"/>
              </w:rPr>
              <w:t>cm/s。</w:t>
            </w:r>
          </w:p>
          <w:p>
            <w:pPr>
              <w:pStyle w:val="137"/>
              <w:ind w:firstLine="480"/>
              <w:rPr>
                <w:rFonts w:hint="default" w:ascii="Times New Roman" w:hAnsi="Times New Roman" w:cs="Times New Roman"/>
              </w:rPr>
            </w:pPr>
            <w:r>
              <w:rPr>
                <w:rFonts w:hint="default" w:ascii="Times New Roman" w:hAnsi="Times New Roman" w:cs="Times New Roman"/>
              </w:rPr>
              <w:t>②加油站地面地坪的胀缝和缩缝应采用防渗柔性材料填塞。③按设计要求使用符合产品标准的管材、阀门及配件，防止发生管道泄漏事故。</w:t>
            </w:r>
          </w:p>
          <w:p>
            <w:pPr>
              <w:pStyle w:val="137"/>
              <w:ind w:firstLine="480"/>
              <w:rPr>
                <w:rFonts w:hint="default" w:ascii="Times New Roman" w:hAnsi="Times New Roman" w:cs="Times New Roman"/>
              </w:rPr>
            </w:pPr>
            <w:r>
              <w:rPr>
                <w:rFonts w:hint="default" w:ascii="Times New Roman" w:hAnsi="Times New Roman" w:cs="Times New Roman"/>
              </w:rPr>
              <w:t>（3）简单污染防治区</w:t>
            </w:r>
          </w:p>
          <w:p>
            <w:pPr>
              <w:pStyle w:val="137"/>
              <w:ind w:firstLine="480"/>
              <w:rPr>
                <w:rFonts w:hint="default" w:ascii="Times New Roman" w:hAnsi="Times New Roman" w:cs="Times New Roman"/>
              </w:rPr>
            </w:pPr>
            <w:r>
              <w:rPr>
                <w:rFonts w:hint="default" w:ascii="Times New Roman" w:hAnsi="Times New Roman" w:cs="Times New Roman"/>
              </w:rPr>
              <w:t>指不会对地下水环境造成污染的区域，不采取专门针对地下水污染的防治措施，仅进行一般地面硬化。</w:t>
            </w:r>
          </w:p>
          <w:p>
            <w:pPr>
              <w:pStyle w:val="137"/>
              <w:ind w:firstLine="480"/>
              <w:rPr>
                <w:rFonts w:hint="default" w:ascii="Times New Roman" w:hAnsi="Times New Roman" w:cs="Times New Roman"/>
              </w:rPr>
            </w:pPr>
            <w:r>
              <w:rPr>
                <w:rFonts w:hint="default" w:ascii="Times New Roman" w:hAnsi="Times New Roman" w:cs="Times New Roman"/>
              </w:rPr>
              <w:t>（4）其他预防措施</w:t>
            </w:r>
          </w:p>
          <w:p>
            <w:pPr>
              <w:pStyle w:val="137"/>
              <w:ind w:firstLine="480"/>
              <w:rPr>
                <w:rFonts w:hint="default" w:ascii="Times New Roman" w:hAnsi="Times New Roman" w:cs="Times New Roman"/>
              </w:rPr>
            </w:pPr>
            <w:r>
              <w:rPr>
                <w:rFonts w:hint="default" w:ascii="Times New Roman" w:hAnsi="Times New Roman" w:cs="Times New Roman"/>
              </w:rPr>
              <w:t>①油罐</w:t>
            </w:r>
          </w:p>
          <w:p>
            <w:pPr>
              <w:pStyle w:val="137"/>
              <w:ind w:firstLine="480"/>
              <w:rPr>
                <w:rFonts w:hint="default" w:ascii="Times New Roman" w:hAnsi="Times New Roman" w:cs="Times New Roman"/>
              </w:rPr>
            </w:pPr>
            <w:r>
              <w:rPr>
                <w:rFonts w:hint="default" w:ascii="Times New Roman" w:hAnsi="Times New Roman" w:cs="Times New Roman"/>
              </w:rPr>
              <w:t>所有地下油罐、埋地管道均采用环氧煤沥青加强级防腐处理；在储油罐设置了液位计，此液位计具有高液位报警功能，确保不会因为加油过多而造成油品外溢而对地下水和土壤造成污染。</w:t>
            </w:r>
          </w:p>
          <w:p>
            <w:pPr>
              <w:pStyle w:val="137"/>
              <w:ind w:firstLine="480"/>
              <w:rPr>
                <w:rFonts w:hint="default" w:ascii="Times New Roman" w:hAnsi="Times New Roman" w:cs="Times New Roman"/>
              </w:rPr>
            </w:pPr>
            <w:r>
              <w:rPr>
                <w:rFonts w:hint="default" w:ascii="Times New Roman" w:hAnsi="Times New Roman" w:cs="Times New Roman"/>
              </w:rPr>
              <w:t>②地下油罐区</w:t>
            </w:r>
          </w:p>
          <w:p>
            <w:pPr>
              <w:pStyle w:val="137"/>
              <w:ind w:firstLine="480"/>
              <w:rPr>
                <w:rFonts w:hint="default" w:ascii="Times New Roman" w:hAnsi="Times New Roman" w:cs="Times New Roman"/>
              </w:rPr>
            </w:pPr>
            <w:r>
              <w:rPr>
                <w:rFonts w:hint="default" w:ascii="Times New Roman" w:hAnsi="Times New Roman" w:cs="Times New Roman"/>
              </w:rPr>
              <w:t>a、地下做钢混结构的水泥池，外侧按建筑要求做防水层；</w:t>
            </w:r>
          </w:p>
          <w:p>
            <w:pPr>
              <w:pStyle w:val="137"/>
              <w:ind w:firstLine="480"/>
              <w:rPr>
                <w:rFonts w:hint="default" w:ascii="Times New Roman" w:hAnsi="Times New Roman" w:cs="Times New Roman"/>
              </w:rPr>
            </w:pPr>
            <w:r>
              <w:rPr>
                <w:rFonts w:hint="default" w:ascii="Times New Roman" w:hAnsi="Times New Roman" w:cs="Times New Roman"/>
              </w:rPr>
              <w:t>b、油罐采用 SF 双层内钢外玻璃纤维增强塑料卧式油罐，两层罐壁间隙实施在线监控和人工检测；③池底部坡度为 3%，池内、池外预留观测孔。</w:t>
            </w:r>
          </w:p>
          <w:p>
            <w:pPr>
              <w:pStyle w:val="137"/>
              <w:ind w:firstLine="480"/>
              <w:rPr>
                <w:rFonts w:hint="default" w:ascii="Times New Roman" w:hAnsi="Times New Roman" w:cs="Times New Roman"/>
              </w:rPr>
            </w:pPr>
            <w:r>
              <w:rPr>
                <w:rFonts w:hint="default" w:ascii="Times New Roman" w:hAnsi="Times New Roman" w:cs="Times New Roman"/>
              </w:rPr>
              <w:t>③管线</w:t>
            </w:r>
          </w:p>
          <w:p>
            <w:pPr>
              <w:pStyle w:val="137"/>
              <w:ind w:firstLine="480"/>
              <w:rPr>
                <w:rFonts w:hint="default" w:ascii="Times New Roman" w:hAnsi="Times New Roman" w:cs="Times New Roman"/>
              </w:rPr>
            </w:pPr>
            <w:r>
              <w:rPr>
                <w:rFonts w:hint="default" w:ascii="Times New Roman" w:hAnsi="Times New Roman" w:cs="Times New Roman"/>
              </w:rPr>
              <w:t>加油枪至油罐间管线要做隔油防渗层。</w:t>
            </w:r>
          </w:p>
          <w:p>
            <w:pPr>
              <w:pStyle w:val="137"/>
              <w:tabs>
                <w:tab w:val="left" w:pos="4470"/>
              </w:tabs>
              <w:ind w:firstLine="480"/>
              <w:rPr>
                <w:rFonts w:hint="default" w:ascii="Times New Roman" w:hAnsi="Times New Roman" w:cs="Times New Roman"/>
              </w:rPr>
            </w:pPr>
            <w:r>
              <w:rPr>
                <w:rFonts w:hint="default" w:ascii="Times New Roman" w:hAnsi="Times New Roman" w:cs="Times New Roman"/>
              </w:rPr>
              <w:t>④加油站地面、洗车废水处理设施</w:t>
            </w:r>
          </w:p>
          <w:p>
            <w:pPr>
              <w:pStyle w:val="137"/>
              <w:tabs>
                <w:tab w:val="left" w:pos="4470"/>
              </w:tabs>
              <w:ind w:firstLine="480"/>
              <w:rPr>
                <w:rFonts w:hint="default" w:ascii="Times New Roman" w:hAnsi="Times New Roman" w:cs="Times New Roman"/>
              </w:rPr>
            </w:pPr>
            <w:r>
              <w:rPr>
                <w:rFonts w:hint="default" w:ascii="Times New Roman" w:hAnsi="Times New Roman" w:cs="Times New Roman"/>
              </w:rPr>
              <w:t>加油站地面洗车废水处理设施做防渗处理，地表做防渗沟。</w:t>
            </w:r>
          </w:p>
          <w:p>
            <w:pPr>
              <w:pStyle w:val="137"/>
              <w:ind w:firstLine="480"/>
              <w:rPr>
                <w:rFonts w:hint="default" w:ascii="Times New Roman" w:hAnsi="Times New Roman" w:cs="Times New Roman"/>
              </w:rPr>
            </w:pPr>
            <w:r>
              <w:rPr>
                <w:rFonts w:hint="default" w:ascii="Times New Roman" w:hAnsi="Times New Roman" w:cs="Times New Roman"/>
              </w:rPr>
              <w:t>⑤化粪池、沉淀室、隔油池</w:t>
            </w:r>
          </w:p>
          <w:p>
            <w:pPr>
              <w:pStyle w:val="137"/>
              <w:ind w:firstLine="480"/>
              <w:rPr>
                <w:rFonts w:hint="default" w:ascii="Times New Roman" w:hAnsi="Times New Roman" w:cs="Times New Roman"/>
              </w:rPr>
            </w:pPr>
            <w:r>
              <w:rPr>
                <w:rFonts w:hint="default" w:ascii="Times New Roman" w:hAnsi="Times New Roman" w:cs="Times New Roman"/>
              </w:rPr>
              <w:t>地下做钢混结构的水泥池，外侧按建筑要求做防水层。</w:t>
            </w:r>
          </w:p>
          <w:p>
            <w:pPr>
              <w:pStyle w:val="137"/>
              <w:ind w:firstLine="480"/>
              <w:rPr>
                <w:rFonts w:hint="default" w:ascii="Times New Roman" w:hAnsi="Times New Roman" w:cs="Times New Roman"/>
              </w:rPr>
            </w:pPr>
            <w:r>
              <w:rPr>
                <w:rFonts w:hint="default" w:ascii="Times New Roman" w:hAnsi="Times New Roman" w:cs="Times New Roman"/>
              </w:rPr>
              <w:t>根据《中华人民共和国水污染防治法》的相关规定，按照“源头控制，分区防治，污染监控，应急响应”、突出饮用水安全的原则确定地下水的保护措施与对策。从项目区的地形地貌、地质环境条件、生产方案与工艺、水文地质条件、可能的污染源及污染途径等综合分析，从保护地下水环境的目标与要求出发，做到保护的有效性与长期性，提出以下地下水环境保护的措施与对策建议。</w:t>
            </w:r>
          </w:p>
          <w:p>
            <w:pPr>
              <w:pStyle w:val="137"/>
              <w:ind w:firstLine="480"/>
              <w:rPr>
                <w:rFonts w:hint="default" w:ascii="Times New Roman" w:hAnsi="Times New Roman" w:cs="Times New Roman"/>
              </w:rPr>
            </w:pPr>
            <w:r>
              <w:rPr>
                <w:rFonts w:hint="default" w:ascii="Times New Roman" w:hAnsi="Times New Roman" w:cs="Times New Roman"/>
              </w:rPr>
              <w:t>源头控制：本项目根据《石油化工工程防范技术规范》(GB/T50934-2013)及《加油站渗、泄漏污染控制标准》等严格进行防渗、防泄漏设计与施工。</w:t>
            </w:r>
          </w:p>
          <w:p>
            <w:pPr>
              <w:pStyle w:val="137"/>
              <w:ind w:firstLine="480"/>
              <w:rPr>
                <w:rFonts w:hint="default" w:ascii="Times New Roman" w:hAnsi="Times New Roman" w:cs="Times New Roman"/>
              </w:rPr>
            </w:pPr>
            <w:r>
              <w:rPr>
                <w:rFonts w:hint="default" w:ascii="Times New Roman" w:hAnsi="Times New Roman" w:cs="Times New Roman"/>
              </w:rPr>
              <w:t>分区防治：应根据项目的特点，采取相应的防治石油类入渗污染地下水的措施。在根据可能的渗、泄漏区，如加油区，大面积设置防止渗漏的水平防渗工程措施，油罐材料拟采用耐酸碱腐蚀、防渗效果较好的环氧树脂玻璃钢防渗； 沿输油管线两侧至少</w:t>
            </w:r>
            <w:r>
              <w:rPr>
                <w:rFonts w:hint="eastAsia" w:cs="Times New Roman"/>
                <w:lang w:val="en-US" w:eastAsia="zh-CN"/>
              </w:rPr>
              <w:t>1</w:t>
            </w:r>
            <w:r>
              <w:rPr>
                <w:rFonts w:hint="default" w:ascii="Times New Roman" w:hAnsi="Times New Roman" w:cs="Times New Roman"/>
              </w:rPr>
              <w:t>m范围设置防渗结构；在储油罐设置防渗罐池，储油罐建议采用双层壁储油罐等。根据储油罐的压力不同等，设置防渗设施的检漏系统；考虑其它风险时，应在项目区设置油污收集池等收集系统；目区的道路均应水泥硬化处理。</w:t>
            </w:r>
          </w:p>
          <w:p>
            <w:pPr>
              <w:pStyle w:val="137"/>
              <w:ind w:firstLine="480"/>
              <w:rPr>
                <w:rFonts w:hint="default" w:ascii="Times New Roman" w:hAnsi="Times New Roman" w:cs="Times New Roman"/>
              </w:rPr>
            </w:pPr>
            <w:r>
              <w:rPr>
                <w:rFonts w:hint="default" w:ascii="Times New Roman" w:hAnsi="Times New Roman" w:cs="Times New Roman"/>
              </w:rPr>
              <w:t>地下水污染监控：项应根据本项目的特点，建立地下水污染监控制度和环境管理系统，制订详细的监测计划。</w:t>
            </w:r>
          </w:p>
          <w:p>
            <w:pPr>
              <w:pStyle w:val="137"/>
              <w:ind w:firstLine="480"/>
              <w:rPr>
                <w:rFonts w:hint="default" w:ascii="Times New Roman" w:hAnsi="Times New Roman" w:cs="Times New Roman"/>
              </w:rPr>
            </w:pPr>
            <w:r>
              <w:rPr>
                <w:rFonts w:hint="default" w:ascii="Times New Roman" w:hAnsi="Times New Roman" w:cs="Times New Roman"/>
              </w:rPr>
              <w:t>风险事故应急响应：项目业主拟在项目生产运行前做好地下水风险事故应急响应预案，在地下水监测中发现有成份含量超过地下水背景值的异常，以及超过本次预测的浓度与范围时，应立即采取包括停止卸油、关闭相应系统、抽取各渗、泄漏油、检查收集系统与处理系统等。</w:t>
            </w:r>
          </w:p>
          <w:p>
            <w:pPr>
              <w:pStyle w:val="137"/>
              <w:ind w:firstLine="480"/>
              <w:rPr>
                <w:rFonts w:hint="default" w:ascii="Times New Roman" w:hAnsi="Times New Roman" w:cs="Times New Roman"/>
              </w:rPr>
            </w:pPr>
            <w:r>
              <w:rPr>
                <w:rFonts w:hint="default" w:ascii="Times New Roman" w:hAnsi="Times New Roman" w:cs="Times New Roman"/>
              </w:rPr>
              <w:t>事故报告制度：当出现污染事故时，应采取事故报告制度。在第一时间， 通过无线通讯、网络、在线系统等向本区环境保护主管部门汇报，并立即采取编制事故报告，报告内容应包括：项目地点、地下水环境监测数据、污染物种类、数量、浓度等。在采取以上防护措施后，该项目正常情况下储油罐发生泄漏的机率非常小。</w:t>
            </w:r>
          </w:p>
          <w:p>
            <w:pPr>
              <w:pStyle w:val="161"/>
              <w:rPr>
                <w:rFonts w:hint="default" w:ascii="Times New Roman" w:hAnsi="Times New Roman" w:cs="Times New Roman"/>
                <w:bCs/>
              </w:rPr>
            </w:pPr>
            <w:r>
              <w:rPr>
                <w:rFonts w:hint="default" w:ascii="Times New Roman" w:hAnsi="Times New Roman" w:cs="Times New Roman"/>
              </w:rPr>
              <w:t>三、环境空气影响分析</w:t>
            </w:r>
          </w:p>
          <w:p>
            <w:pPr>
              <w:pStyle w:val="137"/>
              <w:ind w:firstLine="480"/>
              <w:rPr>
                <w:rFonts w:hint="default" w:ascii="Times New Roman" w:hAnsi="Times New Roman" w:cs="Times New Roman"/>
                <w:kern w:val="21"/>
              </w:rPr>
            </w:pPr>
            <w:bookmarkStart w:id="36" w:name="_Hlk26125429"/>
            <w:r>
              <w:rPr>
                <w:rFonts w:hint="default" w:ascii="Times New Roman" w:hAnsi="Times New Roman" w:cs="Times New Roman"/>
                <w:kern w:val="21"/>
              </w:rPr>
              <w:t>1、项目大气环境影响分析及控制措施：</w:t>
            </w:r>
          </w:p>
          <w:p>
            <w:pPr>
              <w:pStyle w:val="137"/>
              <w:ind w:firstLine="480"/>
              <w:rPr>
                <w:rFonts w:hint="default" w:ascii="Times New Roman" w:hAnsi="Times New Roman" w:cs="Times New Roman"/>
              </w:rPr>
            </w:pPr>
            <w:r>
              <w:rPr>
                <w:rFonts w:hint="default" w:ascii="Times New Roman" w:hAnsi="Times New Roman" w:cs="Times New Roman"/>
              </w:rPr>
              <w:t>（1）非甲烷总烃</w:t>
            </w:r>
          </w:p>
          <w:p>
            <w:pPr>
              <w:pStyle w:val="137"/>
              <w:ind w:firstLine="480"/>
              <w:rPr>
                <w:rFonts w:hint="default" w:ascii="Times New Roman" w:hAnsi="Times New Roman" w:cs="Times New Roman"/>
              </w:rPr>
            </w:pPr>
            <w:r>
              <w:rPr>
                <w:rFonts w:hint="default" w:ascii="Times New Roman" w:hAnsi="Times New Roman" w:cs="Times New Roman"/>
              </w:rPr>
              <w:t>根据《加油站大气污染物排放标准》（GB20952-2007）中相关技术措施要求，加油站卸油、储油和加油时排放的油气，应采用以密闭收集为基础的油气回收方法进行控制。</w:t>
            </w:r>
          </w:p>
          <w:p>
            <w:pPr>
              <w:pStyle w:val="137"/>
              <w:ind w:firstLine="480"/>
              <w:rPr>
                <w:rFonts w:hint="default" w:ascii="Times New Roman" w:hAnsi="Times New Roman" w:cs="Times New Roman"/>
              </w:rPr>
            </w:pPr>
            <w:r>
              <w:rPr>
                <w:rFonts w:hint="default" w:ascii="Times New Roman" w:hAnsi="Times New Roman" w:cs="Times New Roman"/>
              </w:rPr>
              <w:t>①油气回收原理及回收率分析说明及可行性分析</w:t>
            </w:r>
          </w:p>
          <w:p>
            <w:pPr>
              <w:pStyle w:val="137"/>
              <w:ind w:firstLine="480"/>
              <w:rPr>
                <w:rFonts w:hint="default" w:ascii="Times New Roman" w:hAnsi="Times New Roman" w:cs="Times New Roman"/>
              </w:rPr>
            </w:pPr>
            <w:r>
              <w:rPr>
                <w:rFonts w:hint="default" w:ascii="Times New Roman" w:hAnsi="Times New Roman" w:cs="Times New Roman"/>
              </w:rPr>
              <w:t>由工程分析可知，加油站油气的排放主要来源于油罐车卸油和机动车加油两个过程，因此这两个过程是控制加油站油气排放的关键。本项目拟采用油气收集法对项目的油气进行处理。目前可供我国选用的油气回收系统有一级油气回收系统、二级油气回收系统等。一、二级油气回收系统如下</w:t>
            </w:r>
            <w:r>
              <w:rPr>
                <w:rFonts w:hint="eastAsia" w:cs="Times New Roman"/>
                <w:lang w:val="en-US" w:eastAsia="zh-CN"/>
              </w:rPr>
              <w:t>图7-1</w:t>
            </w:r>
            <w:r>
              <w:rPr>
                <w:rFonts w:hint="default" w:ascii="Times New Roman" w:hAnsi="Times New Roman" w:cs="Times New Roman"/>
              </w:rPr>
              <w:t>所示。</w:t>
            </w:r>
          </w:p>
          <w:p>
            <w:pPr>
              <w:pStyle w:val="137"/>
              <w:ind w:firstLine="480"/>
              <w:rPr>
                <w:rFonts w:hint="default" w:ascii="Times New Roman" w:hAnsi="Times New Roman" w:cs="Times New Roman"/>
              </w:rPr>
            </w:pPr>
            <w:r>
              <w:rPr>
                <w:rFonts w:hint="default" w:ascii="Times New Roman" w:hAnsi="Times New Roman" w:cs="Times New Roman"/>
              </w:rPr>
              <w:drawing>
                <wp:inline distT="0" distB="0" distL="0" distR="0">
                  <wp:extent cx="4333875" cy="1941195"/>
                  <wp:effectExtent l="0" t="0" r="9525" b="1905"/>
                  <wp:docPr id="139588" name="Picture 139588"/>
                  <wp:cNvGraphicFramePr/>
                  <a:graphic xmlns:a="http://schemas.openxmlformats.org/drawingml/2006/main">
                    <a:graphicData uri="http://schemas.openxmlformats.org/drawingml/2006/picture">
                      <pic:pic xmlns:pic="http://schemas.openxmlformats.org/drawingml/2006/picture">
                        <pic:nvPicPr>
                          <pic:cNvPr id="139588" name="Picture 13958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33875" cy="1941195"/>
                          </a:xfrm>
                          <a:prstGeom prst="rect">
                            <a:avLst/>
                          </a:prstGeom>
                        </pic:spPr>
                      </pic:pic>
                    </a:graphicData>
                  </a:graphic>
                </wp:inline>
              </w:drawing>
            </w:r>
          </w:p>
          <w:p>
            <w:pPr>
              <w:pStyle w:val="143"/>
              <w:spacing w:before="156"/>
              <w:rPr>
                <w:rFonts w:hint="default" w:ascii="Times New Roman" w:hAnsi="Times New Roman" w:cs="Times New Roman"/>
                <w:szCs w:val="24"/>
              </w:rPr>
            </w:pPr>
            <w:r>
              <w:rPr>
                <w:rFonts w:hint="default" w:ascii="Times New Roman" w:hAnsi="Times New Roman" w:cs="Times New Roman"/>
              </w:rPr>
              <w:t>图</w:t>
            </w:r>
            <w:r>
              <w:rPr>
                <w:rFonts w:hint="eastAsia" w:cs="Times New Roman"/>
                <w:lang w:val="en-US" w:eastAsia="zh-CN"/>
              </w:rPr>
              <w:t xml:space="preserve">7-1  </w:t>
            </w:r>
            <w:r>
              <w:rPr>
                <w:rFonts w:hint="default" w:ascii="Times New Roman" w:hAnsi="Times New Roman" w:eastAsia="TimesNewRomanPSMT" w:cs="Times New Roman"/>
                <w:szCs w:val="24"/>
              </w:rPr>
              <w:t xml:space="preserve"> </w:t>
            </w:r>
            <w:r>
              <w:rPr>
                <w:rFonts w:hint="default" w:ascii="Times New Roman" w:hAnsi="Times New Roman" w:cs="Times New Roman"/>
                <w:szCs w:val="24"/>
              </w:rPr>
              <w:t>一、二级油气回收系统示意图</w:t>
            </w:r>
          </w:p>
          <w:p>
            <w:pPr>
              <w:pStyle w:val="137"/>
              <w:ind w:firstLine="480"/>
              <w:rPr>
                <w:rFonts w:hint="default" w:ascii="Times New Roman" w:hAnsi="Times New Roman" w:cs="Times New Roman"/>
              </w:rPr>
            </w:pPr>
            <w:r>
              <w:rPr>
                <w:rFonts w:hint="default" w:ascii="Times New Roman" w:hAnsi="Times New Roman" w:cs="Times New Roman"/>
              </w:rPr>
              <w:t>一级油气回收系统：当装满挥发性油料（如汽油）的储油罐逐渐放空时，空余的空间就会被空气和油蒸气的混合气体所填充。油罐车在加油站装卸油料时， 随着新的油料进入地下油罐，罐中的油蒸气就会排入空气中。一级油气回收系统主要是针对这一部分的逃逸蒸气而设计的，它是指在油罐车卸油时采用密封式卸油，减少油气向外界溢散。其基本原理就是用导管将逃逸的油气重新输送回油罐车里，完成油气循环的卸油过程。回收到油罐车的油气，可由油罐车带回油库后再经冷凝、吸附或其它方式处理。</w:t>
            </w:r>
          </w:p>
          <w:p>
            <w:pPr>
              <w:pStyle w:val="137"/>
              <w:ind w:firstLine="480"/>
              <w:rPr>
                <w:rFonts w:hint="default" w:ascii="Times New Roman" w:hAnsi="Times New Roman" w:cs="Times New Roman"/>
              </w:rPr>
            </w:pPr>
            <w:r>
              <w:rPr>
                <w:rFonts w:hint="default" w:ascii="Times New Roman" w:hAnsi="Times New Roman" w:cs="Times New Roman"/>
              </w:rPr>
              <w:t>目前，国内的一级油气回收系统主要采用“两点式油气回收系统”，此系统的出口一个用于连接输油管，一个用于连接装有弹性阀的蒸气回收管。当油罐车上油气回收管线正确连接到油罐的回收口时，回收口的弹性阀就会打开，同时排气管关闭，使油罐中的油气能完全由回收管回到油罐车内。具体工艺流程如</w:t>
            </w:r>
            <w:r>
              <w:rPr>
                <w:rFonts w:hint="eastAsia" w:cs="Times New Roman"/>
                <w:lang w:val="en-US" w:eastAsia="zh-CN"/>
              </w:rPr>
              <w:t>图7-2</w:t>
            </w:r>
            <w:r>
              <w:rPr>
                <w:rFonts w:hint="default" w:ascii="Times New Roman" w:hAnsi="Times New Roman" w:cs="Times New Roman"/>
              </w:rPr>
              <w:t>所示。</w:t>
            </w:r>
          </w:p>
          <w:p>
            <w:pPr>
              <w:pStyle w:val="137"/>
              <w:ind w:firstLine="480"/>
              <w:jc w:val="center"/>
              <w:rPr>
                <w:rFonts w:hint="default" w:ascii="Times New Roman" w:hAnsi="Times New Roman" w:cs="Times New Roman"/>
              </w:rPr>
            </w:pPr>
            <w:r>
              <w:rPr>
                <w:rFonts w:hint="default" w:ascii="Times New Roman" w:hAnsi="Times New Roman" w:cs="Times New Roman"/>
              </w:rPr>
              <w:drawing>
                <wp:inline distT="0" distB="0" distL="0" distR="0">
                  <wp:extent cx="2889250" cy="2046605"/>
                  <wp:effectExtent l="0" t="0" r="0" b="0"/>
                  <wp:docPr id="8146" name="Picture 8146"/>
                  <wp:cNvGraphicFramePr/>
                  <a:graphic xmlns:a="http://schemas.openxmlformats.org/drawingml/2006/main">
                    <a:graphicData uri="http://schemas.openxmlformats.org/drawingml/2006/picture">
                      <pic:pic xmlns:pic="http://schemas.openxmlformats.org/drawingml/2006/picture">
                        <pic:nvPicPr>
                          <pic:cNvPr id="8146" name="Picture 8146"/>
                          <pic:cNvPicPr/>
                        </pic:nvPicPr>
                        <pic:blipFill>
                          <a:blip r:embed="rId28"/>
                          <a:stretch>
                            <a:fillRect/>
                          </a:stretch>
                        </pic:blipFill>
                        <pic:spPr>
                          <a:xfrm>
                            <a:off x="0" y="0"/>
                            <a:ext cx="2889504" cy="2046732"/>
                          </a:xfrm>
                          <a:prstGeom prst="rect">
                            <a:avLst/>
                          </a:prstGeom>
                        </pic:spPr>
                      </pic:pic>
                    </a:graphicData>
                  </a:graphic>
                </wp:inline>
              </w:drawing>
            </w:r>
          </w:p>
          <w:p>
            <w:pPr>
              <w:pStyle w:val="146"/>
              <w:spacing w:after="156"/>
              <w:rPr>
                <w:rFonts w:hint="default" w:ascii="Times New Roman" w:hAnsi="Times New Roman" w:cs="Times New Roman"/>
              </w:rPr>
            </w:pPr>
            <w:bookmarkStart w:id="37" w:name="_Ref45529183"/>
            <w:r>
              <w:rPr>
                <w:rFonts w:hint="default" w:ascii="Times New Roman" w:hAnsi="Times New Roman" w:cs="Times New Roman"/>
              </w:rPr>
              <w:t>图</w:t>
            </w:r>
            <w:bookmarkEnd w:id="37"/>
            <w:r>
              <w:rPr>
                <w:rFonts w:hint="eastAsia" w:cs="Times New Roman"/>
                <w:lang w:val="en-US" w:eastAsia="zh-CN"/>
              </w:rPr>
              <w:t xml:space="preserve">7-2 </w:t>
            </w:r>
            <w:r>
              <w:rPr>
                <w:rFonts w:hint="default" w:ascii="Times New Roman" w:hAnsi="Times New Roman" w:cs="Times New Roman"/>
              </w:rPr>
              <w:t>卸油油气回收工艺流程图</w:t>
            </w:r>
          </w:p>
          <w:p>
            <w:pPr>
              <w:pStyle w:val="137"/>
              <w:ind w:firstLine="480"/>
              <w:rPr>
                <w:rFonts w:hint="default" w:ascii="Times New Roman" w:hAnsi="Times New Roman" w:cs="Times New Roman"/>
              </w:rPr>
            </w:pPr>
            <w:r>
              <w:rPr>
                <w:rFonts w:hint="default" w:ascii="Times New Roman" w:hAnsi="Times New Roman" w:cs="Times New Roman"/>
              </w:rPr>
              <w:t>根据以上介绍，</w:t>
            </w:r>
            <w:r>
              <w:rPr>
                <w:rFonts w:hint="default" w:ascii="Times New Roman" w:hAnsi="Times New Roman" w:eastAsia="Times New Roman" w:cs="Times New Roman"/>
              </w:rPr>
              <w:t>“</w:t>
            </w:r>
            <w:r>
              <w:rPr>
                <w:rFonts w:hint="default" w:ascii="Times New Roman" w:hAnsi="Times New Roman" w:cs="Times New Roman"/>
              </w:rPr>
              <w:t>一级油气回收系统</w:t>
            </w:r>
            <w:r>
              <w:rPr>
                <w:rFonts w:hint="default" w:ascii="Times New Roman" w:hAnsi="Times New Roman" w:eastAsia="Times New Roman" w:cs="Times New Roman"/>
              </w:rPr>
              <w:t>”</w:t>
            </w:r>
            <w:r>
              <w:rPr>
                <w:rFonts w:hint="default" w:ascii="Times New Roman" w:hAnsi="Times New Roman" w:cs="Times New Roman"/>
              </w:rPr>
              <w:t>回收效率可达</w:t>
            </w:r>
            <w:r>
              <w:rPr>
                <w:rFonts w:hint="default" w:ascii="Times New Roman" w:hAnsi="Times New Roman" w:eastAsia="Times New Roman" w:cs="Times New Roman"/>
              </w:rPr>
              <w:t>95%</w:t>
            </w:r>
            <w:r>
              <w:rPr>
                <w:rFonts w:hint="default" w:ascii="Times New Roman" w:hAnsi="Times New Roman" w:cs="Times New Roman"/>
              </w:rPr>
              <w:t>。二级油气回收系统：这种油气回收系统主要就是指在汽车加油时，利用油枪上的特殊装置，将原来会由汽车油箱溢散于空气中的油气由加油枪、抽气电动机汇入油罐内。常采用“蒸气平衡”二级回收系统，即利用汽油和油气相互交换比例接近于1：1 的原理进行回收。该回收系统主要依靠加油枪油管口的面板与机动车油罐口这间的充分密封连接来完成。利用一根同轴胶管的连接形成一个回路， 可以使机动车加油和油气回收同时进行，并且通过一个导入式的管口形成密闭系统，从而为蒸气平衡提供条件。此系统要求在加油枪和机动车的油罐口之间的接触面具有充分的密闭性。回收效率可以达到95%，本项目回收效率取95%。根据“工程分析”，经采取一、二级油气回收系统处理后，本项目约有33.14kg/a 的非甲烷总烃通过无组织的形式排入大气中。经预测分析可知，项目非甲烷总烃废气最大占标率为0.13%，最大落地浓度为0.003mg/m</w:t>
            </w:r>
            <w:r>
              <w:rPr>
                <w:rFonts w:hint="default" w:ascii="Times New Roman" w:hAnsi="Times New Roman" w:cs="Times New Roman"/>
                <w:vertAlign w:val="superscript"/>
              </w:rPr>
              <w:t>3</w:t>
            </w:r>
            <w:r>
              <w:rPr>
                <w:rFonts w:hint="default" w:ascii="Times New Roman" w:hAnsi="Times New Roman" w:cs="Times New Roman"/>
              </w:rPr>
              <w:t>，均小于《大气污染物排放限值》（DB44/27-2001）中第二时段无组织排放监控浓度限值要求及《挥发性有机物无组织排放控制标准》（GB37822-2019）有关标准，对周边环境影响不大。</w:t>
            </w:r>
          </w:p>
          <w:p>
            <w:pPr>
              <w:pStyle w:val="137"/>
              <w:ind w:firstLine="480"/>
              <w:rPr>
                <w:rFonts w:hint="default" w:ascii="Times New Roman" w:hAnsi="Times New Roman" w:cs="Times New Roman"/>
              </w:rPr>
            </w:pPr>
            <w:r>
              <w:rPr>
                <w:rFonts w:hint="default" w:ascii="Times New Roman" w:hAnsi="Times New Roman" w:cs="Times New Roman"/>
              </w:rPr>
              <w:t>为进一步减少项目非甲烷总烃废气对周围大气环境的影响，建设单位拟实行一、二级油气回收系统后，继续加强操作工的技术培训，尽最大程度减少加油过程中油料的损耗及挥发，尽量将非甲烷总烃废气对周围环境的影响降到最低。同时，项目卸油、加油时需按照以下措施进行。卸油油气排放控制：①应采用浸没式卸油方式，卸油管出油口距罐底高度小于200mm。②卸油和油气回收接口应安装DN100mm的截流阀、密闭式快速接头和帽盖。③连接软管应采用DN100mm的密闭式快速接头和卸油车连接，卸油后连接软管内不能存留残油。④所有油气管线排放口应按（GB50156-2012，2014年局部修订版）的要求设置压力。⑤连接排气管的地下管线应坡向油罐，坡度不应小于1%，管线直径不小于DN50mm。</w:t>
            </w:r>
          </w:p>
          <w:p>
            <w:pPr>
              <w:pStyle w:val="137"/>
              <w:ind w:firstLine="480"/>
              <w:rPr>
                <w:rFonts w:hint="default" w:ascii="Times New Roman" w:hAnsi="Times New Roman" w:cs="Times New Roman"/>
              </w:rPr>
            </w:pPr>
            <w:r>
              <w:rPr>
                <w:rFonts w:hint="default" w:ascii="Times New Roman" w:hAnsi="Times New Roman" w:cs="Times New Roman"/>
              </w:rPr>
              <w:t>储油油气排放控制：①所有影响储油油气密闭性的部件，包括油气管线和所联接的法兰、阀门、快接头以及其他相关部件都应保证在小于750Pa 时不漏气。②埋地油罐应采用电子式液位计进行汽油密闭测量。③应采用符合相关规定的溢油控制措施。</w:t>
            </w:r>
          </w:p>
          <w:p>
            <w:pPr>
              <w:pStyle w:val="137"/>
              <w:ind w:firstLine="480"/>
              <w:rPr>
                <w:rFonts w:hint="default" w:ascii="Times New Roman" w:hAnsi="Times New Roman" w:cs="Times New Roman"/>
              </w:rPr>
            </w:pPr>
            <w:r>
              <w:rPr>
                <w:rFonts w:hint="default" w:ascii="Times New Roman" w:hAnsi="Times New Roman" w:cs="Times New Roman"/>
              </w:rPr>
              <w:t>加油油气排放控制：①加油产生的油气应采用真空辅助方式进行密闭收集。②油气回收管线应坡向油罐，坡度不应小于1%。③在油气管线覆土、地面硬化施工之前，应向管线内注入10L汽油并检测液阻。④应严格按照规程操作和管理油气回收装置，定期检查、维护并记录备查。⑤加油软管应配备拉断截止阀，加油时应防止溢油和滴油。</w:t>
            </w:r>
          </w:p>
          <w:p>
            <w:pPr>
              <w:pStyle w:val="137"/>
              <w:ind w:firstLine="480"/>
              <w:rPr>
                <w:rFonts w:hint="default" w:ascii="Times New Roman" w:hAnsi="Times New Roman" w:cs="Times New Roman"/>
              </w:rPr>
            </w:pPr>
            <w:r>
              <w:rPr>
                <w:rFonts w:hint="default" w:ascii="Times New Roman" w:hAnsi="Times New Roman" w:cs="Times New Roman"/>
              </w:rPr>
              <w:t>此外，本项目在选择设备和进行操作时注意以下几点：①正确制定储罐操作规程，尽可能使油罐装满到允许的程度，尽量减少倒罐次数。②对阻火器、液封油、机械呼吸阀瓣、消防泡沫玻璃室、量油孔，每年应彻底检查两次，应做到气密性符合要求。③改进操作管理在条件允许的情况下，油罐应尽量在早、晚时段收油，收油时，要适度加大泵的流量，使油品在收油过程中来不及大量蒸发而减少损耗。</w:t>
            </w:r>
          </w:p>
          <w:p>
            <w:pPr>
              <w:pStyle w:val="137"/>
              <w:ind w:firstLine="480"/>
              <w:rPr>
                <w:rFonts w:hint="default" w:ascii="Times New Roman" w:hAnsi="Times New Roman" w:cs="Times New Roman"/>
              </w:rPr>
            </w:pPr>
            <w:r>
              <w:rPr>
                <w:rFonts w:hint="default" w:ascii="Times New Roman" w:hAnsi="Times New Roman" w:cs="Times New Roman"/>
              </w:rPr>
              <w:t>（2）备用发电机尾气</w:t>
            </w:r>
          </w:p>
          <w:p>
            <w:pPr>
              <w:pStyle w:val="137"/>
              <w:ind w:firstLine="480"/>
              <w:rPr>
                <w:rFonts w:hint="default" w:ascii="Times New Roman" w:hAnsi="Times New Roman" w:cs="Times New Roman"/>
              </w:rPr>
            </w:pPr>
            <w:r>
              <w:rPr>
                <w:rFonts w:hint="default" w:ascii="Times New Roman" w:hAnsi="Times New Roman" w:cs="Times New Roman"/>
              </w:rPr>
              <w:t>由“工程分析”可知，项目备用发电机年使用时间不超过18小时，消耗柴油量约0.15t/a。项目废气产生量为2250m</w:t>
            </w:r>
            <w:r>
              <w:rPr>
                <w:rFonts w:hint="default" w:ascii="Times New Roman" w:hAnsi="Times New Roman" w:cs="Times New Roman"/>
                <w:vertAlign w:val="superscript"/>
              </w:rPr>
              <w:t>3</w:t>
            </w:r>
            <w:r>
              <w:rPr>
                <w:rFonts w:hint="default" w:ascii="Times New Roman" w:hAnsi="Times New Roman" w:cs="Times New Roman"/>
              </w:rPr>
              <w:t>/a，其主要污染因子中SO</w:t>
            </w:r>
            <w:r>
              <w:rPr>
                <w:rFonts w:hint="default" w:ascii="Times New Roman" w:hAnsi="Times New Roman" w:cs="Times New Roman"/>
                <w:vertAlign w:val="subscript"/>
              </w:rPr>
              <w:t>2</w:t>
            </w:r>
            <w:r>
              <w:rPr>
                <w:rFonts w:hint="default" w:ascii="Times New Roman" w:hAnsi="Times New Roman" w:cs="Times New Roman"/>
              </w:rPr>
              <w:t>的产生量和排放浓度分别为0.0015kg/a、0.67mg/m</w:t>
            </w:r>
            <w:r>
              <w:rPr>
                <w:rFonts w:hint="default" w:ascii="Times New Roman" w:hAnsi="Times New Roman" w:cs="Times New Roman"/>
                <w:vertAlign w:val="superscript"/>
              </w:rPr>
              <w:t>3</w:t>
            </w:r>
            <w:r>
              <w:rPr>
                <w:rFonts w:hint="default" w:ascii="Times New Roman" w:hAnsi="Times New Roman" w:cs="Times New Roman"/>
              </w:rPr>
              <w:t>，NOx的产生量和排放浓度分别为0.0975kg/a、43.33mg/m</w:t>
            </w:r>
            <w:r>
              <w:rPr>
                <w:rFonts w:hint="default" w:ascii="Times New Roman" w:hAnsi="Times New Roman" w:cs="Times New Roman"/>
                <w:vertAlign w:val="superscript"/>
              </w:rPr>
              <w:t>3</w:t>
            </w:r>
            <w:r>
              <w:rPr>
                <w:rFonts w:hint="default" w:ascii="Times New Roman" w:hAnsi="Times New Roman" w:cs="Times New Roman"/>
              </w:rPr>
              <w:t>，烟尘的产生量和排放浓度分别为0.015kg/a</w:t>
            </w:r>
            <w:r>
              <w:rPr>
                <w:rFonts w:hint="eastAsia" w:cs="Times New Roman"/>
                <w:lang w:eastAsia="zh-CN"/>
              </w:rPr>
              <w:t>、</w:t>
            </w:r>
            <w:r>
              <w:rPr>
                <w:rFonts w:hint="default" w:ascii="Times New Roman" w:hAnsi="Times New Roman" w:cs="Times New Roman"/>
              </w:rPr>
              <w:t>6.67mg/m</w:t>
            </w:r>
            <w:r>
              <w:rPr>
                <w:rFonts w:hint="default" w:ascii="Times New Roman" w:hAnsi="Times New Roman" w:cs="Times New Roman"/>
                <w:vertAlign w:val="superscript"/>
              </w:rPr>
              <w:t>3</w:t>
            </w:r>
            <w:r>
              <w:rPr>
                <w:rFonts w:hint="default" w:ascii="Times New Roman" w:hAnsi="Times New Roman" w:cs="Times New Roman"/>
              </w:rPr>
              <w:t>。</w:t>
            </w:r>
          </w:p>
          <w:p>
            <w:pPr>
              <w:pStyle w:val="137"/>
              <w:ind w:firstLine="480"/>
              <w:rPr>
                <w:rFonts w:hint="default" w:ascii="Times New Roman" w:hAnsi="Times New Roman" w:cs="Times New Roman"/>
              </w:rPr>
            </w:pPr>
            <w:r>
              <w:rPr>
                <w:rFonts w:hint="default" w:ascii="Times New Roman" w:hAnsi="Times New Roman" w:cs="Times New Roman"/>
              </w:rPr>
              <w:t>备用柴油发电机运行时间短，尾气经设备自带水喷淋装置处理后，引至室外排放，尾气中的SO</w:t>
            </w:r>
            <w:r>
              <w:rPr>
                <w:rFonts w:hint="default" w:ascii="Times New Roman" w:hAnsi="Times New Roman" w:cs="Times New Roman"/>
                <w:vertAlign w:val="subscript"/>
              </w:rPr>
              <w:t>2</w:t>
            </w:r>
            <w:r>
              <w:rPr>
                <w:rFonts w:hint="default" w:ascii="Times New Roman" w:hAnsi="Times New Roman" w:cs="Times New Roman"/>
              </w:rPr>
              <w:t>、NOx 和烟尘的排放浓度和排放速率均可达到广东省《大气污染物排放限值》（DB44/27-2001）第二时段二级标准，对周围大气环境影响不大。</w:t>
            </w:r>
          </w:p>
          <w:p>
            <w:pPr>
              <w:pStyle w:val="137"/>
              <w:ind w:firstLine="480"/>
              <w:rPr>
                <w:rFonts w:hint="default" w:ascii="Times New Roman" w:hAnsi="Times New Roman" w:cs="Times New Roman"/>
              </w:rPr>
            </w:pPr>
            <w:r>
              <w:rPr>
                <w:rFonts w:hint="default" w:ascii="Times New Roman" w:hAnsi="Times New Roman" w:cs="Times New Roman"/>
              </w:rPr>
              <w:t>（3）车辆尾气</w:t>
            </w:r>
          </w:p>
          <w:p>
            <w:pPr>
              <w:pStyle w:val="137"/>
              <w:ind w:firstLine="480"/>
              <w:rPr>
                <w:rFonts w:hint="default" w:ascii="Times New Roman" w:hAnsi="Times New Roman" w:cs="Times New Roman"/>
              </w:rPr>
            </w:pPr>
            <w:r>
              <w:rPr>
                <w:rFonts w:hint="default" w:ascii="Times New Roman" w:hAnsi="Times New Roman" w:cs="Times New Roman"/>
              </w:rPr>
              <w:t>本项目运营期出入场地车辆主要为运输槽车及需要加油的机动车辆。</w:t>
            </w:r>
          </w:p>
          <w:p>
            <w:pPr>
              <w:pStyle w:val="137"/>
              <w:ind w:firstLine="480"/>
              <w:rPr>
                <w:rFonts w:hint="default" w:ascii="Times New Roman" w:hAnsi="Times New Roman" w:cs="Times New Roman"/>
              </w:rPr>
            </w:pPr>
            <w:r>
              <w:rPr>
                <w:rFonts w:hint="default" w:ascii="Times New Roman" w:hAnsi="Times New Roman" w:cs="Times New Roman"/>
              </w:rPr>
              <w:t>运输槽车主要以柴油为燃料，都会产生一定量的废气，包括CO、THC、NOx、SO</w:t>
            </w:r>
            <w:r>
              <w:rPr>
                <w:rFonts w:hint="default" w:ascii="Times New Roman" w:hAnsi="Times New Roman" w:cs="Times New Roman"/>
                <w:vertAlign w:val="subscript"/>
              </w:rPr>
              <w:t>2</w:t>
            </w:r>
            <w:r>
              <w:rPr>
                <w:rFonts w:hint="default" w:ascii="Times New Roman" w:hAnsi="Times New Roman" w:cs="Times New Roman"/>
              </w:rPr>
              <w:t>、烟尘等，为无组织排放，主要对站区周围和运输路线两侧局部范围产生一定影响，由于排放量不大，项目站区空旷且扩散面积较大，影响的程度与范围也相对小。</w:t>
            </w:r>
          </w:p>
          <w:p>
            <w:pPr>
              <w:pStyle w:val="137"/>
              <w:ind w:firstLine="480"/>
              <w:rPr>
                <w:rFonts w:hint="default" w:ascii="Times New Roman" w:hAnsi="Times New Roman" w:cs="Times New Roman"/>
              </w:rPr>
            </w:pPr>
            <w:r>
              <w:rPr>
                <w:rFonts w:hint="default" w:ascii="Times New Roman" w:hAnsi="Times New Roman" w:cs="Times New Roman"/>
              </w:rPr>
              <w:t>项目在运营期给机动车加油过程中，机动车进站减速加速等过程中会产生汽车尾气，汽车尾气主要污染物含有CO、CO</w:t>
            </w:r>
            <w:r>
              <w:rPr>
                <w:rFonts w:hint="default" w:ascii="Times New Roman" w:hAnsi="Times New Roman" w:cs="Times New Roman"/>
                <w:vertAlign w:val="subscript"/>
              </w:rPr>
              <w:t>2</w:t>
            </w:r>
            <w:r>
              <w:rPr>
                <w:rFonts w:hint="default" w:ascii="Times New Roman" w:hAnsi="Times New Roman" w:cs="Times New Roman"/>
              </w:rPr>
              <w:t>、NO</w:t>
            </w:r>
            <w:r>
              <w:rPr>
                <w:rFonts w:hint="default" w:ascii="Times New Roman" w:hAnsi="Times New Roman" w:cs="Times New Roman"/>
                <w:vertAlign w:val="subscript"/>
              </w:rPr>
              <w:t>X</w:t>
            </w:r>
            <w:r>
              <w:rPr>
                <w:rFonts w:hint="default" w:ascii="Times New Roman" w:hAnsi="Times New Roman" w:cs="Times New Roman"/>
              </w:rPr>
              <w:t>及THC。这些污染物以无组织形式排放，经空气稀释、周围绿化带吸附后对周围环境影响较小。</w:t>
            </w:r>
          </w:p>
          <w:p>
            <w:pPr>
              <w:pStyle w:val="137"/>
              <w:ind w:firstLine="480"/>
              <w:rPr>
                <w:rFonts w:hint="default" w:ascii="Times New Roman" w:hAnsi="Times New Roman" w:cs="Times New Roman"/>
              </w:rPr>
            </w:pPr>
            <w:r>
              <w:rPr>
                <w:rFonts w:hint="default" w:ascii="Times New Roman" w:hAnsi="Times New Roman" w:cs="Times New Roman"/>
              </w:rPr>
              <w:t>2、大气影响预测</w:t>
            </w:r>
          </w:p>
          <w:bookmarkEnd w:id="36"/>
          <w:p>
            <w:pPr>
              <w:pStyle w:val="137"/>
              <w:ind w:firstLine="480"/>
              <w:rPr>
                <w:rFonts w:hint="default" w:ascii="Times New Roman" w:hAnsi="Times New Roman" w:cs="Times New Roman"/>
              </w:rPr>
            </w:pPr>
            <w:r>
              <w:rPr>
                <w:rFonts w:hint="default" w:ascii="Times New Roman" w:hAnsi="Times New Roman" w:cs="Times New Roman"/>
              </w:rPr>
              <w:t>（1）大气环境影响评价等级判定</w:t>
            </w:r>
          </w:p>
          <w:p>
            <w:pPr>
              <w:pStyle w:val="137"/>
              <w:ind w:firstLine="480"/>
              <w:rPr>
                <w:rFonts w:hint="default" w:ascii="Times New Roman" w:hAnsi="Times New Roman" w:cs="Times New Roman"/>
              </w:rPr>
            </w:pPr>
            <w:r>
              <w:rPr>
                <w:rFonts w:hint="default" w:ascii="Times New Roman" w:hAnsi="Times New Roman" w:cs="Times New Roman"/>
              </w:rPr>
              <w:t>依据《环境影响评价技术导则-大气环境》(HJ2.2-2018)中5.3节工作等级的确定方法，结合项目工程分析结果，选择正常排放的主要污染物及排放参数，采用附录A 推荐模型中的AERSCREEN 模式计算项目污染源的最大环境影响，然后按评价工作分级判据进行分级。</w:t>
            </w:r>
          </w:p>
          <w:p>
            <w:pPr>
              <w:pStyle w:val="137"/>
              <w:ind w:firstLine="480"/>
              <w:rPr>
                <w:rFonts w:hint="default" w:ascii="Times New Roman" w:hAnsi="Times New Roman" w:cs="Times New Roman"/>
              </w:rPr>
            </w:pPr>
            <w:r>
              <w:rPr>
                <w:rFonts w:hint="default" w:ascii="Times New Roman" w:hAnsi="Times New Roman" w:cs="Times New Roman"/>
              </w:rPr>
              <w:t>结合项目工程分析，确定大气环境影响评价预测内容及评价因子为：非甲烷总烃。</w:t>
            </w:r>
          </w:p>
          <w:p>
            <w:pPr>
              <w:pStyle w:val="126"/>
              <w:widowControl/>
              <w:spacing w:before="0" w:line="360" w:lineRule="auto"/>
              <w:ind w:firstLine="480"/>
              <w:jc w:val="left"/>
              <w:rPr>
                <w:rFonts w:hint="default" w:ascii="Times New Roman" w:hAnsi="Times New Roman" w:cs="Times New Roman"/>
              </w:rPr>
            </w:pPr>
            <w:r>
              <w:rPr>
                <w:rFonts w:hint="default" w:ascii="Times New Roman" w:hAnsi="Times New Roman" w:cs="Times New Roman"/>
              </w:rPr>
              <w:t>①评价因子及评价标准筛选</w:t>
            </w:r>
          </w:p>
          <w:p>
            <w:pPr>
              <w:pStyle w:val="126"/>
              <w:widowControl/>
              <w:spacing w:before="0" w:line="360" w:lineRule="auto"/>
              <w:ind w:firstLine="480"/>
              <w:jc w:val="left"/>
              <w:rPr>
                <w:rFonts w:hint="default" w:ascii="Times New Roman" w:hAnsi="Times New Roman" w:cs="Times New Roman"/>
              </w:rPr>
            </w:pPr>
            <w:r>
              <w:rPr>
                <w:rFonts w:hint="default" w:ascii="Times New Roman" w:hAnsi="Times New Roman" w:cs="Times New Roman"/>
              </w:rPr>
              <w:t>污染物评价标准和来源见</w:t>
            </w:r>
            <w:r>
              <w:rPr>
                <w:rFonts w:hint="eastAsia" w:cs="Times New Roman"/>
                <w:lang w:val="en-US" w:eastAsia="zh-CN"/>
              </w:rPr>
              <w:t>表7-8</w:t>
            </w:r>
            <w:r>
              <w:rPr>
                <w:rFonts w:hint="default" w:ascii="Times New Roman" w:hAnsi="Times New Roman" w:cs="Times New Roman"/>
              </w:rPr>
              <w:t>。</w:t>
            </w:r>
          </w:p>
          <w:p>
            <w:pPr>
              <w:pStyle w:val="143"/>
              <w:keepNext w:val="0"/>
              <w:keepLines w:val="0"/>
              <w:pageBreakBefore w:val="0"/>
              <w:widowControl w:val="0"/>
              <w:kinsoku/>
              <w:wordWrap/>
              <w:overflowPunct/>
              <w:topLinePunct w:val="0"/>
              <w:autoSpaceDE/>
              <w:autoSpaceDN/>
              <w:bidi w:val="0"/>
              <w:adjustRightInd/>
              <w:snapToGrid/>
              <w:spacing w:beforeLines="0"/>
              <w:textAlignment w:val="auto"/>
              <w:rPr>
                <w:rFonts w:hint="default" w:ascii="Times New Roman" w:hAnsi="Times New Roman" w:cs="Times New Roman"/>
                <w:szCs w:val="21"/>
              </w:rPr>
            </w:pPr>
            <w:bookmarkStart w:id="38" w:name="_Ref26878987"/>
            <w:r>
              <w:rPr>
                <w:rFonts w:hint="default" w:ascii="Times New Roman" w:hAnsi="Times New Roman" w:cs="Times New Roman"/>
              </w:rPr>
              <w:t>表</w:t>
            </w:r>
            <w:bookmarkEnd w:id="38"/>
            <w:r>
              <w:rPr>
                <w:rFonts w:hint="eastAsia" w:cs="Times New Roman"/>
                <w:lang w:val="en-US" w:eastAsia="zh-CN"/>
              </w:rPr>
              <w:t>7-8</w:t>
            </w:r>
            <w:r>
              <w:rPr>
                <w:rFonts w:hint="default" w:ascii="Times New Roman" w:hAnsi="Times New Roman" w:cs="Times New Roman"/>
              </w:rPr>
              <w:t xml:space="preserve">   评价因子和评价标准表</w:t>
            </w:r>
          </w:p>
          <w:tbl>
            <w:tblPr>
              <w:tblStyle w:val="3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30"/>
              <w:gridCol w:w="1701"/>
              <w:gridCol w:w="1843"/>
              <w:gridCol w:w="25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830" w:type="dxa"/>
                  <w:vAlign w:val="center"/>
                </w:tcPr>
                <w:p>
                  <w:pPr>
                    <w:pStyle w:val="159"/>
                    <w:rPr>
                      <w:rFonts w:hint="default" w:ascii="Times New Roman" w:hAnsi="Times New Roman" w:cs="Times New Roman"/>
                      <w:bCs/>
                    </w:rPr>
                  </w:pPr>
                  <w:r>
                    <w:rPr>
                      <w:rFonts w:hint="default" w:ascii="Times New Roman" w:hAnsi="Times New Roman" w:cs="Times New Roman"/>
                      <w:bCs/>
                    </w:rPr>
                    <w:t>评价因子</w:t>
                  </w:r>
                </w:p>
              </w:tc>
              <w:tc>
                <w:tcPr>
                  <w:tcW w:w="1701" w:type="dxa"/>
                  <w:vAlign w:val="center"/>
                </w:tcPr>
                <w:p>
                  <w:pPr>
                    <w:pStyle w:val="159"/>
                    <w:rPr>
                      <w:rFonts w:hint="default" w:ascii="Times New Roman" w:hAnsi="Times New Roman" w:cs="Times New Roman"/>
                      <w:bCs/>
                    </w:rPr>
                  </w:pPr>
                  <w:r>
                    <w:rPr>
                      <w:rFonts w:hint="default" w:ascii="Times New Roman" w:hAnsi="Times New Roman" w:cs="Times New Roman"/>
                      <w:bCs/>
                    </w:rPr>
                    <w:t>平均时段</w:t>
                  </w:r>
                </w:p>
              </w:tc>
              <w:tc>
                <w:tcPr>
                  <w:tcW w:w="1843" w:type="dxa"/>
                  <w:vAlign w:val="center"/>
                </w:tcPr>
                <w:p>
                  <w:pPr>
                    <w:pStyle w:val="159"/>
                    <w:rPr>
                      <w:rFonts w:hint="default" w:ascii="Times New Roman" w:hAnsi="Times New Roman" w:cs="Times New Roman"/>
                      <w:bCs/>
                    </w:rPr>
                  </w:pPr>
                  <w:r>
                    <w:rPr>
                      <w:rFonts w:hint="default" w:ascii="Times New Roman" w:hAnsi="Times New Roman" w:cs="Times New Roman"/>
                      <w:bCs/>
                    </w:rPr>
                    <w:t>标准值/（μg/m</w:t>
                  </w:r>
                  <w:r>
                    <w:rPr>
                      <w:rFonts w:hint="default" w:ascii="Times New Roman" w:hAnsi="Times New Roman" w:cs="Times New Roman"/>
                      <w:bCs/>
                      <w:vertAlign w:val="superscript"/>
                    </w:rPr>
                    <w:t>3</w:t>
                  </w:r>
                  <w:r>
                    <w:rPr>
                      <w:rFonts w:hint="default" w:ascii="Times New Roman" w:hAnsi="Times New Roman" w:cs="Times New Roman"/>
                      <w:bCs/>
                    </w:rPr>
                    <w:t>）</w:t>
                  </w:r>
                </w:p>
              </w:tc>
              <w:tc>
                <w:tcPr>
                  <w:tcW w:w="2574" w:type="dxa"/>
                  <w:vAlign w:val="center"/>
                </w:tcPr>
                <w:p>
                  <w:pPr>
                    <w:pStyle w:val="159"/>
                    <w:rPr>
                      <w:rFonts w:hint="default" w:ascii="Times New Roman" w:hAnsi="Times New Roman" w:cs="Times New Roman"/>
                      <w:bCs/>
                    </w:rPr>
                  </w:pPr>
                  <w:r>
                    <w:rPr>
                      <w:rFonts w:hint="default" w:ascii="Times New Roman" w:hAnsi="Times New Roman" w:cs="Times New Roman"/>
                      <w:bCs/>
                    </w:rPr>
                    <w:t>标准来源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830" w:type="dxa"/>
                  <w:vAlign w:val="center"/>
                </w:tcPr>
                <w:p>
                  <w:pPr>
                    <w:widowControl/>
                    <w:snapToGrid w:val="0"/>
                    <w:jc w:val="center"/>
                    <w:rPr>
                      <w:rFonts w:hint="default" w:ascii="Times New Roman" w:hAnsi="Times New Roman" w:cs="Times New Roman"/>
                      <w:szCs w:val="21"/>
                    </w:rPr>
                  </w:pPr>
                  <w:r>
                    <w:rPr>
                      <w:rFonts w:hint="default" w:ascii="Times New Roman" w:hAnsi="Times New Roman" w:cs="Times New Roman"/>
                      <w:szCs w:val="21"/>
                    </w:rPr>
                    <w:t>非甲烷总烃</w:t>
                  </w:r>
                </w:p>
              </w:tc>
              <w:tc>
                <w:tcPr>
                  <w:tcW w:w="1701" w:type="dxa"/>
                  <w:vAlign w:val="center"/>
                </w:tcPr>
                <w:p>
                  <w:pPr>
                    <w:snapToGrid w:val="0"/>
                    <w:jc w:val="center"/>
                    <w:rPr>
                      <w:rFonts w:hint="default" w:ascii="Times New Roman" w:hAnsi="Times New Roman" w:cs="Times New Roman"/>
                    </w:rPr>
                  </w:pPr>
                  <w:r>
                    <w:rPr>
                      <w:rFonts w:hint="default" w:ascii="Times New Roman" w:hAnsi="Times New Roman" w:cs="Times New Roman"/>
                    </w:rPr>
                    <w:t>1h</w:t>
                  </w:r>
                </w:p>
              </w:tc>
              <w:tc>
                <w:tcPr>
                  <w:tcW w:w="1843" w:type="dxa"/>
                  <w:vAlign w:val="center"/>
                </w:tcPr>
                <w:p>
                  <w:pPr>
                    <w:snapToGrid w:val="0"/>
                    <w:jc w:val="center"/>
                    <w:rPr>
                      <w:rFonts w:hint="default" w:ascii="Times New Roman" w:hAnsi="Times New Roman" w:cs="Times New Roman"/>
                    </w:rPr>
                  </w:pPr>
                  <w:r>
                    <w:rPr>
                      <w:rFonts w:hint="default" w:ascii="Times New Roman" w:hAnsi="Times New Roman" w:cs="Times New Roman"/>
                    </w:rPr>
                    <w:t>2000</w:t>
                  </w:r>
                </w:p>
              </w:tc>
              <w:tc>
                <w:tcPr>
                  <w:tcW w:w="2574" w:type="dxa"/>
                  <w:vAlign w:val="center"/>
                </w:tcPr>
                <w:p>
                  <w:pPr>
                    <w:snapToGrid w:val="0"/>
                    <w:jc w:val="center"/>
                    <w:rPr>
                      <w:rFonts w:hint="default" w:ascii="Times New Roman" w:hAnsi="Times New Roman" w:cs="Times New Roman"/>
                    </w:rPr>
                  </w:pPr>
                  <w:r>
                    <w:rPr>
                      <w:rFonts w:hint="default" w:ascii="Times New Roman" w:hAnsi="Times New Roman" w:cs="Times New Roman"/>
                    </w:rPr>
                    <w:t>《大气污染物综合排放标准详解</w:t>
                  </w:r>
                </w:p>
              </w:tc>
            </w:tr>
          </w:tbl>
          <w:p>
            <w:pPr>
              <w:pStyle w:val="143"/>
              <w:spacing w:before="156"/>
              <w:rPr>
                <w:rFonts w:hint="default" w:ascii="Times New Roman" w:hAnsi="Times New Roman" w:cs="Times New Roman"/>
              </w:rPr>
            </w:pPr>
            <w:r>
              <w:rPr>
                <w:rFonts w:hint="default" w:ascii="Times New Roman" w:hAnsi="Times New Roman" w:cs="Times New Roman"/>
              </w:rPr>
              <w:t>表</w:t>
            </w:r>
            <w:r>
              <w:rPr>
                <w:rFonts w:hint="eastAsia" w:cs="Times New Roman"/>
                <w:lang w:val="en-US" w:eastAsia="zh-CN"/>
              </w:rPr>
              <w:t>7-9</w:t>
            </w:r>
            <w:r>
              <w:rPr>
                <w:rFonts w:hint="default" w:ascii="Times New Roman" w:hAnsi="Times New Roman" w:cs="Times New Roman"/>
              </w:rPr>
              <w:t xml:space="preserve">   估算模型参数</w:t>
            </w: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71"/>
              <w:gridCol w:w="2989"/>
              <w:gridCol w:w="29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60" w:type="dxa"/>
                  <w:gridSpan w:val="2"/>
                  <w:vAlign w:val="center"/>
                </w:tcPr>
                <w:p>
                  <w:pPr>
                    <w:pStyle w:val="141"/>
                    <w:rPr>
                      <w:rFonts w:hint="default" w:ascii="Times New Roman" w:hAnsi="Times New Roman" w:cs="Times New Roman"/>
                    </w:rPr>
                  </w:pPr>
                  <w:r>
                    <w:rPr>
                      <w:rFonts w:hint="default" w:ascii="Times New Roman" w:hAnsi="Times New Roman" w:cs="Times New Roman"/>
                    </w:rPr>
                    <w:t>参数</w:t>
                  </w:r>
                </w:p>
              </w:tc>
              <w:tc>
                <w:tcPr>
                  <w:tcW w:w="2988" w:type="dxa"/>
                  <w:vAlign w:val="center"/>
                </w:tcPr>
                <w:p>
                  <w:pPr>
                    <w:pStyle w:val="141"/>
                    <w:rPr>
                      <w:rFonts w:hint="default" w:ascii="Times New Roman" w:hAnsi="Times New Roman" w:cs="Times New Roman"/>
                    </w:rPr>
                  </w:pPr>
                  <w:r>
                    <w:rPr>
                      <w:rFonts w:hint="default" w:ascii="Times New Roman" w:hAnsi="Times New Roman" w:cs="Times New Roman"/>
                    </w:rPr>
                    <w:t>取值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71" w:type="dxa"/>
                  <w:vMerge w:val="restart"/>
                  <w:vAlign w:val="center"/>
                </w:tcPr>
                <w:p>
                  <w:pPr>
                    <w:pStyle w:val="141"/>
                    <w:rPr>
                      <w:rFonts w:hint="default" w:ascii="Times New Roman" w:hAnsi="Times New Roman" w:cs="Times New Roman"/>
                    </w:rPr>
                  </w:pPr>
                  <w:r>
                    <w:rPr>
                      <w:rFonts w:hint="default" w:ascii="Times New Roman" w:hAnsi="Times New Roman" w:cs="Times New Roman"/>
                    </w:rPr>
                    <w:t>城市/农村选项</w:t>
                  </w:r>
                </w:p>
              </w:tc>
              <w:tc>
                <w:tcPr>
                  <w:tcW w:w="2989" w:type="dxa"/>
                  <w:vAlign w:val="center"/>
                </w:tcPr>
                <w:p>
                  <w:pPr>
                    <w:pStyle w:val="141"/>
                    <w:rPr>
                      <w:rFonts w:hint="default" w:ascii="Times New Roman" w:hAnsi="Times New Roman" w:cs="Times New Roman"/>
                    </w:rPr>
                  </w:pPr>
                  <w:r>
                    <w:rPr>
                      <w:rFonts w:hint="default" w:ascii="Times New Roman" w:hAnsi="Times New Roman" w:cs="Times New Roman"/>
                    </w:rPr>
                    <w:t>城市/农村</w:t>
                  </w:r>
                </w:p>
              </w:tc>
              <w:tc>
                <w:tcPr>
                  <w:tcW w:w="2988" w:type="dxa"/>
                  <w:vAlign w:val="center"/>
                </w:tcPr>
                <w:p>
                  <w:pPr>
                    <w:pStyle w:val="141"/>
                    <w:rPr>
                      <w:rFonts w:hint="default" w:ascii="Times New Roman" w:hAnsi="Times New Roman" w:cs="Times New Roman"/>
                    </w:rPr>
                  </w:pPr>
                  <w:r>
                    <w:rPr>
                      <w:rFonts w:hint="default" w:ascii="Times New Roman" w:hAnsi="Times New Roman" w:cs="Times New Roman"/>
                    </w:rPr>
                    <w:t>城市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71" w:type="dxa"/>
                  <w:vMerge w:val="continue"/>
                  <w:vAlign w:val="center"/>
                </w:tcPr>
                <w:p>
                  <w:pPr>
                    <w:pStyle w:val="141"/>
                    <w:rPr>
                      <w:rFonts w:hint="default" w:ascii="Times New Roman" w:hAnsi="Times New Roman" w:cs="Times New Roman"/>
                    </w:rPr>
                  </w:pPr>
                </w:p>
              </w:tc>
              <w:tc>
                <w:tcPr>
                  <w:tcW w:w="2989" w:type="dxa"/>
                  <w:vAlign w:val="center"/>
                </w:tcPr>
                <w:p>
                  <w:pPr>
                    <w:pStyle w:val="141"/>
                    <w:rPr>
                      <w:rFonts w:hint="default" w:ascii="Times New Roman" w:hAnsi="Times New Roman" w:cs="Times New Roman"/>
                    </w:rPr>
                  </w:pPr>
                  <w:r>
                    <w:rPr>
                      <w:rFonts w:hint="default" w:ascii="Times New Roman" w:hAnsi="Times New Roman" w:cs="Times New Roman"/>
                    </w:rPr>
                    <w:t>人口数（城市选择时）</w:t>
                  </w:r>
                </w:p>
              </w:tc>
              <w:tc>
                <w:tcPr>
                  <w:tcW w:w="2988" w:type="dxa"/>
                  <w:vAlign w:val="center"/>
                </w:tcPr>
                <w:p>
                  <w:pPr>
                    <w:pStyle w:val="141"/>
                    <w:rPr>
                      <w:rFonts w:hint="default" w:ascii="Times New Roman" w:hAnsi="Times New Roman" w:cs="Times New Roman"/>
                    </w:rPr>
                  </w:pPr>
                  <w:r>
                    <w:rPr>
                      <w:rFonts w:hint="default" w:ascii="Times New Roman" w:hAnsi="Times New Roman" w:cs="Times New Roma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60" w:type="dxa"/>
                  <w:gridSpan w:val="2"/>
                  <w:vAlign w:val="center"/>
                </w:tcPr>
                <w:p>
                  <w:pPr>
                    <w:pStyle w:val="141"/>
                    <w:rPr>
                      <w:rFonts w:hint="default" w:ascii="Times New Roman" w:hAnsi="Times New Roman" w:cs="Times New Roman"/>
                    </w:rPr>
                  </w:pPr>
                  <w:r>
                    <w:rPr>
                      <w:rFonts w:hint="default" w:ascii="Times New Roman" w:hAnsi="Times New Roman" w:cs="Times New Roman"/>
                    </w:rPr>
                    <w:t>最高环境温度/℃</w:t>
                  </w:r>
                </w:p>
              </w:tc>
              <w:tc>
                <w:tcPr>
                  <w:tcW w:w="2988" w:type="dxa"/>
                  <w:vAlign w:val="center"/>
                </w:tcPr>
                <w:p>
                  <w:pPr>
                    <w:pStyle w:val="141"/>
                    <w:rPr>
                      <w:rFonts w:hint="default" w:ascii="Times New Roman" w:hAnsi="Times New Roman" w:cs="Times New Roman"/>
                    </w:rPr>
                  </w:pPr>
                  <w:r>
                    <w:rPr>
                      <w:rFonts w:hint="default" w:ascii="Times New Roman" w:hAnsi="Times New Roman" w:cs="Times New Roman"/>
                    </w:rPr>
                    <w:t>38.1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60" w:type="dxa"/>
                  <w:gridSpan w:val="2"/>
                  <w:vAlign w:val="center"/>
                </w:tcPr>
                <w:p>
                  <w:pPr>
                    <w:pStyle w:val="141"/>
                    <w:rPr>
                      <w:rFonts w:hint="default" w:ascii="Times New Roman" w:hAnsi="Times New Roman" w:cs="Times New Roman"/>
                    </w:rPr>
                  </w:pPr>
                  <w:r>
                    <w:rPr>
                      <w:rFonts w:hint="default" w:ascii="Times New Roman" w:hAnsi="Times New Roman" w:cs="Times New Roman"/>
                    </w:rPr>
                    <w:t>最低环境温度/℃</w:t>
                  </w:r>
                </w:p>
              </w:tc>
              <w:tc>
                <w:tcPr>
                  <w:tcW w:w="2988" w:type="dxa"/>
                  <w:vAlign w:val="center"/>
                </w:tcPr>
                <w:p>
                  <w:pPr>
                    <w:pStyle w:val="141"/>
                    <w:rPr>
                      <w:rFonts w:hint="default" w:ascii="Times New Roman" w:hAnsi="Times New Roman" w:cs="Times New Roman"/>
                    </w:rPr>
                  </w:pPr>
                  <w:r>
                    <w:rPr>
                      <w:rFonts w:hint="default" w:ascii="Times New Roman" w:hAnsi="Times New Roman" w:cs="Times New Roman"/>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60" w:type="dxa"/>
                  <w:gridSpan w:val="2"/>
                  <w:vAlign w:val="center"/>
                </w:tcPr>
                <w:p>
                  <w:pPr>
                    <w:pStyle w:val="141"/>
                    <w:rPr>
                      <w:rFonts w:hint="default" w:ascii="Times New Roman" w:hAnsi="Times New Roman" w:cs="Times New Roman"/>
                    </w:rPr>
                  </w:pPr>
                  <w:r>
                    <w:rPr>
                      <w:rFonts w:hint="default" w:ascii="Times New Roman" w:hAnsi="Times New Roman" w:cs="Times New Roman"/>
                    </w:rPr>
                    <w:t>土地利用类型</w:t>
                  </w:r>
                </w:p>
              </w:tc>
              <w:tc>
                <w:tcPr>
                  <w:tcW w:w="2988" w:type="dxa"/>
                  <w:vAlign w:val="center"/>
                </w:tcPr>
                <w:p>
                  <w:pPr>
                    <w:pStyle w:val="141"/>
                    <w:rPr>
                      <w:rFonts w:hint="default" w:ascii="Times New Roman" w:hAnsi="Times New Roman" w:cs="Times New Roman"/>
                    </w:rPr>
                  </w:pPr>
                  <w:r>
                    <w:rPr>
                      <w:rFonts w:hint="default" w:ascii="Times New Roman" w:hAnsi="Times New Roman" w:cs="Times New Roman"/>
                    </w:rPr>
                    <w:t>工业用地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960" w:type="dxa"/>
                  <w:gridSpan w:val="2"/>
                  <w:vAlign w:val="center"/>
                </w:tcPr>
                <w:p>
                  <w:pPr>
                    <w:pStyle w:val="141"/>
                    <w:rPr>
                      <w:rFonts w:hint="default" w:ascii="Times New Roman" w:hAnsi="Times New Roman" w:cs="Times New Roman"/>
                    </w:rPr>
                  </w:pPr>
                  <w:r>
                    <w:rPr>
                      <w:rFonts w:hint="default" w:ascii="Times New Roman" w:hAnsi="Times New Roman" w:cs="Times New Roman"/>
                    </w:rPr>
                    <w:t>区域湿度条件</w:t>
                  </w:r>
                </w:p>
              </w:tc>
              <w:tc>
                <w:tcPr>
                  <w:tcW w:w="2988" w:type="dxa"/>
                  <w:vAlign w:val="center"/>
                </w:tcPr>
                <w:p>
                  <w:pPr>
                    <w:pStyle w:val="141"/>
                    <w:rPr>
                      <w:rFonts w:hint="default" w:ascii="Times New Roman" w:hAnsi="Times New Roman" w:cs="Times New Roman"/>
                    </w:rPr>
                  </w:pPr>
                  <w:r>
                    <w:rPr>
                      <w:rFonts w:hint="default" w:ascii="Times New Roman" w:hAnsi="Times New Roman" w:cs="Times New Roman"/>
                    </w:rPr>
                    <w:t>中等湿度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71" w:type="dxa"/>
                  <w:vMerge w:val="restart"/>
                  <w:vAlign w:val="center"/>
                </w:tcPr>
                <w:p>
                  <w:pPr>
                    <w:pStyle w:val="141"/>
                    <w:rPr>
                      <w:rFonts w:hint="default" w:ascii="Times New Roman" w:hAnsi="Times New Roman" w:cs="Times New Roman"/>
                    </w:rPr>
                  </w:pPr>
                  <w:r>
                    <w:rPr>
                      <w:rFonts w:hint="default" w:ascii="Times New Roman" w:hAnsi="Times New Roman" w:cs="Times New Roman"/>
                    </w:rPr>
                    <w:t>是否考虑地形</w:t>
                  </w:r>
                </w:p>
              </w:tc>
              <w:tc>
                <w:tcPr>
                  <w:tcW w:w="2989" w:type="dxa"/>
                  <w:vAlign w:val="center"/>
                </w:tcPr>
                <w:p>
                  <w:pPr>
                    <w:pStyle w:val="141"/>
                    <w:rPr>
                      <w:rFonts w:hint="default" w:ascii="Times New Roman" w:hAnsi="Times New Roman" w:cs="Times New Roman"/>
                    </w:rPr>
                  </w:pPr>
                  <w:r>
                    <w:rPr>
                      <w:rFonts w:hint="default" w:ascii="Times New Roman" w:hAnsi="Times New Roman" w:cs="Times New Roman"/>
                    </w:rPr>
                    <w:t>考虑地形</w:t>
                  </w:r>
                </w:p>
              </w:tc>
              <w:tc>
                <w:tcPr>
                  <w:tcW w:w="2988" w:type="dxa"/>
                  <w:vAlign w:val="center"/>
                </w:tcPr>
                <w:p>
                  <w:pPr>
                    <w:pStyle w:val="141"/>
                    <w:rPr>
                      <w:rFonts w:hint="default" w:ascii="Times New Roman" w:hAnsi="Times New Roman" w:cs="Times New Roman"/>
                    </w:rPr>
                  </w:pPr>
                  <w:r>
                    <w:rPr>
                      <w:rFonts w:hint="default" w:ascii="Times New Roman" w:hAnsi="Times New Roman" w:cs="Times New Roman"/>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71" w:type="dxa"/>
                  <w:vMerge w:val="continue"/>
                  <w:vAlign w:val="center"/>
                </w:tcPr>
                <w:p>
                  <w:pPr>
                    <w:pStyle w:val="141"/>
                    <w:rPr>
                      <w:rFonts w:hint="default" w:ascii="Times New Roman" w:hAnsi="Times New Roman" w:cs="Times New Roman"/>
                    </w:rPr>
                  </w:pPr>
                </w:p>
              </w:tc>
              <w:tc>
                <w:tcPr>
                  <w:tcW w:w="2989" w:type="dxa"/>
                  <w:vAlign w:val="center"/>
                </w:tcPr>
                <w:p>
                  <w:pPr>
                    <w:pStyle w:val="141"/>
                    <w:rPr>
                      <w:rFonts w:hint="default" w:ascii="Times New Roman" w:hAnsi="Times New Roman" w:cs="Times New Roman"/>
                    </w:rPr>
                  </w:pPr>
                  <w:r>
                    <w:rPr>
                      <w:rFonts w:hint="default" w:ascii="Times New Roman" w:hAnsi="Times New Roman" w:cs="Times New Roman"/>
                    </w:rPr>
                    <w:t>地形数据分辨率/m</w:t>
                  </w:r>
                </w:p>
              </w:tc>
              <w:tc>
                <w:tcPr>
                  <w:tcW w:w="2988" w:type="dxa"/>
                  <w:vAlign w:val="center"/>
                </w:tcPr>
                <w:p>
                  <w:pPr>
                    <w:pStyle w:val="141"/>
                    <w:rPr>
                      <w:rFonts w:hint="default" w:ascii="Times New Roman" w:hAnsi="Times New Roman" w:cs="Times New Roman"/>
                    </w:rPr>
                  </w:pPr>
                  <w:r>
                    <w:rPr>
                      <w:rFonts w:hint="default" w:ascii="Times New Roman" w:hAnsi="Times New Roman" w:cs="Times New Roma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71" w:type="dxa"/>
                  <w:vMerge w:val="restart"/>
                  <w:vAlign w:val="center"/>
                </w:tcPr>
                <w:p>
                  <w:pPr>
                    <w:pStyle w:val="141"/>
                    <w:rPr>
                      <w:rFonts w:hint="default" w:ascii="Times New Roman" w:hAnsi="Times New Roman" w:cs="Times New Roman"/>
                    </w:rPr>
                  </w:pPr>
                  <w:r>
                    <w:rPr>
                      <w:rFonts w:hint="default" w:ascii="Times New Roman" w:hAnsi="Times New Roman" w:cs="Times New Roman"/>
                    </w:rPr>
                    <w:t>是否考虑岸线熏烟</w:t>
                  </w:r>
                </w:p>
              </w:tc>
              <w:tc>
                <w:tcPr>
                  <w:tcW w:w="2989" w:type="dxa"/>
                  <w:vAlign w:val="center"/>
                </w:tcPr>
                <w:p>
                  <w:pPr>
                    <w:pStyle w:val="141"/>
                    <w:rPr>
                      <w:rFonts w:hint="default" w:ascii="Times New Roman" w:hAnsi="Times New Roman" w:cs="Times New Roman"/>
                    </w:rPr>
                  </w:pPr>
                  <w:r>
                    <w:rPr>
                      <w:rFonts w:hint="default" w:ascii="Times New Roman" w:hAnsi="Times New Roman" w:cs="Times New Roman"/>
                    </w:rPr>
                    <w:t>考虑岸线熏烟</w:t>
                  </w:r>
                </w:p>
              </w:tc>
              <w:tc>
                <w:tcPr>
                  <w:tcW w:w="2988" w:type="dxa"/>
                  <w:vAlign w:val="center"/>
                </w:tcPr>
                <w:p>
                  <w:pPr>
                    <w:pStyle w:val="141"/>
                    <w:rPr>
                      <w:rFonts w:hint="default" w:ascii="Times New Roman" w:hAnsi="Times New Roman" w:cs="Times New Roman"/>
                    </w:rPr>
                  </w:pPr>
                  <w:r>
                    <w:rPr>
                      <w:rFonts w:hint="default" w:ascii="Times New Roman" w:hAnsi="Times New Roman" w:cs="Times New Roman"/>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71" w:type="dxa"/>
                  <w:vMerge w:val="continue"/>
                  <w:vAlign w:val="center"/>
                </w:tcPr>
                <w:p>
                  <w:pPr>
                    <w:pStyle w:val="141"/>
                    <w:rPr>
                      <w:rFonts w:hint="default" w:ascii="Times New Roman" w:hAnsi="Times New Roman" w:cs="Times New Roman"/>
                    </w:rPr>
                  </w:pPr>
                </w:p>
              </w:tc>
              <w:tc>
                <w:tcPr>
                  <w:tcW w:w="2989" w:type="dxa"/>
                  <w:vAlign w:val="center"/>
                </w:tcPr>
                <w:p>
                  <w:pPr>
                    <w:pStyle w:val="141"/>
                    <w:rPr>
                      <w:rFonts w:hint="default" w:ascii="Times New Roman" w:hAnsi="Times New Roman" w:cs="Times New Roman"/>
                    </w:rPr>
                  </w:pPr>
                  <w:r>
                    <w:rPr>
                      <w:rFonts w:hint="default" w:ascii="Times New Roman" w:hAnsi="Times New Roman" w:cs="Times New Roman"/>
                    </w:rPr>
                    <w:t>岸线距离/km</w:t>
                  </w:r>
                </w:p>
              </w:tc>
              <w:tc>
                <w:tcPr>
                  <w:tcW w:w="2988" w:type="dxa"/>
                  <w:vAlign w:val="center"/>
                </w:tcPr>
                <w:p>
                  <w:pPr>
                    <w:pStyle w:val="141"/>
                    <w:rPr>
                      <w:rFonts w:hint="default" w:ascii="Times New Roman" w:hAnsi="Times New Roman" w:cs="Times New Roman"/>
                    </w:rPr>
                  </w:pPr>
                  <w:r>
                    <w:rPr>
                      <w:rFonts w:hint="default" w:ascii="Times New Roman" w:hAnsi="Times New Roman" w:cs="Times New Roma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71" w:type="dxa"/>
                  <w:vMerge w:val="continue"/>
                  <w:vAlign w:val="center"/>
                </w:tcPr>
                <w:p>
                  <w:pPr>
                    <w:pStyle w:val="141"/>
                    <w:rPr>
                      <w:rFonts w:hint="default" w:ascii="Times New Roman" w:hAnsi="Times New Roman" w:cs="Times New Roman"/>
                    </w:rPr>
                  </w:pPr>
                </w:p>
              </w:tc>
              <w:tc>
                <w:tcPr>
                  <w:tcW w:w="2989" w:type="dxa"/>
                  <w:vAlign w:val="center"/>
                </w:tcPr>
                <w:p>
                  <w:pPr>
                    <w:pStyle w:val="141"/>
                    <w:rPr>
                      <w:rFonts w:hint="default" w:ascii="Times New Roman" w:hAnsi="Times New Roman" w:cs="Times New Roman"/>
                    </w:rPr>
                  </w:pPr>
                  <w:r>
                    <w:rPr>
                      <w:rFonts w:hint="default" w:ascii="Times New Roman" w:hAnsi="Times New Roman" w:cs="Times New Roman"/>
                    </w:rPr>
                    <w:t>岸线方向/°</w:t>
                  </w:r>
                </w:p>
              </w:tc>
              <w:tc>
                <w:tcPr>
                  <w:tcW w:w="2988" w:type="dxa"/>
                  <w:vAlign w:val="center"/>
                </w:tcPr>
                <w:p>
                  <w:pPr>
                    <w:pStyle w:val="141"/>
                    <w:rPr>
                      <w:rFonts w:hint="default" w:ascii="Times New Roman" w:hAnsi="Times New Roman" w:cs="Times New Roman"/>
                    </w:rPr>
                  </w:pPr>
                  <w:r>
                    <w:rPr>
                      <w:rFonts w:hint="default" w:ascii="Times New Roman" w:hAnsi="Times New Roman" w:cs="Times New Roman"/>
                    </w:rPr>
                    <w:t>/</w:t>
                  </w:r>
                </w:p>
              </w:tc>
            </w:tr>
          </w:tbl>
          <w:p>
            <w:pPr>
              <w:pStyle w:val="143"/>
              <w:spacing w:before="156"/>
              <w:rPr>
                <w:rFonts w:hint="default" w:ascii="Times New Roman" w:hAnsi="Times New Roman" w:cs="Times New Roman"/>
                <w:snapToGrid w:val="0"/>
              </w:rPr>
            </w:pPr>
            <w:bookmarkStart w:id="39" w:name="_Hlk26125753"/>
            <w:r>
              <w:rPr>
                <w:rFonts w:hint="default" w:ascii="Times New Roman" w:hAnsi="Times New Roman" w:cs="Times New Roman"/>
              </w:rPr>
              <w:t>表</w:t>
            </w:r>
            <w:r>
              <w:rPr>
                <w:rFonts w:hint="eastAsia" w:cs="Times New Roman"/>
                <w:lang w:val="en-US" w:eastAsia="zh-CN"/>
              </w:rPr>
              <w:t>7-10</w:t>
            </w:r>
            <w:r>
              <w:rPr>
                <w:rFonts w:hint="default" w:ascii="Times New Roman" w:hAnsi="Times New Roman" w:cs="Times New Roman"/>
                <w:snapToGrid w:val="0"/>
              </w:rPr>
              <w:t xml:space="preserve">   面源输入参数表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17"/>
              <w:gridCol w:w="526"/>
              <w:gridCol w:w="635"/>
              <w:gridCol w:w="512"/>
              <w:gridCol w:w="669"/>
              <w:gridCol w:w="558"/>
              <w:gridCol w:w="558"/>
              <w:gridCol w:w="671"/>
              <w:gridCol w:w="676"/>
              <w:gridCol w:w="902"/>
              <w:gridCol w:w="903"/>
              <w:gridCol w:w="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92" w:type="pct"/>
                  <w:vMerge w:val="restart"/>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r>
                    <w:rPr>
                      <w:rFonts w:hint="default" w:ascii="Times New Roman" w:hAnsi="Times New Roman" w:cs="Times New Roman"/>
                    </w:rPr>
                    <w:t>污染源名称</w:t>
                  </w:r>
                </w:p>
              </w:tc>
              <w:tc>
                <w:tcPr>
                  <w:tcW w:w="649" w:type="pct"/>
                  <w:gridSpan w:val="2"/>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r>
                    <w:rPr>
                      <w:rFonts w:hint="default" w:ascii="Times New Roman" w:hAnsi="Times New Roman" w:cs="Times New Roman"/>
                    </w:rPr>
                    <w:t>面源起始点/ m</w:t>
                  </w:r>
                </w:p>
              </w:tc>
              <w:tc>
                <w:tcPr>
                  <w:tcW w:w="286" w:type="pct"/>
                  <w:vMerge w:val="restart"/>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r>
                    <w:rPr>
                      <w:rFonts w:hint="default" w:ascii="Times New Roman" w:hAnsi="Times New Roman" w:cs="Times New Roman"/>
                    </w:rPr>
                    <w:t>海拔/ m</w:t>
                  </w:r>
                </w:p>
              </w:tc>
              <w:tc>
                <w:tcPr>
                  <w:tcW w:w="374" w:type="pct"/>
                  <w:vMerge w:val="restart"/>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r>
                    <w:rPr>
                      <w:rFonts w:hint="default" w:ascii="Times New Roman" w:hAnsi="Times New Roman" w:cs="Times New Roman"/>
                    </w:rPr>
                    <w:t>东西长度/ m</w:t>
                  </w:r>
                </w:p>
              </w:tc>
              <w:tc>
                <w:tcPr>
                  <w:tcW w:w="312" w:type="pct"/>
                  <w:vMerge w:val="restart"/>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r>
                    <w:rPr>
                      <w:rFonts w:hint="default" w:ascii="Times New Roman" w:hAnsi="Times New Roman" w:cs="Times New Roman"/>
                    </w:rPr>
                    <w:t>南北宽度/ m</w:t>
                  </w:r>
                </w:p>
              </w:tc>
              <w:tc>
                <w:tcPr>
                  <w:tcW w:w="312" w:type="pct"/>
                  <w:vMerge w:val="restart"/>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r>
                    <w:rPr>
                      <w:rFonts w:hint="default" w:ascii="Times New Roman" w:hAnsi="Times New Roman" w:cs="Times New Roman"/>
                    </w:rPr>
                    <w:t>与正北夹角/°</w:t>
                  </w:r>
                </w:p>
              </w:tc>
              <w:tc>
                <w:tcPr>
                  <w:tcW w:w="375" w:type="pct"/>
                  <w:vMerge w:val="restart"/>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r>
                    <w:rPr>
                      <w:rFonts w:hint="default" w:ascii="Times New Roman" w:hAnsi="Times New Roman" w:cs="Times New Roman"/>
                    </w:rPr>
                    <w:t>面源初始高度/ m</w:t>
                  </w:r>
                </w:p>
              </w:tc>
              <w:tc>
                <w:tcPr>
                  <w:tcW w:w="378" w:type="pct"/>
                  <w:vMerge w:val="restart"/>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r>
                    <w:rPr>
                      <w:rFonts w:hint="default" w:ascii="Times New Roman" w:hAnsi="Times New Roman" w:cs="Times New Roman"/>
                    </w:rPr>
                    <w:t>年排放小时数/h</w:t>
                  </w:r>
                </w:p>
              </w:tc>
              <w:tc>
                <w:tcPr>
                  <w:tcW w:w="504" w:type="pct"/>
                  <w:vMerge w:val="restart"/>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r>
                    <w:rPr>
                      <w:rFonts w:hint="default" w:ascii="Times New Roman" w:hAnsi="Times New Roman" w:cs="Times New Roman"/>
                    </w:rPr>
                    <w:t>排放工况</w:t>
                  </w:r>
                </w:p>
              </w:tc>
              <w:tc>
                <w:tcPr>
                  <w:tcW w:w="1018" w:type="pct"/>
                  <w:gridSpan w:val="2"/>
                  <w:vMerge w:val="restart"/>
                  <w:tcBorders>
                    <w:top w:val="single" w:color="auto" w:sz="4" w:space="0"/>
                    <w:left w:val="single" w:color="auto" w:sz="4" w:space="0"/>
                    <w:right w:val="single" w:color="auto" w:sz="4" w:space="0"/>
                  </w:tcBorders>
                  <w:vAlign w:val="center"/>
                </w:tcPr>
                <w:p>
                  <w:pPr>
                    <w:pStyle w:val="141"/>
                    <w:rPr>
                      <w:rFonts w:hint="default" w:ascii="Times New Roman" w:hAnsi="Times New Roman" w:cs="Times New Roman"/>
                    </w:rPr>
                  </w:pPr>
                  <w:r>
                    <w:rPr>
                      <w:rFonts w:hint="default" w:ascii="Times New Roman" w:hAnsi="Times New Roman" w:cs="Times New Roman"/>
                    </w:rPr>
                    <w:t>污染物排放速率/t/a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atLeast"/>
                <w:jc w:val="center"/>
              </w:trPr>
              <w:tc>
                <w:tcPr>
                  <w:tcW w:w="792" w:type="pct"/>
                  <w:vMerge w:val="continue"/>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kern w:val="2"/>
                    </w:rPr>
                  </w:pPr>
                </w:p>
              </w:tc>
              <w:tc>
                <w:tcPr>
                  <w:tcW w:w="294" w:type="pct"/>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r>
                    <w:rPr>
                      <w:rFonts w:hint="default" w:ascii="Times New Roman" w:hAnsi="Times New Roman" w:cs="Times New Roman"/>
                    </w:rPr>
                    <w:t>X</w:t>
                  </w:r>
                </w:p>
              </w:tc>
              <w:tc>
                <w:tcPr>
                  <w:tcW w:w="355" w:type="pct"/>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r>
                    <w:rPr>
                      <w:rFonts w:hint="default" w:ascii="Times New Roman" w:hAnsi="Times New Roman" w:cs="Times New Roman"/>
                    </w:rPr>
                    <w:t>Y</w:t>
                  </w:r>
                </w:p>
              </w:tc>
              <w:tc>
                <w:tcPr>
                  <w:tcW w:w="286" w:type="pct"/>
                  <w:vMerge w:val="continue"/>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kern w:val="2"/>
                    </w:rPr>
                  </w:pPr>
                </w:p>
              </w:tc>
              <w:tc>
                <w:tcPr>
                  <w:tcW w:w="374" w:type="pct"/>
                  <w:vMerge w:val="continue"/>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kern w:val="2"/>
                    </w:rPr>
                  </w:pPr>
                </w:p>
              </w:tc>
              <w:tc>
                <w:tcPr>
                  <w:tcW w:w="312" w:type="pct"/>
                  <w:vMerge w:val="continue"/>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kern w:val="2"/>
                    </w:rPr>
                  </w:pPr>
                </w:p>
              </w:tc>
              <w:tc>
                <w:tcPr>
                  <w:tcW w:w="312" w:type="pct"/>
                  <w:vMerge w:val="continue"/>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kern w:val="2"/>
                    </w:rPr>
                  </w:pPr>
                </w:p>
              </w:tc>
              <w:tc>
                <w:tcPr>
                  <w:tcW w:w="375" w:type="pct"/>
                  <w:vMerge w:val="continue"/>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kern w:val="2"/>
                    </w:rPr>
                  </w:pPr>
                </w:p>
              </w:tc>
              <w:tc>
                <w:tcPr>
                  <w:tcW w:w="378" w:type="pct"/>
                  <w:vMerge w:val="continue"/>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kern w:val="2"/>
                    </w:rPr>
                  </w:pPr>
                </w:p>
              </w:tc>
              <w:tc>
                <w:tcPr>
                  <w:tcW w:w="504" w:type="pct"/>
                  <w:vMerge w:val="continue"/>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kern w:val="2"/>
                    </w:rPr>
                  </w:pPr>
                </w:p>
              </w:tc>
              <w:tc>
                <w:tcPr>
                  <w:tcW w:w="1018" w:type="pct"/>
                  <w:gridSpan w:val="2"/>
                  <w:vMerge w:val="continue"/>
                  <w:tcBorders>
                    <w:left w:val="single" w:color="auto" w:sz="4" w:space="0"/>
                    <w:bottom w:val="single" w:color="auto" w:sz="4" w:space="0"/>
                    <w:right w:val="single" w:color="auto" w:sz="4" w:space="0"/>
                  </w:tcBorders>
                  <w:vAlign w:val="center"/>
                </w:tcPr>
                <w:p>
                  <w:pPr>
                    <w:pStyle w:val="141"/>
                    <w:rPr>
                      <w:rFonts w:hint="default" w:ascii="Times New Roman" w:hAnsi="Times New Roman" w:cs="Times New Roman"/>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792" w:type="pct"/>
                  <w:tcBorders>
                    <w:top w:val="single" w:color="auto" w:sz="4" w:space="0"/>
                    <w:left w:val="single" w:color="auto" w:sz="4" w:space="0"/>
                    <w:right w:val="single" w:color="auto" w:sz="4" w:space="0"/>
                  </w:tcBorders>
                  <w:vAlign w:val="center"/>
                </w:tcPr>
                <w:p>
                  <w:pPr>
                    <w:pStyle w:val="141"/>
                    <w:rPr>
                      <w:rFonts w:hint="default" w:ascii="Times New Roman" w:hAnsi="Times New Roman" w:cs="Times New Roman"/>
                    </w:rPr>
                  </w:pPr>
                  <w:r>
                    <w:rPr>
                      <w:rFonts w:hint="default" w:ascii="Times New Roman" w:hAnsi="Times New Roman" w:cs="Times New Roman"/>
                    </w:rPr>
                    <w:t>罩棚</w:t>
                  </w:r>
                </w:p>
              </w:tc>
              <w:tc>
                <w:tcPr>
                  <w:tcW w:w="294" w:type="pct"/>
                  <w:tcBorders>
                    <w:top w:val="single" w:color="auto" w:sz="4" w:space="0"/>
                    <w:left w:val="single" w:color="auto" w:sz="4" w:space="0"/>
                    <w:right w:val="single" w:color="auto" w:sz="4" w:space="0"/>
                  </w:tcBorders>
                  <w:vAlign w:val="center"/>
                </w:tcPr>
                <w:p>
                  <w:pPr>
                    <w:pStyle w:val="141"/>
                    <w:rPr>
                      <w:rFonts w:hint="default" w:ascii="Times New Roman" w:hAnsi="Times New Roman" w:cs="Times New Roman"/>
                    </w:rPr>
                  </w:pPr>
                  <w:r>
                    <w:rPr>
                      <w:rFonts w:hint="default" w:ascii="Times New Roman" w:hAnsi="Times New Roman" w:cs="Times New Roman"/>
                    </w:rPr>
                    <w:t>0</w:t>
                  </w:r>
                </w:p>
              </w:tc>
              <w:tc>
                <w:tcPr>
                  <w:tcW w:w="355" w:type="pct"/>
                  <w:tcBorders>
                    <w:top w:val="single" w:color="auto" w:sz="4" w:space="0"/>
                    <w:left w:val="single" w:color="auto" w:sz="4" w:space="0"/>
                    <w:right w:val="single" w:color="auto" w:sz="4" w:space="0"/>
                  </w:tcBorders>
                  <w:vAlign w:val="center"/>
                </w:tcPr>
                <w:p>
                  <w:pPr>
                    <w:pStyle w:val="141"/>
                    <w:rPr>
                      <w:rFonts w:hint="default" w:ascii="Times New Roman" w:hAnsi="Times New Roman" w:cs="Times New Roman"/>
                    </w:rPr>
                  </w:pPr>
                  <w:r>
                    <w:rPr>
                      <w:rFonts w:hint="default" w:ascii="Times New Roman" w:hAnsi="Times New Roman" w:cs="Times New Roman"/>
                    </w:rPr>
                    <w:t>0</w:t>
                  </w:r>
                </w:p>
              </w:tc>
              <w:tc>
                <w:tcPr>
                  <w:tcW w:w="286" w:type="pct"/>
                  <w:tcBorders>
                    <w:top w:val="single" w:color="auto" w:sz="4" w:space="0"/>
                    <w:left w:val="single" w:color="auto" w:sz="4" w:space="0"/>
                    <w:right w:val="single" w:color="auto" w:sz="4" w:space="0"/>
                  </w:tcBorders>
                  <w:vAlign w:val="center"/>
                </w:tcPr>
                <w:p>
                  <w:pPr>
                    <w:pStyle w:val="141"/>
                    <w:rPr>
                      <w:rFonts w:hint="default" w:ascii="Times New Roman" w:hAnsi="Times New Roman" w:cs="Times New Roman"/>
                    </w:rPr>
                  </w:pPr>
                  <w:r>
                    <w:rPr>
                      <w:rFonts w:hint="default" w:ascii="Times New Roman" w:hAnsi="Times New Roman" w:cs="Times New Roman"/>
                    </w:rPr>
                    <w:t>20.06</w:t>
                  </w:r>
                </w:p>
              </w:tc>
              <w:tc>
                <w:tcPr>
                  <w:tcW w:w="374" w:type="pct"/>
                  <w:tcBorders>
                    <w:top w:val="single" w:color="auto" w:sz="4" w:space="0"/>
                    <w:left w:val="single" w:color="auto" w:sz="4" w:space="0"/>
                    <w:right w:val="single" w:color="auto" w:sz="4" w:space="0"/>
                  </w:tcBorders>
                  <w:vAlign w:val="center"/>
                </w:tcPr>
                <w:p>
                  <w:pPr>
                    <w:pStyle w:val="141"/>
                    <w:rPr>
                      <w:rFonts w:hint="default" w:ascii="Times New Roman" w:hAnsi="Times New Roman" w:cs="Times New Roman"/>
                    </w:rPr>
                  </w:pPr>
                  <w:r>
                    <w:rPr>
                      <w:rFonts w:hint="default" w:ascii="Times New Roman" w:hAnsi="Times New Roman" w:cs="Times New Roman"/>
                    </w:rPr>
                    <w:t>7</w:t>
                  </w:r>
                </w:p>
              </w:tc>
              <w:tc>
                <w:tcPr>
                  <w:tcW w:w="312" w:type="pct"/>
                  <w:tcBorders>
                    <w:top w:val="single" w:color="auto" w:sz="4" w:space="0"/>
                    <w:left w:val="single" w:color="auto" w:sz="4" w:space="0"/>
                    <w:right w:val="single" w:color="auto" w:sz="4" w:space="0"/>
                  </w:tcBorders>
                  <w:vAlign w:val="center"/>
                </w:tcPr>
                <w:p>
                  <w:pPr>
                    <w:pStyle w:val="141"/>
                    <w:rPr>
                      <w:rFonts w:hint="default" w:ascii="Times New Roman" w:hAnsi="Times New Roman" w:cs="Times New Roman"/>
                    </w:rPr>
                  </w:pPr>
                  <w:r>
                    <w:rPr>
                      <w:rFonts w:hint="default" w:ascii="Times New Roman" w:hAnsi="Times New Roman" w:cs="Times New Roman"/>
                    </w:rPr>
                    <w:t>18</w:t>
                  </w:r>
                </w:p>
              </w:tc>
              <w:tc>
                <w:tcPr>
                  <w:tcW w:w="312" w:type="pct"/>
                  <w:tcBorders>
                    <w:top w:val="single" w:color="auto" w:sz="4" w:space="0"/>
                    <w:left w:val="single" w:color="auto" w:sz="4" w:space="0"/>
                    <w:right w:val="single" w:color="auto" w:sz="4" w:space="0"/>
                  </w:tcBorders>
                  <w:vAlign w:val="center"/>
                </w:tcPr>
                <w:p>
                  <w:pPr>
                    <w:pStyle w:val="141"/>
                    <w:rPr>
                      <w:rFonts w:hint="default" w:ascii="Times New Roman" w:hAnsi="Times New Roman" w:cs="Times New Roman"/>
                    </w:rPr>
                  </w:pPr>
                  <w:r>
                    <w:rPr>
                      <w:rFonts w:hint="default" w:ascii="Times New Roman" w:hAnsi="Times New Roman" w:cs="Times New Roman"/>
                    </w:rPr>
                    <w:t>-23</w:t>
                  </w:r>
                </w:p>
              </w:tc>
              <w:tc>
                <w:tcPr>
                  <w:tcW w:w="375" w:type="pct"/>
                  <w:tcBorders>
                    <w:top w:val="single" w:color="auto" w:sz="4" w:space="0"/>
                    <w:left w:val="single" w:color="auto" w:sz="4" w:space="0"/>
                    <w:right w:val="single" w:color="auto" w:sz="4" w:space="0"/>
                  </w:tcBorders>
                  <w:vAlign w:val="center"/>
                </w:tcPr>
                <w:p>
                  <w:pPr>
                    <w:pStyle w:val="141"/>
                    <w:rPr>
                      <w:rFonts w:hint="default" w:ascii="Times New Roman" w:hAnsi="Times New Roman" w:cs="Times New Roman"/>
                    </w:rPr>
                  </w:pPr>
                  <w:r>
                    <w:rPr>
                      <w:rFonts w:hint="default" w:ascii="Times New Roman" w:hAnsi="Times New Roman" w:cs="Times New Roman"/>
                    </w:rPr>
                    <w:t>6</w:t>
                  </w:r>
                </w:p>
              </w:tc>
              <w:tc>
                <w:tcPr>
                  <w:tcW w:w="378" w:type="pct"/>
                  <w:tcBorders>
                    <w:top w:val="single" w:color="auto" w:sz="4" w:space="0"/>
                    <w:left w:val="single" w:color="auto" w:sz="4" w:space="0"/>
                    <w:right w:val="single" w:color="auto" w:sz="4" w:space="0"/>
                  </w:tcBorders>
                  <w:vAlign w:val="center"/>
                </w:tcPr>
                <w:p>
                  <w:pPr>
                    <w:pStyle w:val="141"/>
                    <w:rPr>
                      <w:rFonts w:hint="default" w:ascii="Times New Roman" w:hAnsi="Times New Roman" w:cs="Times New Roman"/>
                    </w:rPr>
                  </w:pPr>
                  <w:r>
                    <w:rPr>
                      <w:rFonts w:hint="default" w:ascii="Times New Roman" w:hAnsi="Times New Roman" w:cs="Times New Roman"/>
                    </w:rPr>
                    <w:t>8760</w:t>
                  </w:r>
                </w:p>
              </w:tc>
              <w:tc>
                <w:tcPr>
                  <w:tcW w:w="504" w:type="pct"/>
                  <w:tcBorders>
                    <w:top w:val="single" w:color="auto" w:sz="4" w:space="0"/>
                    <w:left w:val="single" w:color="auto" w:sz="4" w:space="0"/>
                    <w:right w:val="single" w:color="auto" w:sz="4" w:space="0"/>
                  </w:tcBorders>
                  <w:vAlign w:val="center"/>
                </w:tcPr>
                <w:p>
                  <w:pPr>
                    <w:pStyle w:val="141"/>
                    <w:rPr>
                      <w:rFonts w:hint="default" w:ascii="Times New Roman" w:hAnsi="Times New Roman" w:cs="Times New Roman"/>
                    </w:rPr>
                  </w:pPr>
                  <w:r>
                    <w:rPr>
                      <w:rFonts w:hint="default" w:ascii="Times New Roman" w:hAnsi="Times New Roman" w:cs="Times New Roman"/>
                    </w:rPr>
                    <w:t>正常</w:t>
                  </w:r>
                </w:p>
              </w:tc>
              <w:tc>
                <w:tcPr>
                  <w:tcW w:w="504" w:type="pct"/>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r>
                    <w:rPr>
                      <w:rFonts w:hint="default" w:ascii="Times New Roman" w:hAnsi="Times New Roman" w:cs="Times New Roman"/>
                    </w:rPr>
                    <w:t>NMHC</w:t>
                  </w:r>
                </w:p>
              </w:tc>
              <w:tc>
                <w:tcPr>
                  <w:tcW w:w="514" w:type="pct"/>
                  <w:tcBorders>
                    <w:top w:val="single" w:color="auto" w:sz="4" w:space="0"/>
                    <w:left w:val="single" w:color="auto" w:sz="4" w:space="0"/>
                    <w:bottom w:val="single" w:color="auto" w:sz="4" w:space="0"/>
                    <w:right w:val="single" w:color="auto" w:sz="4" w:space="0"/>
                  </w:tcBorders>
                  <w:vAlign w:val="center"/>
                </w:tcPr>
                <w:p>
                  <w:pPr>
                    <w:pStyle w:val="141"/>
                    <w:rPr>
                      <w:rFonts w:hint="default" w:ascii="Times New Roman" w:hAnsi="Times New Roman" w:cs="Times New Roman"/>
                    </w:rPr>
                  </w:pPr>
                  <w:r>
                    <w:rPr>
                      <w:rFonts w:hint="default" w:ascii="Times New Roman" w:hAnsi="Times New Roman" w:cs="Times New Roman"/>
                    </w:rPr>
                    <w:t xml:space="preserve">0.03 </w:t>
                  </w:r>
                </w:p>
              </w:tc>
            </w:tr>
            <w:bookmarkEnd w:id="39"/>
          </w:tbl>
          <w:p>
            <w:pPr>
              <w:pStyle w:val="143"/>
              <w:spacing w:before="156"/>
              <w:rPr>
                <w:rFonts w:hint="default" w:ascii="Times New Roman" w:hAnsi="Times New Roman" w:cs="Times New Roman"/>
              </w:rPr>
            </w:pPr>
            <w:bookmarkStart w:id="40" w:name="_Ref26888343"/>
            <w:r>
              <w:rPr>
                <w:rFonts w:hint="default" w:ascii="Times New Roman" w:hAnsi="Times New Roman" w:cs="Times New Roman"/>
              </w:rPr>
              <w:t>表</w:t>
            </w:r>
            <w:bookmarkEnd w:id="40"/>
            <w:r>
              <w:rPr>
                <w:rFonts w:hint="eastAsia" w:cs="Times New Roman"/>
                <w:lang w:val="en-US" w:eastAsia="zh-CN"/>
              </w:rPr>
              <w:t xml:space="preserve">7-11 </w:t>
            </w:r>
            <w:r>
              <w:rPr>
                <w:rFonts w:hint="default" w:ascii="Times New Roman" w:hAnsi="Times New Roman" w:cs="Times New Roman"/>
              </w:rPr>
              <w:t xml:space="preserve">  </w:t>
            </w:r>
            <w:r>
              <w:rPr>
                <w:rFonts w:hint="default" w:ascii="Times New Roman" w:hAnsi="Times New Roman" w:cs="Times New Roman"/>
                <w:snapToGrid w:val="0"/>
              </w:rPr>
              <w:t>本项目建成后主要污染源模型计算结果表</w:t>
            </w:r>
          </w:p>
          <w:tbl>
            <w:tblPr>
              <w:tblStyle w:val="3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8"/>
              <w:gridCol w:w="1262"/>
              <w:gridCol w:w="2016"/>
              <w:gridCol w:w="2818"/>
              <w:gridCol w:w="18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2300" w:type="dxa"/>
                  <w:gridSpan w:val="2"/>
                  <w:vAlign w:val="center"/>
                </w:tcPr>
                <w:p>
                  <w:pPr>
                    <w:pStyle w:val="141"/>
                    <w:rPr>
                      <w:rFonts w:hint="default" w:ascii="Times New Roman" w:hAnsi="Times New Roman" w:cs="Times New Roman"/>
                    </w:rPr>
                  </w:pPr>
                  <w:r>
                    <w:rPr>
                      <w:rFonts w:hint="default" w:ascii="Times New Roman" w:hAnsi="Times New Roman" w:cs="Times New Roman"/>
                    </w:rPr>
                    <w:t>污染源</w:t>
                  </w:r>
                </w:p>
              </w:tc>
              <w:tc>
                <w:tcPr>
                  <w:tcW w:w="2016" w:type="dxa"/>
                  <w:vAlign w:val="center"/>
                </w:tcPr>
                <w:p>
                  <w:pPr>
                    <w:pStyle w:val="141"/>
                    <w:rPr>
                      <w:rFonts w:hint="default" w:ascii="Times New Roman" w:hAnsi="Times New Roman" w:cs="Times New Roman"/>
                    </w:rPr>
                  </w:pPr>
                  <w:r>
                    <w:rPr>
                      <w:rFonts w:hint="default" w:ascii="Times New Roman" w:hAnsi="Times New Roman" w:cs="Times New Roman"/>
                    </w:rPr>
                    <w:t>排放源下风向距离D（m）</w:t>
                  </w:r>
                </w:p>
              </w:tc>
              <w:tc>
                <w:tcPr>
                  <w:tcW w:w="2818" w:type="dxa"/>
                  <w:vAlign w:val="center"/>
                </w:tcPr>
                <w:p>
                  <w:pPr>
                    <w:pStyle w:val="141"/>
                    <w:rPr>
                      <w:rFonts w:hint="default" w:ascii="Times New Roman" w:hAnsi="Times New Roman" w:cs="Times New Roman"/>
                    </w:rPr>
                  </w:pPr>
                  <w:r>
                    <w:rPr>
                      <w:rFonts w:hint="default" w:ascii="Times New Roman" w:hAnsi="Times New Roman" w:cs="Times New Roman"/>
                    </w:rPr>
                    <w:t>最大地面浓度预测值Ci（mg/m</w:t>
                  </w:r>
                  <w:r>
                    <w:rPr>
                      <w:rFonts w:hint="default" w:ascii="Times New Roman" w:hAnsi="Times New Roman" w:cs="Times New Roman"/>
                      <w:vertAlign w:val="superscript"/>
                    </w:rPr>
                    <w:t>3</w:t>
                  </w:r>
                  <w:r>
                    <w:rPr>
                      <w:rFonts w:hint="default" w:ascii="Times New Roman" w:hAnsi="Times New Roman" w:cs="Times New Roman"/>
                    </w:rPr>
                    <w:t>）</w:t>
                  </w:r>
                </w:p>
              </w:tc>
              <w:tc>
                <w:tcPr>
                  <w:tcW w:w="1814" w:type="dxa"/>
                  <w:vAlign w:val="center"/>
                </w:tcPr>
                <w:p>
                  <w:pPr>
                    <w:pStyle w:val="141"/>
                    <w:rPr>
                      <w:rFonts w:hint="default" w:ascii="Times New Roman" w:hAnsi="Times New Roman" w:cs="Times New Roman"/>
                    </w:rPr>
                  </w:pPr>
                  <w:r>
                    <w:rPr>
                      <w:rFonts w:hint="default" w:ascii="Times New Roman" w:hAnsi="Times New Roman" w:cs="Times New Roman"/>
                    </w:rPr>
                    <w:t>浓度占标率Pi（%）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038" w:type="dxa"/>
                  <w:vAlign w:val="center"/>
                </w:tcPr>
                <w:p>
                  <w:pPr>
                    <w:pStyle w:val="141"/>
                    <w:rPr>
                      <w:rFonts w:hint="default" w:ascii="Times New Roman" w:hAnsi="Times New Roman" w:cs="Times New Roman"/>
                    </w:rPr>
                  </w:pPr>
                  <w:r>
                    <w:rPr>
                      <w:rFonts w:hint="default" w:ascii="Times New Roman" w:hAnsi="Times New Roman" w:cs="Times New Roman"/>
                      <w:bCs/>
                    </w:rPr>
                    <w:t>罩棚</w:t>
                  </w:r>
                </w:p>
              </w:tc>
              <w:tc>
                <w:tcPr>
                  <w:tcW w:w="1262" w:type="dxa"/>
                  <w:vAlign w:val="center"/>
                </w:tcPr>
                <w:p>
                  <w:pPr>
                    <w:pStyle w:val="141"/>
                    <w:rPr>
                      <w:rFonts w:hint="default" w:ascii="Times New Roman" w:hAnsi="Times New Roman" w:cs="Times New Roman"/>
                    </w:rPr>
                  </w:pPr>
                  <w:r>
                    <w:rPr>
                      <w:rFonts w:hint="default" w:ascii="Times New Roman" w:hAnsi="Times New Roman" w:cs="Times New Roman"/>
                    </w:rPr>
                    <w:t>NMHC</w:t>
                  </w:r>
                </w:p>
              </w:tc>
              <w:tc>
                <w:tcPr>
                  <w:tcW w:w="2016" w:type="dxa"/>
                  <w:vAlign w:val="center"/>
                </w:tcPr>
                <w:p>
                  <w:pPr>
                    <w:pStyle w:val="141"/>
                    <w:rPr>
                      <w:rFonts w:hint="default" w:ascii="Times New Roman" w:hAnsi="Times New Roman" w:cs="Times New Roman"/>
                    </w:rPr>
                  </w:pPr>
                  <w:r>
                    <w:rPr>
                      <w:rFonts w:hint="default" w:ascii="Times New Roman" w:hAnsi="Times New Roman" w:cs="Times New Roman"/>
                    </w:rPr>
                    <w:t>10</w:t>
                  </w:r>
                </w:p>
              </w:tc>
              <w:tc>
                <w:tcPr>
                  <w:tcW w:w="2818" w:type="dxa"/>
                  <w:vAlign w:val="center"/>
                </w:tcPr>
                <w:p>
                  <w:pPr>
                    <w:pStyle w:val="141"/>
                    <w:rPr>
                      <w:rFonts w:hint="default" w:ascii="Times New Roman" w:hAnsi="Times New Roman" w:cs="Times New Roman"/>
                    </w:rPr>
                  </w:pPr>
                  <w:r>
                    <w:rPr>
                      <w:rFonts w:hint="default" w:ascii="Times New Roman" w:hAnsi="Times New Roman" w:cs="Times New Roman"/>
                    </w:rPr>
                    <w:t>0.003</w:t>
                  </w:r>
                </w:p>
              </w:tc>
              <w:tc>
                <w:tcPr>
                  <w:tcW w:w="1814" w:type="dxa"/>
                  <w:vAlign w:val="center"/>
                </w:tcPr>
                <w:p>
                  <w:pPr>
                    <w:pStyle w:val="141"/>
                    <w:rPr>
                      <w:rFonts w:hint="default" w:ascii="Times New Roman" w:hAnsi="Times New Roman" w:cs="Times New Roman"/>
                      <w:b/>
                    </w:rPr>
                  </w:pPr>
                  <w:r>
                    <w:rPr>
                      <w:rFonts w:hint="default" w:ascii="Times New Roman" w:hAnsi="Times New Roman" w:cs="Times New Roman"/>
                      <w:b/>
                    </w:rPr>
                    <w:t>0.13</w:t>
                  </w:r>
                </w:p>
              </w:tc>
            </w:tr>
          </w:tbl>
          <w:p>
            <w:pPr>
              <w:pStyle w:val="2"/>
              <w:rPr>
                <w:rFonts w:hint="default" w:ascii="Times New Roman" w:hAnsi="Times New Roman" w:cs="Times New Roman"/>
                <w:color w:val="auto"/>
              </w:rPr>
            </w:pPr>
          </w:p>
          <w:p>
            <w:pPr>
              <w:pStyle w:val="2"/>
              <w:jc w:val="center"/>
              <w:rPr>
                <w:rFonts w:hint="default" w:ascii="Times New Roman" w:hAnsi="Times New Roman" w:cs="Times New Roman"/>
                <w:color w:val="auto"/>
              </w:rPr>
            </w:pPr>
            <w:r>
              <w:rPr>
                <w:rFonts w:hint="default" w:ascii="Times New Roman" w:hAnsi="Times New Roman" w:cs="Times New Roman"/>
              </w:rPr>
              <w:drawing>
                <wp:inline distT="0" distB="0" distL="0" distR="0">
                  <wp:extent cx="3668395" cy="3840480"/>
                  <wp:effectExtent l="0" t="0" r="8255"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a:stretch>
                            <a:fillRect/>
                          </a:stretch>
                        </pic:blipFill>
                        <pic:spPr>
                          <a:xfrm>
                            <a:off x="0" y="0"/>
                            <a:ext cx="3670916" cy="3843029"/>
                          </a:xfrm>
                          <a:prstGeom prst="rect">
                            <a:avLst/>
                          </a:prstGeom>
                        </pic:spPr>
                      </pic:pic>
                    </a:graphicData>
                  </a:graphic>
                </wp:inline>
              </w:drawing>
            </w:r>
          </w:p>
          <w:p>
            <w:pPr>
              <w:pStyle w:val="146"/>
              <w:spacing w:after="156"/>
              <w:rPr>
                <w:rFonts w:hint="default" w:ascii="Times New Roman" w:hAnsi="Times New Roman" w:cs="Times New Roman"/>
                <w:kern w:val="0"/>
                <w:sz w:val="20"/>
              </w:rPr>
            </w:pPr>
            <w:r>
              <w:rPr>
                <w:rFonts w:hint="default" w:ascii="Times New Roman" w:hAnsi="Times New Roman" w:cs="Times New Roman"/>
              </w:rPr>
              <w:t xml:space="preserve">图 </w:t>
            </w:r>
            <w:r>
              <w:rPr>
                <w:rFonts w:hint="eastAsia" w:cs="Times New Roman"/>
                <w:lang w:val="en-US" w:eastAsia="zh-CN"/>
              </w:rPr>
              <w:t xml:space="preserve">7-3  </w:t>
            </w:r>
            <w:r>
              <w:rPr>
                <w:rFonts w:hint="default" w:ascii="Times New Roman" w:hAnsi="Times New Roman" w:cs="Times New Roman"/>
                <w:kern w:val="21"/>
              </w:rPr>
              <w:t>项目面源参数图</w:t>
            </w:r>
          </w:p>
          <w:p>
            <w:pPr>
              <w:pStyle w:val="2"/>
              <w:jc w:val="center"/>
              <w:rPr>
                <w:rFonts w:hint="default" w:ascii="Times New Roman" w:hAnsi="Times New Roman" w:cs="Times New Roman"/>
                <w:color w:val="auto"/>
              </w:rPr>
            </w:pPr>
            <w:r>
              <w:rPr>
                <w:rFonts w:hint="default" w:ascii="Times New Roman" w:hAnsi="Times New Roman" w:cs="Times New Roman"/>
              </w:rPr>
              <w:drawing>
                <wp:inline distT="0" distB="0" distL="0" distR="0">
                  <wp:extent cx="3668395" cy="3310255"/>
                  <wp:effectExtent l="0" t="0" r="8255"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a:stretch>
                            <a:fillRect/>
                          </a:stretch>
                        </pic:blipFill>
                        <pic:spPr>
                          <a:xfrm>
                            <a:off x="0" y="0"/>
                            <a:ext cx="3668400" cy="3310487"/>
                          </a:xfrm>
                          <a:prstGeom prst="rect">
                            <a:avLst/>
                          </a:prstGeom>
                        </pic:spPr>
                      </pic:pic>
                    </a:graphicData>
                  </a:graphic>
                </wp:inline>
              </w:drawing>
            </w:r>
          </w:p>
          <w:p>
            <w:pPr>
              <w:pStyle w:val="146"/>
              <w:spacing w:after="156"/>
              <w:rPr>
                <w:rFonts w:hint="default" w:ascii="Times New Roman" w:hAnsi="Times New Roman" w:cs="Times New Roman"/>
                <w:kern w:val="0"/>
                <w:sz w:val="20"/>
              </w:rPr>
            </w:pPr>
            <w:r>
              <w:rPr>
                <w:rFonts w:hint="default" w:ascii="Times New Roman" w:hAnsi="Times New Roman" w:cs="Times New Roman"/>
              </w:rPr>
              <w:t>图</w:t>
            </w:r>
            <w:r>
              <w:rPr>
                <w:rFonts w:hint="eastAsia" w:cs="Times New Roman"/>
                <w:lang w:val="en-US" w:eastAsia="zh-CN"/>
              </w:rPr>
              <w:t xml:space="preserve">7-4  </w:t>
            </w:r>
            <w:r>
              <w:rPr>
                <w:rFonts w:hint="default" w:ascii="Times New Roman" w:hAnsi="Times New Roman" w:cs="Times New Roman"/>
                <w:kern w:val="21"/>
              </w:rPr>
              <w:t>项目估算模式参数图</w:t>
            </w:r>
          </w:p>
          <w:p>
            <w:pPr>
              <w:pStyle w:val="137"/>
              <w:ind w:firstLine="480"/>
              <w:jc w:val="center"/>
              <w:rPr>
                <w:rFonts w:hint="default" w:ascii="Times New Roman" w:hAnsi="Times New Roman" w:cs="Times New Roman"/>
              </w:rPr>
            </w:pPr>
            <w:r>
              <w:rPr>
                <w:rFonts w:hint="default" w:ascii="Times New Roman" w:hAnsi="Times New Roman" w:cs="Times New Roman"/>
              </w:rPr>
              <w:drawing>
                <wp:inline distT="0" distB="0" distL="0" distR="0">
                  <wp:extent cx="3668395" cy="3952875"/>
                  <wp:effectExtent l="0" t="0" r="825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a:stretch>
                            <a:fillRect/>
                          </a:stretch>
                        </pic:blipFill>
                        <pic:spPr>
                          <a:xfrm>
                            <a:off x="0" y="0"/>
                            <a:ext cx="3668400" cy="3953074"/>
                          </a:xfrm>
                          <a:prstGeom prst="rect">
                            <a:avLst/>
                          </a:prstGeom>
                        </pic:spPr>
                      </pic:pic>
                    </a:graphicData>
                  </a:graphic>
                </wp:inline>
              </w:drawing>
            </w:r>
          </w:p>
          <w:p>
            <w:pPr>
              <w:pStyle w:val="146"/>
              <w:spacing w:after="156"/>
              <w:rPr>
                <w:rFonts w:hint="default" w:ascii="Times New Roman" w:hAnsi="Times New Roman" w:cs="Times New Roman"/>
                <w:kern w:val="0"/>
                <w:sz w:val="20"/>
              </w:rPr>
            </w:pPr>
            <w:r>
              <w:rPr>
                <w:rFonts w:hint="default" w:ascii="Times New Roman" w:hAnsi="Times New Roman" w:cs="Times New Roman"/>
              </w:rPr>
              <w:t>图</w:t>
            </w:r>
            <w:r>
              <w:rPr>
                <w:rFonts w:hint="eastAsia" w:cs="Times New Roman"/>
                <w:lang w:val="en-US" w:eastAsia="zh-CN"/>
              </w:rPr>
              <w:t xml:space="preserve">7-5  </w:t>
            </w:r>
            <w:r>
              <w:rPr>
                <w:rFonts w:hint="default" w:ascii="Times New Roman" w:hAnsi="Times New Roman" w:cs="Times New Roman"/>
                <w:kern w:val="21"/>
              </w:rPr>
              <w:t>项目废气1小时浓度占标率结果图</w:t>
            </w:r>
          </w:p>
          <w:p>
            <w:pPr>
              <w:pStyle w:val="137"/>
              <w:ind w:firstLine="480"/>
              <w:jc w:val="center"/>
              <w:rPr>
                <w:rFonts w:hint="default" w:ascii="Times New Roman" w:hAnsi="Times New Roman" w:cs="Times New Roman"/>
              </w:rPr>
            </w:pPr>
            <w:r>
              <w:rPr>
                <w:rFonts w:hint="default" w:ascii="Times New Roman" w:hAnsi="Times New Roman" w:cs="Times New Roman"/>
              </w:rPr>
              <w:drawing>
                <wp:inline distT="0" distB="0" distL="0" distR="0">
                  <wp:extent cx="3668395" cy="3345180"/>
                  <wp:effectExtent l="0" t="0" r="8255"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a:stretch>
                            <a:fillRect/>
                          </a:stretch>
                        </pic:blipFill>
                        <pic:spPr>
                          <a:xfrm>
                            <a:off x="0" y="0"/>
                            <a:ext cx="3668400" cy="3345296"/>
                          </a:xfrm>
                          <a:prstGeom prst="rect">
                            <a:avLst/>
                          </a:prstGeom>
                        </pic:spPr>
                      </pic:pic>
                    </a:graphicData>
                  </a:graphic>
                </wp:inline>
              </w:drawing>
            </w:r>
          </w:p>
          <w:p>
            <w:pPr>
              <w:pStyle w:val="146"/>
              <w:spacing w:after="156"/>
              <w:rPr>
                <w:rFonts w:hint="default" w:ascii="Times New Roman" w:hAnsi="Times New Roman" w:cs="Times New Roman"/>
                <w:kern w:val="0"/>
                <w:sz w:val="20"/>
              </w:rPr>
            </w:pPr>
            <w:r>
              <w:rPr>
                <w:rFonts w:hint="default" w:ascii="Times New Roman" w:hAnsi="Times New Roman" w:cs="Times New Roman"/>
              </w:rPr>
              <w:t>图</w:t>
            </w:r>
            <w:r>
              <w:rPr>
                <w:rFonts w:hint="eastAsia" w:cs="Times New Roman"/>
                <w:lang w:val="en-US" w:eastAsia="zh-CN"/>
              </w:rPr>
              <w:t xml:space="preserve">7-6  </w:t>
            </w:r>
            <w:r>
              <w:rPr>
                <w:rFonts w:hint="default" w:ascii="Times New Roman" w:hAnsi="Times New Roman" w:cs="Times New Roman"/>
                <w:kern w:val="21"/>
              </w:rPr>
              <w:t>项目废气1小时浓度预测结果图</w:t>
            </w:r>
          </w:p>
          <w:p>
            <w:pPr>
              <w:pStyle w:val="137"/>
              <w:ind w:firstLine="480"/>
              <w:rPr>
                <w:rFonts w:hint="default" w:ascii="Times New Roman" w:hAnsi="Times New Roman" w:cs="Times New Roman"/>
                <w:snapToGrid w:val="0"/>
              </w:rPr>
            </w:pPr>
            <w:r>
              <w:rPr>
                <w:rFonts w:hint="default" w:ascii="Times New Roman" w:hAnsi="Times New Roman" w:cs="Times New Roman"/>
              </w:rPr>
              <w:t>由</w:t>
            </w:r>
            <w:r>
              <w:rPr>
                <w:rFonts w:hint="eastAsia" w:cs="Times New Roman"/>
                <w:lang w:val="en-US" w:eastAsia="zh-CN"/>
              </w:rPr>
              <w:t>表7-11</w:t>
            </w:r>
            <w:r>
              <w:rPr>
                <w:rFonts w:hint="default" w:ascii="Times New Roman" w:hAnsi="Times New Roman" w:cs="Times New Roman"/>
              </w:rPr>
              <w:t>可知：本项目无组织排非甲烷总烃最大占标率Pmax为0.13%＜1%。故本项气评价等级为三级。</w:t>
            </w:r>
            <w:r>
              <w:rPr>
                <w:rFonts w:hint="default" w:ascii="Times New Roman" w:hAnsi="Times New Roman" w:cs="Times New Roman"/>
                <w:snapToGrid w:val="0"/>
              </w:rPr>
              <w:t>不需设置大气环境影响评价范围，也不需进行进一步预测与评价。</w:t>
            </w:r>
          </w:p>
          <w:p>
            <w:pPr>
              <w:pStyle w:val="137"/>
              <w:ind w:firstLine="480"/>
              <w:rPr>
                <w:rFonts w:hint="default" w:ascii="Times New Roman" w:hAnsi="Times New Roman" w:cs="Times New Roman"/>
                <w:snapToGrid w:val="0"/>
              </w:rPr>
            </w:pPr>
            <w:r>
              <w:rPr>
                <w:rFonts w:hint="default" w:ascii="Times New Roman" w:hAnsi="Times New Roman" w:cs="Times New Roman"/>
                <w:snapToGrid w:val="0"/>
              </w:rPr>
              <w:t>（2）厂界浓度达标性分析</w:t>
            </w:r>
          </w:p>
          <w:p>
            <w:pPr>
              <w:pStyle w:val="143"/>
              <w:spacing w:before="156"/>
              <w:rPr>
                <w:rFonts w:hint="default" w:ascii="Times New Roman" w:hAnsi="Times New Roman" w:cs="Times New Roman"/>
              </w:rPr>
            </w:pPr>
            <w:bookmarkStart w:id="41" w:name="_Ref26889564"/>
            <w:r>
              <w:rPr>
                <w:rFonts w:hint="default" w:ascii="Times New Roman" w:hAnsi="Times New Roman" w:cs="Times New Roman"/>
              </w:rPr>
              <w:t>表</w:t>
            </w:r>
            <w:bookmarkEnd w:id="41"/>
            <w:r>
              <w:rPr>
                <w:rFonts w:hint="eastAsia" w:cs="Times New Roman"/>
                <w:lang w:val="en-US" w:eastAsia="zh-CN"/>
              </w:rPr>
              <w:t xml:space="preserve">7-12  </w:t>
            </w:r>
            <w:r>
              <w:rPr>
                <w:rFonts w:hint="default" w:ascii="Times New Roman" w:hAnsi="Times New Roman" w:cs="Times New Roman"/>
                <w:snapToGrid w:val="0"/>
              </w:rPr>
              <w:t xml:space="preserve">  无组织废气厂界达标性情况</w:t>
            </w:r>
          </w:p>
          <w:tbl>
            <w:tblPr>
              <w:tblStyle w:val="3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17"/>
              <w:gridCol w:w="4279"/>
              <w:gridCol w:w="27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trPr>
              <w:tc>
                <w:tcPr>
                  <w:tcW w:w="1071" w:type="pct"/>
                  <w:vAlign w:val="center"/>
                </w:tcPr>
                <w:p>
                  <w:pPr>
                    <w:pStyle w:val="141"/>
                    <w:rPr>
                      <w:rFonts w:hint="default" w:ascii="Times New Roman" w:hAnsi="Times New Roman" w:cs="Times New Roman"/>
                    </w:rPr>
                  </w:pPr>
                  <w:r>
                    <w:rPr>
                      <w:rFonts w:hint="default" w:ascii="Times New Roman" w:hAnsi="Times New Roman" w:cs="Times New Roman"/>
                    </w:rPr>
                    <w:t>污染物</w:t>
                  </w:r>
                </w:p>
              </w:tc>
              <w:tc>
                <w:tcPr>
                  <w:tcW w:w="2391" w:type="pct"/>
                  <w:vAlign w:val="center"/>
                </w:tcPr>
                <w:p>
                  <w:pPr>
                    <w:pStyle w:val="141"/>
                    <w:rPr>
                      <w:rFonts w:hint="default" w:ascii="Times New Roman" w:hAnsi="Times New Roman" w:cs="Times New Roman"/>
                    </w:rPr>
                  </w:pPr>
                  <w:r>
                    <w:rPr>
                      <w:rFonts w:hint="default" w:ascii="Times New Roman" w:hAnsi="Times New Roman" w:cs="Times New Roman"/>
                    </w:rPr>
                    <w:t>厂界最大值（mg/m</w:t>
                  </w:r>
                  <w:r>
                    <w:rPr>
                      <w:rFonts w:hint="default" w:ascii="Times New Roman" w:hAnsi="Times New Roman" w:cs="Times New Roman"/>
                      <w:vertAlign w:val="superscript"/>
                    </w:rPr>
                    <w:t>3</w:t>
                  </w:r>
                  <w:r>
                    <w:rPr>
                      <w:rFonts w:hint="default" w:ascii="Times New Roman" w:hAnsi="Times New Roman" w:cs="Times New Roman"/>
                    </w:rPr>
                    <w:t>）</w:t>
                  </w:r>
                </w:p>
              </w:tc>
              <w:tc>
                <w:tcPr>
                  <w:tcW w:w="1538" w:type="pct"/>
                  <w:vAlign w:val="center"/>
                </w:tcPr>
                <w:p>
                  <w:pPr>
                    <w:pStyle w:val="141"/>
                    <w:rPr>
                      <w:rFonts w:hint="default" w:ascii="Times New Roman" w:hAnsi="Times New Roman" w:cs="Times New Roman"/>
                    </w:rPr>
                  </w:pPr>
                  <w:r>
                    <w:rPr>
                      <w:rFonts w:hint="default" w:ascii="Times New Roman" w:hAnsi="Times New Roman" w:cs="Times New Roman"/>
                    </w:rPr>
                    <w:t>标准（mg/m</w:t>
                  </w:r>
                  <w:r>
                    <w:rPr>
                      <w:rFonts w:hint="default" w:ascii="Times New Roman" w:hAnsi="Times New Roman" w:cs="Times New Roman"/>
                      <w:vertAlign w:val="superscript"/>
                    </w:rPr>
                    <w:t>3</w:t>
                  </w:r>
                  <w:r>
                    <w:rPr>
                      <w:rFonts w:hint="default" w:ascii="Times New Roman" w:hAnsi="Times New Roman" w:cs="Times New Roma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3" w:hRule="atLeast"/>
              </w:trPr>
              <w:tc>
                <w:tcPr>
                  <w:tcW w:w="1071" w:type="pct"/>
                  <w:vAlign w:val="center"/>
                </w:tcPr>
                <w:p>
                  <w:pPr>
                    <w:pStyle w:val="141"/>
                    <w:rPr>
                      <w:rFonts w:hint="default" w:ascii="Times New Roman" w:hAnsi="Times New Roman" w:cs="Times New Roman"/>
                    </w:rPr>
                  </w:pPr>
                  <w:r>
                    <w:rPr>
                      <w:rFonts w:hint="default" w:ascii="Times New Roman" w:hAnsi="Times New Roman" w:cs="Times New Roman"/>
                    </w:rPr>
                    <w:t>非甲烷总烃</w:t>
                  </w:r>
                </w:p>
              </w:tc>
              <w:tc>
                <w:tcPr>
                  <w:tcW w:w="2391" w:type="pct"/>
                  <w:vAlign w:val="center"/>
                </w:tcPr>
                <w:p>
                  <w:pPr>
                    <w:pStyle w:val="141"/>
                    <w:rPr>
                      <w:rFonts w:hint="default" w:ascii="Times New Roman" w:hAnsi="Times New Roman" w:cs="Times New Roman"/>
                    </w:rPr>
                  </w:pPr>
                  <w:r>
                    <w:rPr>
                      <w:rFonts w:hint="default" w:ascii="Times New Roman" w:hAnsi="Times New Roman" w:cs="Times New Roman"/>
                    </w:rPr>
                    <w:t>0.002</w:t>
                  </w:r>
                </w:p>
              </w:tc>
              <w:tc>
                <w:tcPr>
                  <w:tcW w:w="1538" w:type="pct"/>
                  <w:vAlign w:val="center"/>
                </w:tcPr>
                <w:p>
                  <w:pPr>
                    <w:pStyle w:val="141"/>
                    <w:rPr>
                      <w:rFonts w:hint="default" w:ascii="Times New Roman" w:hAnsi="Times New Roman" w:cs="Times New Roman"/>
                      <w:b/>
                    </w:rPr>
                  </w:pPr>
                  <w:r>
                    <w:rPr>
                      <w:rFonts w:hint="default" w:ascii="Times New Roman" w:hAnsi="Times New Roman" w:cs="Times New Roman"/>
                      <w:b/>
                    </w:rPr>
                    <w:t>10</w:t>
                  </w:r>
                </w:p>
              </w:tc>
            </w:tr>
          </w:tbl>
          <w:p>
            <w:pPr>
              <w:pStyle w:val="137"/>
              <w:ind w:firstLine="480"/>
              <w:rPr>
                <w:rFonts w:hint="default" w:ascii="Times New Roman" w:hAnsi="Times New Roman" w:cs="Times New Roman"/>
              </w:rPr>
            </w:pPr>
            <w:r>
              <w:rPr>
                <w:rFonts w:hint="default" w:ascii="Times New Roman" w:hAnsi="Times New Roman" w:cs="Times New Roman"/>
              </w:rPr>
              <w:t>由</w:t>
            </w:r>
            <w:r>
              <w:rPr>
                <w:rFonts w:hint="eastAsia" w:cs="Times New Roman"/>
                <w:lang w:val="en-US" w:eastAsia="zh-CN"/>
              </w:rPr>
              <w:t>表7-12</w:t>
            </w:r>
            <w:r>
              <w:rPr>
                <w:rFonts w:hint="default" w:ascii="Times New Roman" w:hAnsi="Times New Roman" w:cs="Times New Roman"/>
              </w:rPr>
              <w:t>可知，均小于《大气污染物排放限值》（DB44/27-2001）中第二时段无组织排放监控浓度限值要求及《挥发性有机物无组织排放控制标准》（GB37822-2019）有关标准， 对周边环境影响不大。</w:t>
            </w:r>
          </w:p>
          <w:p>
            <w:pPr>
              <w:pStyle w:val="143"/>
              <w:keepNext w:val="0"/>
              <w:keepLines w:val="0"/>
              <w:pageBreakBefore w:val="0"/>
              <w:widowControl w:val="0"/>
              <w:kinsoku/>
              <w:wordWrap/>
              <w:overflowPunct/>
              <w:topLinePunct w:val="0"/>
              <w:autoSpaceDE/>
              <w:autoSpaceDN/>
              <w:bidi w:val="0"/>
              <w:adjustRightInd/>
              <w:snapToGrid/>
              <w:spacing w:beforeLines="0"/>
              <w:textAlignment w:val="auto"/>
              <w:rPr>
                <w:rFonts w:hint="default" w:ascii="Times New Roman" w:hAnsi="Times New Roman" w:cs="Times New Roman"/>
                <w:bCs/>
              </w:rPr>
            </w:pPr>
            <w:r>
              <w:rPr>
                <w:rFonts w:hint="default" w:ascii="Times New Roman" w:hAnsi="Times New Roman" w:cs="Times New Roman"/>
              </w:rPr>
              <w:t>表</w:t>
            </w:r>
            <w:r>
              <w:rPr>
                <w:rFonts w:hint="eastAsia" w:cs="Times New Roman"/>
                <w:lang w:val="en-US" w:eastAsia="zh-CN"/>
              </w:rPr>
              <w:t>7-13</w:t>
            </w:r>
            <w:r>
              <w:rPr>
                <w:rFonts w:hint="default" w:ascii="Times New Roman" w:hAnsi="Times New Roman" w:cs="Times New Roman"/>
              </w:rPr>
              <w:t xml:space="preserve">    </w:t>
            </w:r>
            <w:r>
              <w:rPr>
                <w:rFonts w:hint="default" w:ascii="Times New Roman" w:hAnsi="Times New Roman" w:cs="Times New Roman"/>
                <w:bCs/>
                <w:szCs w:val="24"/>
              </w:rPr>
              <w:t>建设项目大气环境影响评价自查表</w:t>
            </w:r>
          </w:p>
          <w:tbl>
            <w:tblPr>
              <w:tblStyle w:val="3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596"/>
              <w:gridCol w:w="1238"/>
              <w:gridCol w:w="1067"/>
              <w:gridCol w:w="764"/>
              <w:gridCol w:w="118"/>
              <w:gridCol w:w="1287"/>
              <w:gridCol w:w="635"/>
              <w:gridCol w:w="1671"/>
              <w:gridCol w:w="933"/>
              <w:gridCol w:w="6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1024" w:type="pct"/>
                  <w:gridSpan w:val="2"/>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工作内容</w:t>
                  </w:r>
                </w:p>
              </w:tc>
              <w:tc>
                <w:tcPr>
                  <w:tcW w:w="3975" w:type="pct"/>
                  <w:gridSpan w:val="8"/>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自查项目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333" w:type="pct"/>
                  <w:vMerge w:val="restart"/>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评价等级与范围</w:t>
                  </w:r>
                </w:p>
              </w:tc>
              <w:tc>
                <w:tcPr>
                  <w:tcW w:w="691" w:type="pct"/>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评价等级</w:t>
                  </w:r>
                </w:p>
              </w:tc>
              <w:tc>
                <w:tcPr>
                  <w:tcW w:w="1808" w:type="pct"/>
                  <w:gridSpan w:val="4"/>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一级□</w:t>
                  </w:r>
                </w:p>
              </w:tc>
              <w:tc>
                <w:tcPr>
                  <w:tcW w:w="1288" w:type="pct"/>
                  <w:gridSpan w:val="2"/>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二级</w:t>
                  </w:r>
                  <w:r>
                    <w:rPr>
                      <w:rFonts w:hint="default" w:ascii="Times New Roman" w:hAnsi="Times New Roman" w:cs="Times New Roman"/>
                    </w:rPr>
                    <w:sym w:font="Wingdings 2" w:char="00A3"/>
                  </w:r>
                </w:p>
              </w:tc>
              <w:tc>
                <w:tcPr>
                  <w:tcW w:w="878" w:type="pct"/>
                  <w:gridSpan w:val="2"/>
                  <w:tcBorders>
                    <w:tl2br w:val="nil"/>
                    <w:tr2bl w:val="nil"/>
                  </w:tcBorders>
                  <w:shd w:val="clear" w:color="auto" w:fill="auto"/>
                  <w:vAlign w:val="center"/>
                </w:tcPr>
                <w:p>
                  <w:pPr>
                    <w:pStyle w:val="141"/>
                    <w:rPr>
                      <w:rFonts w:hint="default" w:ascii="Times New Roman" w:hAnsi="Times New Roman" w:cs="Times New Roman"/>
                    </w:rPr>
                  </w:pPr>
                  <w:r>
                    <w:rPr>
                      <w:rStyle w:val="173"/>
                      <w:rFonts w:hint="default" w:ascii="Times New Roman" w:hAnsi="Times New Roman" w:cs="Times New Roman"/>
                      <w:color w:val="auto"/>
                      <w:sz w:val="21"/>
                      <w:szCs w:val="21"/>
                    </w:rPr>
                    <w:t>三级</w:t>
                  </w:r>
                  <w:r>
                    <w:rPr>
                      <w:rStyle w:val="176"/>
                      <w:rFonts w:hint="default" w:ascii="Times New Roman" w:hAnsi="Times New Roman" w:cs="Times New Roman"/>
                      <w:color w:val="auto"/>
                      <w:sz w:val="21"/>
                      <w:szCs w:val="21"/>
                      <w:vertAlign w:val="baseline"/>
                    </w:rPr>
                    <w:t>5</w:t>
                  </w:r>
                  <w:r>
                    <w:rPr>
                      <w:rStyle w:val="174"/>
                      <w:rFonts w:hint="default" w:ascii="Times New Roman" w:hAnsi="Times New Roman" w:eastAsia="宋体" w:cs="Times New Roman"/>
                      <w:color w:val="auto"/>
                      <w:sz w:val="21"/>
                      <w:szCs w:val="21"/>
                    </w:rPr>
                    <w:sym w:font="Wingdings 2" w:char="0052"/>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333" w:type="pct"/>
                  <w:vMerge w:val="continue"/>
                  <w:tcBorders>
                    <w:tl2br w:val="nil"/>
                    <w:tr2bl w:val="nil"/>
                  </w:tcBorders>
                  <w:shd w:val="clear" w:color="auto" w:fill="auto"/>
                  <w:vAlign w:val="center"/>
                </w:tcPr>
                <w:p>
                  <w:pPr>
                    <w:pStyle w:val="141"/>
                    <w:rPr>
                      <w:rFonts w:hint="default" w:ascii="Times New Roman" w:hAnsi="Times New Roman" w:cs="Times New Roman"/>
                    </w:rPr>
                  </w:pPr>
                </w:p>
              </w:tc>
              <w:tc>
                <w:tcPr>
                  <w:tcW w:w="691" w:type="pct"/>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评价范围</w:t>
                  </w:r>
                </w:p>
              </w:tc>
              <w:tc>
                <w:tcPr>
                  <w:tcW w:w="1808" w:type="pct"/>
                  <w:gridSpan w:val="4"/>
                  <w:tcBorders>
                    <w:tl2br w:val="nil"/>
                    <w:tr2bl w:val="nil"/>
                  </w:tcBorders>
                  <w:shd w:val="clear" w:color="auto" w:fill="auto"/>
                  <w:vAlign w:val="center"/>
                </w:tcPr>
                <w:p>
                  <w:pPr>
                    <w:pStyle w:val="141"/>
                    <w:rPr>
                      <w:rFonts w:hint="default" w:ascii="Times New Roman" w:hAnsi="Times New Roman" w:cs="Times New Roman"/>
                    </w:rPr>
                  </w:pPr>
                  <w:r>
                    <w:rPr>
                      <w:rStyle w:val="173"/>
                      <w:rFonts w:hint="default" w:ascii="Times New Roman" w:hAnsi="Times New Roman" w:cs="Times New Roman"/>
                      <w:color w:val="auto"/>
                      <w:sz w:val="21"/>
                      <w:szCs w:val="21"/>
                    </w:rPr>
                    <w:t>边长</w:t>
                  </w:r>
                  <w:r>
                    <w:rPr>
                      <w:rStyle w:val="175"/>
                      <w:rFonts w:hint="default" w:ascii="Times New Roman" w:hAnsi="Times New Roman" w:cs="Times New Roman"/>
                      <w:color w:val="auto"/>
                      <w:sz w:val="21"/>
                      <w:szCs w:val="21"/>
                    </w:rPr>
                    <w:t>=50km</w:t>
                  </w:r>
                  <w:r>
                    <w:rPr>
                      <w:rStyle w:val="173"/>
                      <w:rFonts w:hint="default" w:ascii="Times New Roman" w:hAnsi="Times New Roman" w:cs="Times New Roman"/>
                      <w:color w:val="auto"/>
                      <w:sz w:val="21"/>
                      <w:szCs w:val="21"/>
                    </w:rPr>
                    <w:t>□</w:t>
                  </w:r>
                </w:p>
              </w:tc>
              <w:tc>
                <w:tcPr>
                  <w:tcW w:w="1288" w:type="pct"/>
                  <w:gridSpan w:val="2"/>
                  <w:tcBorders>
                    <w:tl2br w:val="nil"/>
                    <w:tr2bl w:val="nil"/>
                  </w:tcBorders>
                  <w:shd w:val="clear" w:color="auto" w:fill="auto"/>
                  <w:vAlign w:val="center"/>
                </w:tcPr>
                <w:p>
                  <w:pPr>
                    <w:pStyle w:val="141"/>
                    <w:rPr>
                      <w:rFonts w:hint="default" w:ascii="Times New Roman" w:hAnsi="Times New Roman" w:cs="Times New Roman"/>
                    </w:rPr>
                  </w:pPr>
                  <w:r>
                    <w:rPr>
                      <w:rStyle w:val="173"/>
                      <w:rFonts w:hint="default" w:ascii="Times New Roman" w:hAnsi="Times New Roman" w:cs="Times New Roman"/>
                      <w:color w:val="auto"/>
                      <w:sz w:val="21"/>
                      <w:szCs w:val="21"/>
                    </w:rPr>
                    <w:t>边长</w:t>
                  </w:r>
                  <w:r>
                    <w:rPr>
                      <w:rStyle w:val="175"/>
                      <w:rFonts w:hint="default" w:ascii="Times New Roman" w:hAnsi="Times New Roman" w:cs="Times New Roman"/>
                      <w:color w:val="auto"/>
                      <w:sz w:val="21"/>
                      <w:szCs w:val="21"/>
                    </w:rPr>
                    <w:t>=5~50km</w:t>
                  </w:r>
                  <w:r>
                    <w:rPr>
                      <w:rStyle w:val="173"/>
                      <w:rFonts w:hint="default" w:ascii="Times New Roman" w:hAnsi="Times New Roman" w:cs="Times New Roman"/>
                      <w:color w:val="auto"/>
                      <w:sz w:val="21"/>
                      <w:szCs w:val="21"/>
                    </w:rPr>
                    <w:sym w:font="Wingdings 2" w:char="00A3"/>
                  </w:r>
                </w:p>
              </w:tc>
              <w:tc>
                <w:tcPr>
                  <w:tcW w:w="878" w:type="pct"/>
                  <w:gridSpan w:val="2"/>
                  <w:tcBorders>
                    <w:tl2br w:val="nil"/>
                    <w:tr2bl w:val="nil"/>
                  </w:tcBorders>
                  <w:shd w:val="clear" w:color="auto" w:fill="auto"/>
                  <w:vAlign w:val="center"/>
                </w:tcPr>
                <w:p>
                  <w:pPr>
                    <w:pStyle w:val="141"/>
                    <w:rPr>
                      <w:rFonts w:hint="default" w:ascii="Times New Roman" w:hAnsi="Times New Roman" w:cs="Times New Roman"/>
                    </w:rPr>
                  </w:pPr>
                  <w:r>
                    <w:rPr>
                      <w:rStyle w:val="173"/>
                      <w:rFonts w:hint="default" w:ascii="Times New Roman" w:hAnsi="Times New Roman" w:cs="Times New Roman"/>
                      <w:color w:val="auto"/>
                      <w:sz w:val="21"/>
                      <w:szCs w:val="21"/>
                    </w:rPr>
                    <w:t>边长</w:t>
                  </w:r>
                  <w:r>
                    <w:rPr>
                      <w:rStyle w:val="175"/>
                      <w:rFonts w:hint="default" w:ascii="Times New Roman" w:hAnsi="Times New Roman" w:cs="Times New Roman"/>
                      <w:color w:val="auto"/>
                      <w:sz w:val="21"/>
                      <w:szCs w:val="21"/>
                    </w:rPr>
                    <w:t>=5km</w:t>
                  </w:r>
                  <w:r>
                    <w:rPr>
                      <w:rStyle w:val="176"/>
                      <w:rFonts w:hint="default" w:ascii="Times New Roman" w:hAnsi="Times New Roman" w:cs="Times New Roman"/>
                      <w:color w:val="auto"/>
                      <w:sz w:val="21"/>
                      <w:szCs w:val="21"/>
                      <w:vertAlign w:val="baseline"/>
                    </w:rPr>
                    <w:t>5</w:t>
                  </w:r>
                  <w:r>
                    <w:rPr>
                      <w:rStyle w:val="174"/>
                      <w:rFonts w:hint="default" w:ascii="Times New Roman" w:hAnsi="Times New Roman" w:eastAsia="宋体" w:cs="Times New Roman"/>
                      <w:color w:val="auto"/>
                      <w:sz w:val="21"/>
                      <w:szCs w:val="21"/>
                    </w:rPr>
                    <w:sym w:font="Wingdings 2" w:char="0052"/>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98" w:hRule="exact"/>
              </w:trPr>
              <w:tc>
                <w:tcPr>
                  <w:tcW w:w="333" w:type="pct"/>
                  <w:vMerge w:val="restart"/>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评价因子</w:t>
                  </w:r>
                </w:p>
              </w:tc>
              <w:tc>
                <w:tcPr>
                  <w:tcW w:w="691" w:type="pct"/>
                  <w:tcBorders>
                    <w:tl2br w:val="nil"/>
                    <w:tr2bl w:val="nil"/>
                  </w:tcBorders>
                  <w:shd w:val="clear" w:color="auto" w:fill="auto"/>
                  <w:vAlign w:val="center"/>
                </w:tcPr>
                <w:p>
                  <w:pPr>
                    <w:pStyle w:val="141"/>
                    <w:rPr>
                      <w:rFonts w:hint="default" w:ascii="Times New Roman" w:hAnsi="Times New Roman" w:cs="Times New Roman"/>
                    </w:rPr>
                  </w:pPr>
                  <w:r>
                    <w:rPr>
                      <w:rStyle w:val="175"/>
                      <w:rFonts w:hint="default" w:ascii="Times New Roman" w:hAnsi="Times New Roman" w:cs="Times New Roman"/>
                      <w:color w:val="auto"/>
                      <w:sz w:val="21"/>
                      <w:szCs w:val="21"/>
                    </w:rPr>
                    <w:t>SO</w:t>
                  </w:r>
                  <w:r>
                    <w:rPr>
                      <w:rStyle w:val="176"/>
                      <w:rFonts w:hint="default" w:ascii="Times New Roman" w:hAnsi="Times New Roman" w:cs="Times New Roman"/>
                      <w:color w:val="auto"/>
                      <w:sz w:val="21"/>
                      <w:szCs w:val="21"/>
                      <w:vertAlign w:val="baseline"/>
                    </w:rPr>
                    <w:t>2</w:t>
                  </w:r>
                  <w:r>
                    <w:rPr>
                      <w:rStyle w:val="175"/>
                      <w:rFonts w:hint="default" w:ascii="Times New Roman" w:hAnsi="Times New Roman" w:cs="Times New Roman"/>
                      <w:color w:val="auto"/>
                      <w:sz w:val="21"/>
                      <w:szCs w:val="21"/>
                    </w:rPr>
                    <w:t>+NOx</w:t>
                  </w:r>
                  <w:r>
                    <w:rPr>
                      <w:rStyle w:val="173"/>
                      <w:rFonts w:hint="default" w:ascii="Times New Roman" w:hAnsi="Times New Roman" w:cs="Times New Roman"/>
                      <w:color w:val="auto"/>
                      <w:sz w:val="21"/>
                      <w:szCs w:val="21"/>
                    </w:rPr>
                    <w:t>排放量</w:t>
                  </w:r>
                </w:p>
              </w:tc>
              <w:tc>
                <w:tcPr>
                  <w:tcW w:w="1023" w:type="pct"/>
                  <w:gridSpan w:val="2"/>
                  <w:tcBorders>
                    <w:tl2br w:val="nil"/>
                    <w:tr2bl w:val="nil"/>
                  </w:tcBorders>
                  <w:shd w:val="clear" w:color="auto" w:fill="auto"/>
                  <w:vAlign w:val="center"/>
                </w:tcPr>
                <w:p>
                  <w:pPr>
                    <w:pStyle w:val="141"/>
                    <w:rPr>
                      <w:rFonts w:hint="default" w:ascii="Times New Roman" w:hAnsi="Times New Roman" w:cs="Times New Roman"/>
                    </w:rPr>
                  </w:pPr>
                  <w:r>
                    <w:rPr>
                      <w:rStyle w:val="173"/>
                      <w:rFonts w:hint="default" w:ascii="Times New Roman" w:hAnsi="Times New Roman" w:cs="Times New Roman"/>
                      <w:color w:val="auto"/>
                      <w:sz w:val="21"/>
                      <w:szCs w:val="21"/>
                    </w:rPr>
                    <w:t>≥</w:t>
                  </w:r>
                  <w:r>
                    <w:rPr>
                      <w:rStyle w:val="175"/>
                      <w:rFonts w:hint="default" w:ascii="Times New Roman" w:hAnsi="Times New Roman" w:cs="Times New Roman"/>
                      <w:color w:val="auto"/>
                      <w:sz w:val="21"/>
                      <w:szCs w:val="21"/>
                    </w:rPr>
                    <w:t>2000t/a</w:t>
                  </w:r>
                  <w:r>
                    <w:rPr>
                      <w:rStyle w:val="173"/>
                      <w:rFonts w:hint="default" w:ascii="Times New Roman" w:hAnsi="Times New Roman" w:cs="Times New Roman"/>
                      <w:color w:val="auto"/>
                      <w:sz w:val="21"/>
                      <w:szCs w:val="21"/>
                    </w:rPr>
                    <w:t>□</w:t>
                  </w:r>
                </w:p>
              </w:tc>
              <w:tc>
                <w:tcPr>
                  <w:tcW w:w="1139" w:type="pct"/>
                  <w:gridSpan w:val="3"/>
                  <w:tcBorders>
                    <w:tl2br w:val="nil"/>
                    <w:tr2bl w:val="nil"/>
                  </w:tcBorders>
                  <w:shd w:val="clear" w:color="auto" w:fill="auto"/>
                  <w:vAlign w:val="center"/>
                </w:tcPr>
                <w:p>
                  <w:pPr>
                    <w:pStyle w:val="141"/>
                    <w:rPr>
                      <w:rFonts w:hint="default" w:ascii="Times New Roman" w:hAnsi="Times New Roman" w:cs="Times New Roman"/>
                    </w:rPr>
                  </w:pPr>
                  <w:r>
                    <w:rPr>
                      <w:rStyle w:val="175"/>
                      <w:rFonts w:hint="default" w:ascii="Times New Roman" w:hAnsi="Times New Roman" w:cs="Times New Roman"/>
                      <w:color w:val="auto"/>
                      <w:sz w:val="21"/>
                      <w:szCs w:val="21"/>
                    </w:rPr>
                    <w:t>500~2000t/a</w:t>
                  </w:r>
                  <w:r>
                    <w:rPr>
                      <w:rStyle w:val="173"/>
                      <w:rFonts w:hint="default" w:ascii="Times New Roman" w:hAnsi="Times New Roman" w:cs="Times New Roman"/>
                      <w:color w:val="auto"/>
                      <w:sz w:val="21"/>
                      <w:szCs w:val="21"/>
                    </w:rPr>
                    <w:t>□</w:t>
                  </w:r>
                </w:p>
              </w:tc>
              <w:tc>
                <w:tcPr>
                  <w:tcW w:w="1812" w:type="pct"/>
                  <w:gridSpan w:val="3"/>
                  <w:tcBorders>
                    <w:tl2br w:val="nil"/>
                    <w:tr2bl w:val="nil"/>
                  </w:tcBorders>
                  <w:shd w:val="clear" w:color="auto" w:fill="auto"/>
                  <w:vAlign w:val="center"/>
                </w:tcPr>
                <w:p>
                  <w:pPr>
                    <w:pStyle w:val="141"/>
                    <w:rPr>
                      <w:rFonts w:hint="default" w:ascii="Times New Roman" w:hAnsi="Times New Roman" w:cs="Times New Roman"/>
                    </w:rPr>
                  </w:pPr>
                  <w:r>
                    <w:rPr>
                      <w:rStyle w:val="175"/>
                      <w:rFonts w:hint="default" w:ascii="Times New Roman" w:hAnsi="Times New Roman" w:cs="Times New Roman"/>
                      <w:color w:val="auto"/>
                      <w:sz w:val="21"/>
                      <w:szCs w:val="21"/>
                    </w:rPr>
                    <w:t>&lt;500t/a</w:t>
                  </w:r>
                  <w:r>
                    <w:rPr>
                      <w:rStyle w:val="174"/>
                      <w:rFonts w:hint="default" w:ascii="Times New Roman" w:hAnsi="Times New Roman" w:eastAsia="宋体" w:cs="Times New Roman"/>
                      <w:color w:val="auto"/>
                      <w:sz w:val="21"/>
                      <w:szCs w:val="21"/>
                    </w:rPr>
                    <w:t>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834" w:hRule="exact"/>
              </w:trPr>
              <w:tc>
                <w:tcPr>
                  <w:tcW w:w="333" w:type="pct"/>
                  <w:vMerge w:val="continue"/>
                  <w:tcBorders>
                    <w:tl2br w:val="nil"/>
                    <w:tr2bl w:val="nil"/>
                  </w:tcBorders>
                  <w:shd w:val="clear" w:color="auto" w:fill="auto"/>
                  <w:vAlign w:val="center"/>
                </w:tcPr>
                <w:p>
                  <w:pPr>
                    <w:pStyle w:val="141"/>
                    <w:rPr>
                      <w:rFonts w:hint="default" w:ascii="Times New Roman" w:hAnsi="Times New Roman" w:cs="Times New Roman"/>
                    </w:rPr>
                  </w:pPr>
                </w:p>
              </w:tc>
              <w:tc>
                <w:tcPr>
                  <w:tcW w:w="691" w:type="pct"/>
                  <w:vMerge w:val="restart"/>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评价因子</w:t>
                  </w:r>
                </w:p>
              </w:tc>
              <w:tc>
                <w:tcPr>
                  <w:tcW w:w="2163" w:type="pct"/>
                  <w:gridSpan w:val="5"/>
                  <w:tcBorders>
                    <w:tl2br w:val="nil"/>
                    <w:tr2bl w:val="nil"/>
                  </w:tcBorders>
                  <w:shd w:val="clear" w:color="auto" w:fill="auto"/>
                  <w:vAlign w:val="center"/>
                </w:tcPr>
                <w:p>
                  <w:pPr>
                    <w:pStyle w:val="141"/>
                    <w:rPr>
                      <w:rFonts w:hint="default" w:ascii="Times New Roman" w:hAnsi="Times New Roman" w:cs="Times New Roman"/>
                    </w:rPr>
                  </w:pPr>
                  <w:r>
                    <w:rPr>
                      <w:rStyle w:val="173"/>
                      <w:rFonts w:hint="default" w:ascii="Times New Roman" w:hAnsi="Times New Roman" w:cs="Times New Roman"/>
                      <w:color w:val="auto"/>
                      <w:sz w:val="21"/>
                      <w:szCs w:val="21"/>
                    </w:rPr>
                    <w:t>基本污染物（</w:t>
                  </w:r>
                  <w:r>
                    <w:rPr>
                      <w:rStyle w:val="175"/>
                      <w:rFonts w:hint="default" w:ascii="Times New Roman" w:hAnsi="Times New Roman" w:cs="Times New Roman"/>
                    </w:rPr>
                    <w:t>/</w:t>
                  </w:r>
                  <w:r>
                    <w:rPr>
                      <w:rStyle w:val="176"/>
                      <w:rFonts w:hint="default" w:ascii="Times New Roman" w:hAnsi="Times New Roman" w:cs="Times New Roman"/>
                      <w:color w:val="auto"/>
                      <w:sz w:val="21"/>
                      <w:szCs w:val="21"/>
                      <w:vertAlign w:val="baseline"/>
                    </w:rPr>
                    <w:t>）</w:t>
                  </w:r>
                </w:p>
              </w:tc>
              <w:tc>
                <w:tcPr>
                  <w:tcW w:w="1812" w:type="pct"/>
                  <w:gridSpan w:val="3"/>
                  <w:tcBorders>
                    <w:tl2br w:val="nil"/>
                    <w:tr2bl w:val="nil"/>
                  </w:tcBorders>
                  <w:shd w:val="clear" w:color="auto" w:fill="auto"/>
                  <w:vAlign w:val="center"/>
                </w:tcPr>
                <w:p>
                  <w:pPr>
                    <w:pStyle w:val="141"/>
                    <w:rPr>
                      <w:rFonts w:hint="default" w:ascii="Times New Roman" w:hAnsi="Times New Roman" w:cs="Times New Roman"/>
                    </w:rPr>
                  </w:pPr>
                  <w:r>
                    <w:rPr>
                      <w:rStyle w:val="173"/>
                      <w:rFonts w:hint="default" w:ascii="Times New Roman" w:hAnsi="Times New Roman" w:cs="Times New Roman"/>
                      <w:color w:val="auto"/>
                      <w:sz w:val="21"/>
                      <w:szCs w:val="21"/>
                    </w:rPr>
                    <w:t>包括二次</w:t>
                  </w:r>
                  <w:r>
                    <w:rPr>
                      <w:rStyle w:val="175"/>
                      <w:rFonts w:hint="default" w:ascii="Times New Roman" w:hAnsi="Times New Roman" w:cs="Times New Roman"/>
                      <w:color w:val="auto"/>
                      <w:sz w:val="21"/>
                      <w:szCs w:val="21"/>
                    </w:rPr>
                    <w:t>PM</w:t>
                  </w:r>
                  <w:r>
                    <w:rPr>
                      <w:rStyle w:val="176"/>
                      <w:rFonts w:hint="default" w:ascii="Times New Roman" w:hAnsi="Times New Roman" w:cs="Times New Roman"/>
                      <w:color w:val="auto"/>
                      <w:sz w:val="21"/>
                      <w:szCs w:val="21"/>
                      <w:vertAlign w:val="baseline"/>
                    </w:rPr>
                    <w:t>2.5</w:t>
                  </w:r>
                  <w:r>
                    <w:rPr>
                      <w:rStyle w:val="173"/>
                      <w:rFonts w:hint="default" w:ascii="Times New Roman" w:hAnsi="Times New Roman" w:cs="Times New Roman"/>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exact"/>
              </w:trPr>
              <w:tc>
                <w:tcPr>
                  <w:tcW w:w="333" w:type="pct"/>
                  <w:vMerge w:val="continue"/>
                  <w:tcBorders>
                    <w:tl2br w:val="nil"/>
                    <w:tr2bl w:val="nil"/>
                  </w:tcBorders>
                  <w:shd w:val="clear" w:color="auto" w:fill="auto"/>
                  <w:vAlign w:val="center"/>
                </w:tcPr>
                <w:p>
                  <w:pPr>
                    <w:pStyle w:val="141"/>
                    <w:rPr>
                      <w:rFonts w:hint="default" w:ascii="Times New Roman" w:hAnsi="Times New Roman" w:cs="Times New Roman"/>
                    </w:rPr>
                  </w:pPr>
                </w:p>
              </w:tc>
              <w:tc>
                <w:tcPr>
                  <w:tcW w:w="691" w:type="pct"/>
                  <w:vMerge w:val="continue"/>
                  <w:tcBorders>
                    <w:tl2br w:val="nil"/>
                    <w:tr2bl w:val="nil"/>
                  </w:tcBorders>
                  <w:shd w:val="clear" w:color="auto" w:fill="auto"/>
                  <w:vAlign w:val="center"/>
                </w:tcPr>
                <w:p>
                  <w:pPr>
                    <w:pStyle w:val="141"/>
                    <w:rPr>
                      <w:rFonts w:hint="default" w:ascii="Times New Roman" w:hAnsi="Times New Roman" w:cs="Times New Roman"/>
                    </w:rPr>
                  </w:pPr>
                </w:p>
              </w:tc>
              <w:tc>
                <w:tcPr>
                  <w:tcW w:w="2163" w:type="pct"/>
                  <w:gridSpan w:val="5"/>
                  <w:tcBorders>
                    <w:tl2br w:val="nil"/>
                    <w:tr2bl w:val="nil"/>
                  </w:tcBorders>
                  <w:shd w:val="clear" w:color="auto" w:fill="auto"/>
                  <w:vAlign w:val="center"/>
                </w:tcPr>
                <w:p>
                  <w:pPr>
                    <w:pStyle w:val="141"/>
                    <w:rPr>
                      <w:rFonts w:hint="default" w:ascii="Times New Roman" w:hAnsi="Times New Roman" w:cs="Times New Roman"/>
                    </w:rPr>
                  </w:pPr>
                  <w:r>
                    <w:rPr>
                      <w:rStyle w:val="173"/>
                      <w:rFonts w:hint="default" w:ascii="Times New Roman" w:hAnsi="Times New Roman" w:cs="Times New Roman"/>
                      <w:color w:val="auto"/>
                      <w:sz w:val="21"/>
                      <w:szCs w:val="21"/>
                    </w:rPr>
                    <w:t>其他污染物（</w:t>
                  </w:r>
                  <w:r>
                    <w:rPr>
                      <w:rStyle w:val="175"/>
                      <w:rFonts w:hint="default" w:ascii="Times New Roman" w:hAnsi="Times New Roman" w:cs="Times New Roman"/>
                    </w:rPr>
                    <w:t>非甲烷总烃</w:t>
                  </w:r>
                  <w:r>
                    <w:rPr>
                      <w:rStyle w:val="173"/>
                      <w:rFonts w:hint="default" w:ascii="Times New Roman" w:hAnsi="Times New Roman" w:cs="Times New Roman"/>
                      <w:color w:val="auto"/>
                      <w:sz w:val="21"/>
                      <w:szCs w:val="21"/>
                    </w:rPr>
                    <w:t>）</w:t>
                  </w:r>
                </w:p>
              </w:tc>
              <w:tc>
                <w:tcPr>
                  <w:tcW w:w="1812" w:type="pct"/>
                  <w:gridSpan w:val="3"/>
                  <w:tcBorders>
                    <w:tl2br w:val="nil"/>
                    <w:tr2bl w:val="nil"/>
                  </w:tcBorders>
                  <w:shd w:val="clear" w:color="auto" w:fill="auto"/>
                  <w:vAlign w:val="center"/>
                </w:tcPr>
                <w:p>
                  <w:pPr>
                    <w:pStyle w:val="141"/>
                    <w:rPr>
                      <w:rFonts w:hint="default" w:ascii="Times New Roman" w:hAnsi="Times New Roman" w:cs="Times New Roman"/>
                    </w:rPr>
                  </w:pPr>
                  <w:r>
                    <w:rPr>
                      <w:rStyle w:val="173"/>
                      <w:rFonts w:hint="default" w:ascii="Times New Roman" w:hAnsi="Times New Roman" w:cs="Times New Roman"/>
                      <w:color w:val="auto"/>
                      <w:sz w:val="21"/>
                      <w:szCs w:val="21"/>
                    </w:rPr>
                    <w:t>不包括二次</w:t>
                  </w:r>
                  <w:r>
                    <w:rPr>
                      <w:rStyle w:val="175"/>
                      <w:rFonts w:hint="default" w:ascii="Times New Roman" w:hAnsi="Times New Roman" w:cs="Times New Roman"/>
                      <w:color w:val="auto"/>
                      <w:sz w:val="21"/>
                      <w:szCs w:val="21"/>
                    </w:rPr>
                    <w:t>PM</w:t>
                  </w:r>
                  <w:r>
                    <w:rPr>
                      <w:rStyle w:val="176"/>
                      <w:rFonts w:hint="default" w:ascii="Times New Roman" w:hAnsi="Times New Roman" w:cs="Times New Roman"/>
                      <w:color w:val="auto"/>
                      <w:sz w:val="21"/>
                      <w:szCs w:val="21"/>
                      <w:vertAlign w:val="baseline"/>
                    </w:rPr>
                    <w:t>2.5</w:t>
                  </w:r>
                  <w:r>
                    <w:rPr>
                      <w:rStyle w:val="174"/>
                      <w:rFonts w:hint="default" w:ascii="Times New Roman" w:hAnsi="Times New Roman" w:eastAsia="宋体" w:cs="Times New Roman"/>
                      <w:color w:val="auto"/>
                      <w:sz w:val="21"/>
                      <w:szCs w:val="21"/>
                    </w:rPr>
                    <w:sym w:font="Wingdings 2" w:char="0052"/>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24" w:hRule="exact"/>
              </w:trPr>
              <w:tc>
                <w:tcPr>
                  <w:tcW w:w="333" w:type="pct"/>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评价标准</w:t>
                  </w:r>
                </w:p>
              </w:tc>
              <w:tc>
                <w:tcPr>
                  <w:tcW w:w="691" w:type="pct"/>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评价标准</w:t>
                  </w:r>
                </w:p>
              </w:tc>
              <w:tc>
                <w:tcPr>
                  <w:tcW w:w="1089" w:type="pct"/>
                  <w:gridSpan w:val="3"/>
                  <w:tcBorders>
                    <w:tl2br w:val="nil"/>
                    <w:tr2bl w:val="nil"/>
                  </w:tcBorders>
                  <w:shd w:val="clear" w:color="auto" w:fill="auto"/>
                  <w:vAlign w:val="center"/>
                </w:tcPr>
                <w:p>
                  <w:pPr>
                    <w:pStyle w:val="141"/>
                    <w:rPr>
                      <w:rFonts w:hint="default" w:ascii="Times New Roman" w:hAnsi="Times New Roman" w:cs="Times New Roman"/>
                    </w:rPr>
                  </w:pPr>
                  <w:r>
                    <w:rPr>
                      <w:rStyle w:val="173"/>
                      <w:rFonts w:hint="default" w:ascii="Times New Roman" w:hAnsi="Times New Roman" w:cs="Times New Roman"/>
                      <w:color w:val="auto"/>
                      <w:sz w:val="21"/>
                      <w:szCs w:val="21"/>
                    </w:rPr>
                    <w:t>国家标准</w:t>
                  </w:r>
                  <w:r>
                    <w:rPr>
                      <w:rStyle w:val="174"/>
                      <w:rFonts w:hint="default" w:ascii="Times New Roman" w:hAnsi="Times New Roman" w:eastAsia="宋体" w:cs="Times New Roman"/>
                      <w:color w:val="auto"/>
                      <w:sz w:val="21"/>
                      <w:szCs w:val="21"/>
                    </w:rPr>
                    <w:sym w:font="Wingdings 2" w:char="00A3"/>
                  </w:r>
                </w:p>
              </w:tc>
              <w:tc>
                <w:tcPr>
                  <w:tcW w:w="1073" w:type="pct"/>
                  <w:gridSpan w:val="2"/>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地方标准</w:t>
                  </w:r>
                  <w:r>
                    <w:rPr>
                      <w:rFonts w:hint="default" w:ascii="Times New Roman" w:hAnsi="Times New Roman" w:cs="Times New Roman"/>
                    </w:rPr>
                    <w:sym w:font="Wingdings 2" w:char="0052"/>
                  </w:r>
                </w:p>
              </w:tc>
              <w:tc>
                <w:tcPr>
                  <w:tcW w:w="933" w:type="pct"/>
                  <w:tcBorders>
                    <w:tl2br w:val="nil"/>
                    <w:tr2bl w:val="nil"/>
                  </w:tcBorders>
                  <w:shd w:val="clear" w:color="auto" w:fill="auto"/>
                  <w:vAlign w:val="center"/>
                </w:tcPr>
                <w:p>
                  <w:pPr>
                    <w:pStyle w:val="141"/>
                    <w:rPr>
                      <w:rFonts w:hint="default" w:ascii="Times New Roman" w:hAnsi="Times New Roman" w:cs="Times New Roman"/>
                    </w:rPr>
                  </w:pPr>
                  <w:r>
                    <w:rPr>
                      <w:rStyle w:val="173"/>
                      <w:rFonts w:hint="default" w:ascii="Times New Roman" w:hAnsi="Times New Roman" w:cs="Times New Roman"/>
                      <w:color w:val="auto"/>
                      <w:sz w:val="21"/>
                      <w:szCs w:val="21"/>
                    </w:rPr>
                    <w:t>附录</w:t>
                  </w:r>
                  <w:r>
                    <w:rPr>
                      <w:rStyle w:val="175"/>
                      <w:rFonts w:hint="default" w:ascii="Times New Roman" w:hAnsi="Times New Roman" w:cs="Times New Roman"/>
                      <w:color w:val="auto"/>
                      <w:sz w:val="21"/>
                      <w:szCs w:val="21"/>
                    </w:rPr>
                    <w:t>D</w:t>
                  </w:r>
                  <w:r>
                    <w:rPr>
                      <w:rStyle w:val="174"/>
                      <w:rFonts w:hint="default" w:ascii="Times New Roman" w:hAnsi="Times New Roman" w:eastAsia="宋体" w:cs="Times New Roman"/>
                      <w:color w:val="auto"/>
                      <w:sz w:val="21"/>
                      <w:szCs w:val="21"/>
                    </w:rPr>
                    <w:sym w:font="Wingdings 2" w:char="00A3"/>
                  </w:r>
                </w:p>
              </w:tc>
              <w:tc>
                <w:tcPr>
                  <w:tcW w:w="878" w:type="pct"/>
                  <w:gridSpan w:val="2"/>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其他标准□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90" w:hRule="exact"/>
              </w:trPr>
              <w:tc>
                <w:tcPr>
                  <w:tcW w:w="333" w:type="pct"/>
                  <w:vMerge w:val="restart"/>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现状评价</w:t>
                  </w:r>
                </w:p>
              </w:tc>
              <w:tc>
                <w:tcPr>
                  <w:tcW w:w="691" w:type="pct"/>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评价功能区</w:t>
                  </w:r>
                </w:p>
              </w:tc>
              <w:tc>
                <w:tcPr>
                  <w:tcW w:w="1808" w:type="pct"/>
                  <w:gridSpan w:val="4"/>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一类区□</w:t>
                  </w:r>
                </w:p>
              </w:tc>
              <w:tc>
                <w:tcPr>
                  <w:tcW w:w="1288" w:type="pct"/>
                  <w:gridSpan w:val="2"/>
                  <w:tcBorders>
                    <w:tl2br w:val="nil"/>
                    <w:tr2bl w:val="nil"/>
                  </w:tcBorders>
                  <w:shd w:val="clear" w:color="auto" w:fill="auto"/>
                  <w:vAlign w:val="center"/>
                </w:tcPr>
                <w:p>
                  <w:pPr>
                    <w:pStyle w:val="141"/>
                    <w:rPr>
                      <w:rFonts w:hint="default" w:ascii="Times New Roman" w:hAnsi="Times New Roman" w:cs="Times New Roman"/>
                    </w:rPr>
                  </w:pPr>
                  <w:r>
                    <w:rPr>
                      <w:rStyle w:val="173"/>
                      <w:rFonts w:hint="default" w:ascii="Times New Roman" w:hAnsi="Times New Roman" w:cs="Times New Roman"/>
                      <w:color w:val="auto"/>
                      <w:sz w:val="21"/>
                      <w:szCs w:val="21"/>
                    </w:rPr>
                    <w:t>二类区</w:t>
                  </w:r>
                  <w:r>
                    <w:rPr>
                      <w:rStyle w:val="174"/>
                      <w:rFonts w:hint="default" w:ascii="Times New Roman" w:hAnsi="Times New Roman" w:eastAsia="宋体" w:cs="Times New Roman"/>
                      <w:color w:val="auto"/>
                      <w:sz w:val="21"/>
                      <w:szCs w:val="21"/>
                    </w:rPr>
                    <w:sym w:font="Wingdings 2" w:char="0052"/>
                  </w:r>
                </w:p>
              </w:tc>
              <w:tc>
                <w:tcPr>
                  <w:tcW w:w="878" w:type="pct"/>
                  <w:gridSpan w:val="2"/>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一类区和二类区□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333" w:type="pct"/>
                  <w:vMerge w:val="continue"/>
                  <w:tcBorders>
                    <w:tl2br w:val="nil"/>
                    <w:tr2bl w:val="nil"/>
                  </w:tcBorders>
                  <w:shd w:val="clear" w:color="auto" w:fill="auto"/>
                  <w:vAlign w:val="center"/>
                </w:tcPr>
                <w:p>
                  <w:pPr>
                    <w:pStyle w:val="141"/>
                    <w:rPr>
                      <w:rFonts w:hint="default" w:ascii="Times New Roman" w:hAnsi="Times New Roman" w:cs="Times New Roman"/>
                    </w:rPr>
                  </w:pPr>
                </w:p>
              </w:tc>
              <w:tc>
                <w:tcPr>
                  <w:tcW w:w="691" w:type="pct"/>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评价基准年</w:t>
                  </w:r>
                </w:p>
              </w:tc>
              <w:tc>
                <w:tcPr>
                  <w:tcW w:w="3975" w:type="pct"/>
                  <w:gridSpan w:val="8"/>
                  <w:tcBorders>
                    <w:tl2br w:val="nil"/>
                    <w:tr2bl w:val="nil"/>
                  </w:tcBorders>
                  <w:shd w:val="clear" w:color="auto" w:fill="auto"/>
                  <w:vAlign w:val="center"/>
                </w:tcPr>
                <w:p>
                  <w:pPr>
                    <w:pStyle w:val="141"/>
                    <w:rPr>
                      <w:rFonts w:hint="default" w:ascii="Times New Roman" w:hAnsi="Times New Roman" w:cs="Times New Roman"/>
                    </w:rPr>
                  </w:pPr>
                  <w:r>
                    <w:rPr>
                      <w:rStyle w:val="173"/>
                      <w:rFonts w:hint="default" w:ascii="Times New Roman" w:hAnsi="Times New Roman" w:cs="Times New Roman"/>
                      <w:color w:val="auto"/>
                      <w:sz w:val="21"/>
                      <w:szCs w:val="21"/>
                    </w:rPr>
                    <w:t>（</w:t>
                  </w:r>
                  <w:r>
                    <w:rPr>
                      <w:rStyle w:val="175"/>
                      <w:rFonts w:hint="default" w:ascii="Times New Roman" w:hAnsi="Times New Roman" w:cs="Times New Roman"/>
                      <w:color w:val="auto"/>
                      <w:sz w:val="21"/>
                      <w:szCs w:val="21"/>
                    </w:rPr>
                    <w:t>2019</w:t>
                  </w:r>
                  <w:r>
                    <w:rPr>
                      <w:rStyle w:val="173"/>
                      <w:rFonts w:hint="default" w:ascii="Times New Roman" w:hAnsi="Times New Roman" w:cs="Times New Roman"/>
                      <w:color w:val="auto"/>
                      <w:sz w:val="21"/>
                      <w:szCs w:val="21"/>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989" w:hRule="exact"/>
              </w:trPr>
              <w:tc>
                <w:tcPr>
                  <w:tcW w:w="333" w:type="pct"/>
                  <w:vMerge w:val="continue"/>
                  <w:tcBorders>
                    <w:tl2br w:val="nil"/>
                    <w:tr2bl w:val="nil"/>
                  </w:tcBorders>
                  <w:shd w:val="clear" w:color="auto" w:fill="auto"/>
                  <w:vAlign w:val="center"/>
                </w:tcPr>
                <w:p>
                  <w:pPr>
                    <w:pStyle w:val="141"/>
                    <w:rPr>
                      <w:rFonts w:hint="default" w:ascii="Times New Roman" w:hAnsi="Times New Roman" w:cs="Times New Roman"/>
                    </w:rPr>
                  </w:pPr>
                </w:p>
              </w:tc>
              <w:tc>
                <w:tcPr>
                  <w:tcW w:w="691" w:type="pct"/>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环境空气质量现状调查数据来源</w:t>
                  </w:r>
                </w:p>
              </w:tc>
              <w:tc>
                <w:tcPr>
                  <w:tcW w:w="1808" w:type="pct"/>
                  <w:gridSpan w:val="4"/>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长期例行监测数据□</w:t>
                  </w:r>
                </w:p>
              </w:tc>
              <w:tc>
                <w:tcPr>
                  <w:tcW w:w="1288" w:type="pct"/>
                  <w:gridSpan w:val="2"/>
                  <w:tcBorders>
                    <w:tl2br w:val="nil"/>
                    <w:tr2bl w:val="nil"/>
                  </w:tcBorders>
                  <w:shd w:val="clear" w:color="auto" w:fill="auto"/>
                  <w:vAlign w:val="center"/>
                </w:tcPr>
                <w:p>
                  <w:pPr>
                    <w:pStyle w:val="141"/>
                    <w:rPr>
                      <w:rFonts w:hint="default" w:ascii="Times New Roman" w:hAnsi="Times New Roman" w:cs="Times New Roman"/>
                    </w:rPr>
                  </w:pPr>
                  <w:r>
                    <w:rPr>
                      <w:rStyle w:val="173"/>
                      <w:rFonts w:hint="default" w:ascii="Times New Roman" w:hAnsi="Times New Roman" w:cs="Times New Roman"/>
                      <w:color w:val="auto"/>
                      <w:sz w:val="21"/>
                      <w:szCs w:val="21"/>
                    </w:rPr>
                    <w:t>主管部门发布的数据</w:t>
                  </w:r>
                  <w:r>
                    <w:rPr>
                      <w:rStyle w:val="176"/>
                      <w:rFonts w:hint="default" w:ascii="Times New Roman" w:hAnsi="Times New Roman" w:cs="Times New Roman"/>
                      <w:color w:val="auto"/>
                      <w:sz w:val="21"/>
                      <w:szCs w:val="21"/>
                      <w:vertAlign w:val="baseline"/>
                    </w:rPr>
                    <w:t>5</w:t>
                  </w:r>
                  <w:r>
                    <w:rPr>
                      <w:rStyle w:val="174"/>
                      <w:rFonts w:hint="default" w:ascii="Times New Roman" w:hAnsi="Times New Roman" w:eastAsia="宋体" w:cs="Times New Roman"/>
                      <w:color w:val="auto"/>
                      <w:sz w:val="21"/>
                      <w:szCs w:val="21"/>
                    </w:rPr>
                    <w:sym w:font="Wingdings 2" w:char="0052"/>
                  </w:r>
                </w:p>
              </w:tc>
              <w:tc>
                <w:tcPr>
                  <w:tcW w:w="878" w:type="pct"/>
                  <w:gridSpan w:val="2"/>
                  <w:tcBorders>
                    <w:tl2br w:val="nil"/>
                    <w:tr2bl w:val="nil"/>
                  </w:tcBorders>
                  <w:shd w:val="clear" w:color="auto" w:fill="auto"/>
                  <w:vAlign w:val="center"/>
                </w:tcPr>
                <w:p>
                  <w:pPr>
                    <w:pStyle w:val="141"/>
                    <w:rPr>
                      <w:rFonts w:hint="default" w:ascii="Times New Roman" w:hAnsi="Times New Roman" w:cs="Times New Roman"/>
                    </w:rPr>
                  </w:pPr>
                  <w:r>
                    <w:rPr>
                      <w:rStyle w:val="173"/>
                      <w:rFonts w:hint="default" w:ascii="Times New Roman" w:hAnsi="Times New Roman" w:cs="Times New Roman"/>
                      <w:color w:val="auto"/>
                      <w:sz w:val="21"/>
                      <w:szCs w:val="21"/>
                    </w:rPr>
                    <w:t>现状补充检测</w:t>
                  </w:r>
                  <w:r>
                    <w:rPr>
                      <w:rStyle w:val="174"/>
                      <w:rFonts w:hint="default" w:ascii="Times New Roman" w:hAnsi="Times New Roman" w:eastAsia="宋体" w:cs="Times New Roman"/>
                      <w:color w:val="auto"/>
                      <w:sz w:val="21"/>
                      <w:szCs w:val="21"/>
                    </w:rPr>
                    <w:sym w:font="Wingdings 2" w:char="00A3"/>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333" w:type="pct"/>
                  <w:vMerge w:val="continue"/>
                  <w:tcBorders>
                    <w:tl2br w:val="nil"/>
                    <w:tr2bl w:val="nil"/>
                  </w:tcBorders>
                  <w:shd w:val="clear" w:color="auto" w:fill="auto"/>
                  <w:vAlign w:val="center"/>
                </w:tcPr>
                <w:p>
                  <w:pPr>
                    <w:pStyle w:val="141"/>
                    <w:rPr>
                      <w:rFonts w:hint="default" w:ascii="Times New Roman" w:hAnsi="Times New Roman" w:cs="Times New Roman"/>
                    </w:rPr>
                  </w:pPr>
                </w:p>
              </w:tc>
              <w:tc>
                <w:tcPr>
                  <w:tcW w:w="691" w:type="pct"/>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现状评价</w:t>
                  </w:r>
                </w:p>
              </w:tc>
              <w:tc>
                <w:tcPr>
                  <w:tcW w:w="2163" w:type="pct"/>
                  <w:gridSpan w:val="5"/>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达标区</w:t>
                  </w:r>
                  <w:r>
                    <w:rPr>
                      <w:rFonts w:hint="default" w:ascii="Times New Roman" w:hAnsi="Times New Roman" w:cs="Times New Roman"/>
                    </w:rPr>
                    <w:sym w:font="Wingdings 2" w:char="0052"/>
                  </w:r>
                </w:p>
              </w:tc>
              <w:tc>
                <w:tcPr>
                  <w:tcW w:w="1812" w:type="pct"/>
                  <w:gridSpan w:val="3"/>
                  <w:tcBorders>
                    <w:tl2br w:val="nil"/>
                    <w:tr2bl w:val="nil"/>
                  </w:tcBorders>
                  <w:shd w:val="clear" w:color="auto" w:fill="auto"/>
                  <w:vAlign w:val="center"/>
                </w:tcPr>
                <w:p>
                  <w:pPr>
                    <w:pStyle w:val="141"/>
                    <w:rPr>
                      <w:rFonts w:hint="default" w:ascii="Times New Roman" w:hAnsi="Times New Roman" w:cs="Times New Roman"/>
                    </w:rPr>
                  </w:pPr>
                  <w:r>
                    <w:rPr>
                      <w:rStyle w:val="173"/>
                      <w:rFonts w:hint="default" w:ascii="Times New Roman" w:hAnsi="Times New Roman" w:cs="Times New Roman"/>
                      <w:color w:val="auto"/>
                      <w:sz w:val="21"/>
                      <w:szCs w:val="21"/>
                    </w:rPr>
                    <w:t>不达标区</w:t>
                  </w:r>
                  <w:r>
                    <w:rPr>
                      <w:rStyle w:val="174"/>
                      <w:rFonts w:hint="default" w:ascii="Times New Roman" w:hAnsi="Times New Roman" w:eastAsia="宋体" w:cs="Times New Roman"/>
                      <w:color w:val="auto"/>
                      <w:sz w:val="21"/>
                      <w:szCs w:val="21"/>
                    </w:rPr>
                    <w:sym w:font="Wingdings 2" w:char="00A3"/>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exact"/>
              </w:trPr>
              <w:tc>
                <w:tcPr>
                  <w:tcW w:w="333" w:type="pct"/>
                  <w:vMerge w:val="restart"/>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污染源调查</w:t>
                  </w:r>
                </w:p>
              </w:tc>
              <w:tc>
                <w:tcPr>
                  <w:tcW w:w="691" w:type="pct"/>
                  <w:vMerge w:val="restart"/>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调查内容</w:t>
                  </w:r>
                </w:p>
              </w:tc>
              <w:tc>
                <w:tcPr>
                  <w:tcW w:w="1089" w:type="pct"/>
                  <w:gridSpan w:val="3"/>
                  <w:tcBorders>
                    <w:tl2br w:val="nil"/>
                    <w:tr2bl w:val="nil"/>
                  </w:tcBorders>
                  <w:shd w:val="clear" w:color="auto" w:fill="auto"/>
                  <w:vAlign w:val="center"/>
                </w:tcPr>
                <w:p>
                  <w:pPr>
                    <w:pStyle w:val="141"/>
                    <w:rPr>
                      <w:rFonts w:hint="default" w:ascii="Times New Roman" w:hAnsi="Times New Roman" w:cs="Times New Roman"/>
                    </w:rPr>
                  </w:pPr>
                  <w:r>
                    <w:rPr>
                      <w:rStyle w:val="173"/>
                      <w:rFonts w:hint="default" w:ascii="Times New Roman" w:hAnsi="Times New Roman" w:cs="Times New Roman"/>
                      <w:color w:val="auto"/>
                      <w:sz w:val="21"/>
                      <w:szCs w:val="21"/>
                    </w:rPr>
                    <w:t>本项目正常排放源</w:t>
                  </w:r>
                  <w:r>
                    <w:rPr>
                      <w:rStyle w:val="174"/>
                      <w:rFonts w:hint="default" w:ascii="Times New Roman" w:hAnsi="Times New Roman" w:eastAsia="宋体" w:cs="Times New Roman"/>
                      <w:color w:val="auto"/>
                      <w:sz w:val="21"/>
                      <w:szCs w:val="21"/>
                    </w:rPr>
                    <w:t>R</w:t>
                  </w:r>
                </w:p>
              </w:tc>
              <w:tc>
                <w:tcPr>
                  <w:tcW w:w="1073" w:type="pct"/>
                  <w:gridSpan w:val="2"/>
                  <w:vMerge w:val="restart"/>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拟替代的污染源□</w:t>
                  </w:r>
                </w:p>
              </w:tc>
              <w:tc>
                <w:tcPr>
                  <w:tcW w:w="933" w:type="pct"/>
                  <w:vMerge w:val="restart"/>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其他在建、拟建项目污染源□</w:t>
                  </w:r>
                </w:p>
              </w:tc>
              <w:tc>
                <w:tcPr>
                  <w:tcW w:w="878" w:type="pct"/>
                  <w:gridSpan w:val="2"/>
                  <w:vMerge w:val="restart"/>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区域污染源□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333" w:type="pct"/>
                  <w:vMerge w:val="continue"/>
                  <w:tcBorders>
                    <w:tl2br w:val="nil"/>
                    <w:tr2bl w:val="nil"/>
                  </w:tcBorders>
                  <w:shd w:val="clear" w:color="auto" w:fill="auto"/>
                  <w:vAlign w:val="center"/>
                </w:tcPr>
                <w:p>
                  <w:pPr>
                    <w:pStyle w:val="141"/>
                    <w:rPr>
                      <w:rFonts w:hint="default" w:ascii="Times New Roman" w:hAnsi="Times New Roman" w:cs="Times New Roman"/>
                    </w:rPr>
                  </w:pPr>
                </w:p>
              </w:tc>
              <w:tc>
                <w:tcPr>
                  <w:tcW w:w="691" w:type="pct"/>
                  <w:vMerge w:val="continue"/>
                  <w:tcBorders>
                    <w:tl2br w:val="nil"/>
                    <w:tr2bl w:val="nil"/>
                  </w:tcBorders>
                  <w:shd w:val="clear" w:color="auto" w:fill="auto"/>
                  <w:vAlign w:val="center"/>
                </w:tcPr>
                <w:p>
                  <w:pPr>
                    <w:pStyle w:val="141"/>
                    <w:rPr>
                      <w:rFonts w:hint="default" w:ascii="Times New Roman" w:hAnsi="Times New Roman" w:cs="Times New Roman"/>
                    </w:rPr>
                  </w:pPr>
                </w:p>
              </w:tc>
              <w:tc>
                <w:tcPr>
                  <w:tcW w:w="1089" w:type="pct"/>
                  <w:gridSpan w:val="3"/>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本项目非正常排放源□</w:t>
                  </w:r>
                </w:p>
              </w:tc>
              <w:tc>
                <w:tcPr>
                  <w:tcW w:w="1073" w:type="pct"/>
                  <w:gridSpan w:val="2"/>
                  <w:vMerge w:val="continue"/>
                  <w:tcBorders>
                    <w:tl2br w:val="nil"/>
                    <w:tr2bl w:val="nil"/>
                  </w:tcBorders>
                  <w:shd w:val="clear" w:color="auto" w:fill="auto"/>
                  <w:vAlign w:val="center"/>
                </w:tcPr>
                <w:p>
                  <w:pPr>
                    <w:pStyle w:val="141"/>
                    <w:rPr>
                      <w:rFonts w:hint="default" w:ascii="Times New Roman" w:hAnsi="Times New Roman" w:cs="Times New Roman"/>
                    </w:rPr>
                  </w:pPr>
                </w:p>
              </w:tc>
              <w:tc>
                <w:tcPr>
                  <w:tcW w:w="933" w:type="pct"/>
                  <w:vMerge w:val="continue"/>
                  <w:tcBorders>
                    <w:tl2br w:val="nil"/>
                    <w:tr2bl w:val="nil"/>
                  </w:tcBorders>
                  <w:shd w:val="clear" w:color="auto" w:fill="auto"/>
                  <w:vAlign w:val="center"/>
                </w:tcPr>
                <w:p>
                  <w:pPr>
                    <w:pStyle w:val="141"/>
                    <w:rPr>
                      <w:rFonts w:hint="default" w:ascii="Times New Roman" w:hAnsi="Times New Roman" w:cs="Times New Roman"/>
                    </w:rPr>
                  </w:pPr>
                </w:p>
              </w:tc>
              <w:tc>
                <w:tcPr>
                  <w:tcW w:w="878" w:type="pct"/>
                  <w:gridSpan w:val="2"/>
                  <w:vMerge w:val="continue"/>
                  <w:tcBorders>
                    <w:tl2br w:val="nil"/>
                    <w:tr2bl w:val="nil"/>
                  </w:tcBorders>
                  <w:shd w:val="clear" w:color="auto" w:fill="auto"/>
                  <w:vAlign w:val="center"/>
                </w:tcPr>
                <w:p>
                  <w:pPr>
                    <w:pStyle w:val="141"/>
                    <w:rPr>
                      <w:rFonts w:hint="default"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333" w:type="pct"/>
                  <w:vMerge w:val="continue"/>
                  <w:tcBorders>
                    <w:tl2br w:val="nil"/>
                    <w:tr2bl w:val="nil"/>
                  </w:tcBorders>
                  <w:shd w:val="clear" w:color="auto" w:fill="auto"/>
                  <w:vAlign w:val="center"/>
                </w:tcPr>
                <w:p>
                  <w:pPr>
                    <w:pStyle w:val="141"/>
                    <w:rPr>
                      <w:rFonts w:hint="default" w:ascii="Times New Roman" w:hAnsi="Times New Roman" w:cs="Times New Roman"/>
                    </w:rPr>
                  </w:pPr>
                </w:p>
              </w:tc>
              <w:tc>
                <w:tcPr>
                  <w:tcW w:w="691" w:type="pct"/>
                  <w:vMerge w:val="continue"/>
                  <w:tcBorders>
                    <w:tl2br w:val="nil"/>
                    <w:tr2bl w:val="nil"/>
                  </w:tcBorders>
                  <w:shd w:val="clear" w:color="auto" w:fill="auto"/>
                  <w:vAlign w:val="center"/>
                </w:tcPr>
                <w:p>
                  <w:pPr>
                    <w:pStyle w:val="141"/>
                    <w:rPr>
                      <w:rFonts w:hint="default" w:ascii="Times New Roman" w:hAnsi="Times New Roman" w:cs="Times New Roman"/>
                    </w:rPr>
                  </w:pPr>
                </w:p>
              </w:tc>
              <w:tc>
                <w:tcPr>
                  <w:tcW w:w="1089" w:type="pct"/>
                  <w:gridSpan w:val="3"/>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现有污染源□</w:t>
                  </w:r>
                </w:p>
              </w:tc>
              <w:tc>
                <w:tcPr>
                  <w:tcW w:w="1073" w:type="pct"/>
                  <w:gridSpan w:val="2"/>
                  <w:vMerge w:val="continue"/>
                  <w:tcBorders>
                    <w:tl2br w:val="nil"/>
                    <w:tr2bl w:val="nil"/>
                  </w:tcBorders>
                  <w:shd w:val="clear" w:color="auto" w:fill="auto"/>
                  <w:vAlign w:val="center"/>
                </w:tcPr>
                <w:p>
                  <w:pPr>
                    <w:pStyle w:val="141"/>
                    <w:rPr>
                      <w:rFonts w:hint="default" w:ascii="Times New Roman" w:hAnsi="Times New Roman" w:cs="Times New Roman"/>
                    </w:rPr>
                  </w:pPr>
                </w:p>
              </w:tc>
              <w:tc>
                <w:tcPr>
                  <w:tcW w:w="933" w:type="pct"/>
                  <w:vMerge w:val="continue"/>
                  <w:tcBorders>
                    <w:tl2br w:val="nil"/>
                    <w:tr2bl w:val="nil"/>
                  </w:tcBorders>
                  <w:shd w:val="clear" w:color="auto" w:fill="auto"/>
                  <w:vAlign w:val="center"/>
                </w:tcPr>
                <w:p>
                  <w:pPr>
                    <w:pStyle w:val="141"/>
                    <w:rPr>
                      <w:rFonts w:hint="default" w:ascii="Times New Roman" w:hAnsi="Times New Roman" w:cs="Times New Roman"/>
                    </w:rPr>
                  </w:pPr>
                </w:p>
              </w:tc>
              <w:tc>
                <w:tcPr>
                  <w:tcW w:w="878" w:type="pct"/>
                  <w:gridSpan w:val="2"/>
                  <w:vMerge w:val="continue"/>
                  <w:tcBorders>
                    <w:tl2br w:val="nil"/>
                    <w:tr2bl w:val="nil"/>
                  </w:tcBorders>
                  <w:shd w:val="clear" w:color="auto" w:fill="auto"/>
                  <w:vAlign w:val="center"/>
                </w:tcPr>
                <w:p>
                  <w:pPr>
                    <w:pStyle w:val="141"/>
                    <w:rPr>
                      <w:rFonts w:hint="default"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743" w:hRule="exact"/>
              </w:trPr>
              <w:tc>
                <w:tcPr>
                  <w:tcW w:w="333" w:type="pct"/>
                  <w:vMerge w:val="restart"/>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大气环境影响预测与评价</w:t>
                  </w:r>
                </w:p>
                <w:p>
                  <w:pPr>
                    <w:pStyle w:val="141"/>
                    <w:rPr>
                      <w:rFonts w:hint="default" w:ascii="Times New Roman" w:hAnsi="Times New Roman" w:cs="Times New Roman"/>
                    </w:rPr>
                  </w:pPr>
                </w:p>
              </w:tc>
              <w:tc>
                <w:tcPr>
                  <w:tcW w:w="691" w:type="pct"/>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预测模型</w:t>
                  </w:r>
                </w:p>
              </w:tc>
              <w:tc>
                <w:tcPr>
                  <w:tcW w:w="596" w:type="pct"/>
                  <w:tcBorders>
                    <w:tl2br w:val="nil"/>
                    <w:tr2bl w:val="nil"/>
                  </w:tcBorders>
                  <w:shd w:val="clear" w:color="auto" w:fill="auto"/>
                  <w:vAlign w:val="center"/>
                </w:tcPr>
                <w:p>
                  <w:pPr>
                    <w:pStyle w:val="141"/>
                    <w:rPr>
                      <w:rFonts w:hint="default" w:ascii="Times New Roman" w:hAnsi="Times New Roman" w:cs="Times New Roman"/>
                    </w:rPr>
                  </w:pPr>
                  <w:r>
                    <w:rPr>
                      <w:rStyle w:val="175"/>
                      <w:rFonts w:hint="default" w:ascii="Times New Roman" w:hAnsi="Times New Roman" w:cs="Times New Roman"/>
                      <w:color w:val="auto"/>
                      <w:sz w:val="21"/>
                      <w:szCs w:val="21"/>
                    </w:rPr>
                    <w:t>AERMOD</w:t>
                  </w:r>
                  <w:r>
                    <w:rPr>
                      <w:rStyle w:val="173"/>
                      <w:rFonts w:hint="default" w:ascii="Times New Roman" w:hAnsi="Times New Roman" w:cs="Times New Roman"/>
                      <w:color w:val="auto"/>
                      <w:sz w:val="21"/>
                      <w:szCs w:val="21"/>
                    </w:rPr>
                    <w:t>□</w:t>
                  </w:r>
                </w:p>
              </w:tc>
              <w:tc>
                <w:tcPr>
                  <w:tcW w:w="426" w:type="pct"/>
                  <w:tcBorders>
                    <w:tl2br w:val="nil"/>
                    <w:tr2bl w:val="nil"/>
                  </w:tcBorders>
                  <w:shd w:val="clear" w:color="auto" w:fill="auto"/>
                  <w:vAlign w:val="center"/>
                </w:tcPr>
                <w:p>
                  <w:pPr>
                    <w:pStyle w:val="141"/>
                    <w:rPr>
                      <w:rFonts w:hint="default" w:ascii="Times New Roman" w:hAnsi="Times New Roman" w:cs="Times New Roman"/>
                    </w:rPr>
                  </w:pPr>
                  <w:r>
                    <w:rPr>
                      <w:rStyle w:val="175"/>
                      <w:rFonts w:hint="default" w:ascii="Times New Roman" w:hAnsi="Times New Roman" w:cs="Times New Roman"/>
                      <w:color w:val="auto"/>
                      <w:sz w:val="21"/>
                      <w:szCs w:val="21"/>
                    </w:rPr>
                    <w:t>ADMS</w:t>
                  </w:r>
                  <w:r>
                    <w:rPr>
                      <w:rStyle w:val="173"/>
                      <w:rFonts w:hint="default" w:ascii="Times New Roman" w:hAnsi="Times New Roman" w:cs="Times New Roman"/>
                      <w:color w:val="auto"/>
                      <w:sz w:val="21"/>
                      <w:szCs w:val="21"/>
                    </w:rPr>
                    <w:t>□</w:t>
                  </w:r>
                </w:p>
              </w:tc>
              <w:tc>
                <w:tcPr>
                  <w:tcW w:w="785" w:type="pct"/>
                  <w:gridSpan w:val="2"/>
                  <w:tcBorders>
                    <w:tl2br w:val="nil"/>
                    <w:tr2bl w:val="nil"/>
                  </w:tcBorders>
                  <w:shd w:val="clear" w:color="auto" w:fill="auto"/>
                  <w:vAlign w:val="center"/>
                </w:tcPr>
                <w:p>
                  <w:pPr>
                    <w:pStyle w:val="141"/>
                    <w:rPr>
                      <w:rFonts w:hint="default" w:ascii="Times New Roman" w:hAnsi="Times New Roman" w:cs="Times New Roman"/>
                    </w:rPr>
                  </w:pPr>
                  <w:r>
                    <w:rPr>
                      <w:rStyle w:val="175"/>
                      <w:rFonts w:hint="default" w:ascii="Times New Roman" w:hAnsi="Times New Roman" w:cs="Times New Roman"/>
                      <w:color w:val="auto"/>
                      <w:sz w:val="21"/>
                      <w:szCs w:val="21"/>
                    </w:rPr>
                    <w:t>AUSTAL2000</w:t>
                  </w:r>
                  <w:r>
                    <w:rPr>
                      <w:rStyle w:val="173"/>
                      <w:rFonts w:hint="default" w:ascii="Times New Roman" w:hAnsi="Times New Roman" w:cs="Times New Roman"/>
                      <w:color w:val="auto"/>
                      <w:sz w:val="21"/>
                      <w:szCs w:val="21"/>
                    </w:rPr>
                    <w:t>□</w:t>
                  </w:r>
                </w:p>
              </w:tc>
              <w:tc>
                <w:tcPr>
                  <w:tcW w:w="354" w:type="pct"/>
                  <w:tcBorders>
                    <w:tl2br w:val="nil"/>
                    <w:tr2bl w:val="nil"/>
                  </w:tcBorders>
                  <w:shd w:val="clear" w:color="auto" w:fill="auto"/>
                  <w:vAlign w:val="center"/>
                </w:tcPr>
                <w:p>
                  <w:pPr>
                    <w:pStyle w:val="141"/>
                    <w:rPr>
                      <w:rFonts w:hint="default" w:ascii="Times New Roman" w:hAnsi="Times New Roman" w:cs="Times New Roman"/>
                    </w:rPr>
                  </w:pPr>
                  <w:r>
                    <w:rPr>
                      <w:rStyle w:val="175"/>
                      <w:rFonts w:hint="default" w:ascii="Times New Roman" w:hAnsi="Times New Roman" w:cs="Times New Roman"/>
                      <w:color w:val="auto"/>
                      <w:sz w:val="21"/>
                      <w:szCs w:val="21"/>
                    </w:rPr>
                    <w:t>EDMS/AEDT</w:t>
                  </w:r>
                  <w:r>
                    <w:rPr>
                      <w:rStyle w:val="173"/>
                      <w:rFonts w:hint="default" w:ascii="Times New Roman" w:hAnsi="Times New Roman" w:cs="Times New Roman"/>
                      <w:color w:val="auto"/>
                      <w:sz w:val="21"/>
                      <w:szCs w:val="21"/>
                    </w:rPr>
                    <w:t>□</w:t>
                  </w:r>
                </w:p>
              </w:tc>
              <w:tc>
                <w:tcPr>
                  <w:tcW w:w="933" w:type="pct"/>
                  <w:tcBorders>
                    <w:tl2br w:val="nil"/>
                    <w:tr2bl w:val="nil"/>
                  </w:tcBorders>
                  <w:shd w:val="clear" w:color="auto" w:fill="auto"/>
                  <w:vAlign w:val="center"/>
                </w:tcPr>
                <w:p>
                  <w:pPr>
                    <w:pStyle w:val="141"/>
                    <w:rPr>
                      <w:rFonts w:hint="default" w:ascii="Times New Roman" w:hAnsi="Times New Roman" w:cs="Times New Roman"/>
                    </w:rPr>
                  </w:pPr>
                  <w:r>
                    <w:rPr>
                      <w:rStyle w:val="175"/>
                      <w:rFonts w:hint="default" w:ascii="Times New Roman" w:hAnsi="Times New Roman" w:cs="Times New Roman"/>
                      <w:color w:val="auto"/>
                      <w:sz w:val="21"/>
                      <w:szCs w:val="21"/>
                    </w:rPr>
                    <w:t>CALPUFF</w:t>
                  </w:r>
                  <w:r>
                    <w:rPr>
                      <w:rStyle w:val="173"/>
                      <w:rFonts w:hint="default" w:ascii="Times New Roman" w:hAnsi="Times New Roman" w:cs="Times New Roman"/>
                      <w:color w:val="auto"/>
                      <w:sz w:val="21"/>
                      <w:szCs w:val="21"/>
                    </w:rPr>
                    <w:t>□</w:t>
                  </w:r>
                </w:p>
              </w:tc>
              <w:tc>
                <w:tcPr>
                  <w:tcW w:w="521" w:type="pct"/>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网格模型□</w:t>
                  </w:r>
                </w:p>
              </w:tc>
              <w:tc>
                <w:tcPr>
                  <w:tcW w:w="357" w:type="pct"/>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333" w:type="pct"/>
                  <w:vMerge w:val="continue"/>
                  <w:tcBorders>
                    <w:tl2br w:val="nil"/>
                    <w:tr2bl w:val="nil"/>
                  </w:tcBorders>
                  <w:shd w:val="clear" w:color="auto" w:fill="auto"/>
                  <w:vAlign w:val="center"/>
                </w:tcPr>
                <w:p>
                  <w:pPr>
                    <w:pStyle w:val="141"/>
                    <w:rPr>
                      <w:rFonts w:hint="default" w:ascii="Times New Roman" w:hAnsi="Times New Roman" w:cs="Times New Roman"/>
                    </w:rPr>
                  </w:pPr>
                </w:p>
              </w:tc>
              <w:tc>
                <w:tcPr>
                  <w:tcW w:w="691" w:type="pct"/>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预测范围</w:t>
                  </w:r>
                </w:p>
              </w:tc>
              <w:tc>
                <w:tcPr>
                  <w:tcW w:w="1808" w:type="pct"/>
                  <w:gridSpan w:val="4"/>
                  <w:tcBorders>
                    <w:tl2br w:val="nil"/>
                    <w:tr2bl w:val="nil"/>
                  </w:tcBorders>
                  <w:shd w:val="clear" w:color="auto" w:fill="auto"/>
                  <w:vAlign w:val="center"/>
                </w:tcPr>
                <w:p>
                  <w:pPr>
                    <w:pStyle w:val="141"/>
                    <w:rPr>
                      <w:rFonts w:hint="default" w:ascii="Times New Roman" w:hAnsi="Times New Roman" w:cs="Times New Roman"/>
                    </w:rPr>
                  </w:pPr>
                  <w:r>
                    <w:rPr>
                      <w:rStyle w:val="173"/>
                      <w:rFonts w:hint="default" w:ascii="Times New Roman" w:hAnsi="Times New Roman" w:cs="Times New Roman"/>
                      <w:color w:val="auto"/>
                      <w:sz w:val="21"/>
                      <w:szCs w:val="21"/>
                    </w:rPr>
                    <w:t>边长≥</w:t>
                  </w:r>
                  <w:r>
                    <w:rPr>
                      <w:rStyle w:val="175"/>
                      <w:rFonts w:hint="default" w:ascii="Times New Roman" w:hAnsi="Times New Roman" w:cs="Times New Roman"/>
                      <w:color w:val="auto"/>
                      <w:sz w:val="21"/>
                      <w:szCs w:val="21"/>
                    </w:rPr>
                    <w:t>50km</w:t>
                  </w:r>
                  <w:r>
                    <w:rPr>
                      <w:rStyle w:val="173"/>
                      <w:rFonts w:hint="default" w:ascii="Times New Roman" w:hAnsi="Times New Roman" w:cs="Times New Roman"/>
                      <w:color w:val="auto"/>
                      <w:sz w:val="21"/>
                      <w:szCs w:val="21"/>
                    </w:rPr>
                    <w:t>□</w:t>
                  </w:r>
                </w:p>
              </w:tc>
              <w:tc>
                <w:tcPr>
                  <w:tcW w:w="1288" w:type="pct"/>
                  <w:gridSpan w:val="2"/>
                  <w:tcBorders>
                    <w:tl2br w:val="nil"/>
                    <w:tr2bl w:val="nil"/>
                  </w:tcBorders>
                  <w:shd w:val="clear" w:color="auto" w:fill="auto"/>
                  <w:vAlign w:val="center"/>
                </w:tcPr>
                <w:p>
                  <w:pPr>
                    <w:pStyle w:val="141"/>
                    <w:rPr>
                      <w:rFonts w:hint="default" w:ascii="Times New Roman" w:hAnsi="Times New Roman" w:cs="Times New Roman"/>
                    </w:rPr>
                  </w:pPr>
                  <w:r>
                    <w:rPr>
                      <w:rStyle w:val="173"/>
                      <w:rFonts w:hint="default" w:ascii="Times New Roman" w:hAnsi="Times New Roman" w:cs="Times New Roman"/>
                      <w:color w:val="auto"/>
                      <w:sz w:val="21"/>
                      <w:szCs w:val="21"/>
                    </w:rPr>
                    <w:t>边长</w:t>
                  </w:r>
                  <w:r>
                    <w:rPr>
                      <w:rStyle w:val="175"/>
                      <w:rFonts w:hint="default" w:ascii="Times New Roman" w:hAnsi="Times New Roman" w:cs="Times New Roman"/>
                      <w:color w:val="auto"/>
                      <w:sz w:val="21"/>
                      <w:szCs w:val="21"/>
                    </w:rPr>
                    <w:t>5~50km</w:t>
                  </w:r>
                  <w:r>
                    <w:rPr>
                      <w:rStyle w:val="173"/>
                      <w:rFonts w:hint="default" w:ascii="Times New Roman" w:hAnsi="Times New Roman" w:cs="Times New Roman"/>
                      <w:color w:val="auto"/>
                      <w:sz w:val="21"/>
                      <w:szCs w:val="21"/>
                    </w:rPr>
                    <w:t>□</w:t>
                  </w:r>
                </w:p>
              </w:tc>
              <w:tc>
                <w:tcPr>
                  <w:tcW w:w="878" w:type="pct"/>
                  <w:gridSpan w:val="2"/>
                  <w:tcBorders>
                    <w:tl2br w:val="nil"/>
                    <w:tr2bl w:val="nil"/>
                  </w:tcBorders>
                  <w:shd w:val="clear" w:color="auto" w:fill="auto"/>
                  <w:vAlign w:val="center"/>
                </w:tcPr>
                <w:p>
                  <w:pPr>
                    <w:pStyle w:val="141"/>
                    <w:rPr>
                      <w:rFonts w:hint="default" w:ascii="Times New Roman" w:hAnsi="Times New Roman" w:cs="Times New Roman"/>
                    </w:rPr>
                  </w:pPr>
                  <w:r>
                    <w:rPr>
                      <w:rStyle w:val="173"/>
                      <w:rFonts w:hint="default" w:ascii="Times New Roman" w:hAnsi="Times New Roman" w:cs="Times New Roman"/>
                      <w:color w:val="auto"/>
                      <w:sz w:val="21"/>
                      <w:szCs w:val="21"/>
                    </w:rPr>
                    <w:t>边长</w:t>
                  </w:r>
                  <w:r>
                    <w:rPr>
                      <w:rStyle w:val="175"/>
                      <w:rFonts w:hint="default" w:ascii="Times New Roman" w:hAnsi="Times New Roman" w:cs="Times New Roman"/>
                      <w:color w:val="auto"/>
                      <w:sz w:val="21"/>
                      <w:szCs w:val="21"/>
                    </w:rPr>
                    <w:t>=5km</w:t>
                  </w:r>
                  <w:r>
                    <w:rPr>
                      <w:rStyle w:val="173"/>
                      <w:rFonts w:hint="default" w:ascii="Times New Roman" w:hAnsi="Times New Roman" w:cs="Times New Roman"/>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333" w:type="pct"/>
                  <w:vMerge w:val="continue"/>
                  <w:tcBorders>
                    <w:tl2br w:val="nil"/>
                    <w:tr2bl w:val="nil"/>
                  </w:tcBorders>
                  <w:shd w:val="clear" w:color="auto" w:fill="auto"/>
                  <w:vAlign w:val="center"/>
                </w:tcPr>
                <w:p>
                  <w:pPr>
                    <w:pStyle w:val="141"/>
                    <w:rPr>
                      <w:rFonts w:hint="default" w:ascii="Times New Roman" w:hAnsi="Times New Roman" w:cs="Times New Roman"/>
                    </w:rPr>
                  </w:pPr>
                </w:p>
              </w:tc>
              <w:tc>
                <w:tcPr>
                  <w:tcW w:w="691" w:type="pct"/>
                  <w:vMerge w:val="restart"/>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预测因子</w:t>
                  </w:r>
                </w:p>
              </w:tc>
              <w:tc>
                <w:tcPr>
                  <w:tcW w:w="2163" w:type="pct"/>
                  <w:gridSpan w:val="5"/>
                  <w:vMerge w:val="restart"/>
                  <w:tcBorders>
                    <w:tl2br w:val="nil"/>
                    <w:tr2bl w:val="nil"/>
                  </w:tcBorders>
                  <w:shd w:val="clear" w:color="auto" w:fill="auto"/>
                  <w:vAlign w:val="center"/>
                </w:tcPr>
                <w:p>
                  <w:pPr>
                    <w:pStyle w:val="141"/>
                    <w:rPr>
                      <w:rFonts w:hint="default" w:ascii="Times New Roman" w:hAnsi="Times New Roman" w:cs="Times New Roman"/>
                    </w:rPr>
                  </w:pPr>
                  <w:r>
                    <w:rPr>
                      <w:rStyle w:val="173"/>
                      <w:rFonts w:hint="default" w:ascii="Times New Roman" w:hAnsi="Times New Roman" w:cs="Times New Roman"/>
                      <w:color w:val="auto"/>
                      <w:sz w:val="21"/>
                      <w:szCs w:val="21"/>
                    </w:rPr>
                    <w:t>预测因子（</w:t>
                  </w:r>
                  <w:r>
                    <w:rPr>
                      <w:rStyle w:val="175"/>
                      <w:rFonts w:hint="default" w:ascii="Times New Roman" w:hAnsi="Times New Roman" w:cs="Times New Roman"/>
                      <w:color w:val="auto"/>
                      <w:sz w:val="21"/>
                      <w:szCs w:val="21"/>
                    </w:rPr>
                    <w:t xml:space="preserve">  </w:t>
                  </w:r>
                  <w:r>
                    <w:rPr>
                      <w:rStyle w:val="173"/>
                      <w:rFonts w:hint="default" w:ascii="Times New Roman" w:hAnsi="Times New Roman" w:cs="Times New Roman"/>
                      <w:color w:val="auto"/>
                      <w:sz w:val="21"/>
                      <w:szCs w:val="21"/>
                    </w:rPr>
                    <w:t>）</w:t>
                  </w:r>
                </w:p>
              </w:tc>
              <w:tc>
                <w:tcPr>
                  <w:tcW w:w="1812" w:type="pct"/>
                  <w:gridSpan w:val="3"/>
                  <w:tcBorders>
                    <w:tl2br w:val="nil"/>
                    <w:tr2bl w:val="nil"/>
                  </w:tcBorders>
                  <w:shd w:val="clear" w:color="auto" w:fill="auto"/>
                  <w:vAlign w:val="center"/>
                </w:tcPr>
                <w:p>
                  <w:pPr>
                    <w:pStyle w:val="141"/>
                    <w:rPr>
                      <w:rFonts w:hint="default" w:ascii="Times New Roman" w:hAnsi="Times New Roman" w:cs="Times New Roman"/>
                    </w:rPr>
                  </w:pPr>
                  <w:r>
                    <w:rPr>
                      <w:rStyle w:val="173"/>
                      <w:rFonts w:hint="default" w:ascii="Times New Roman" w:hAnsi="Times New Roman" w:cs="Times New Roman"/>
                      <w:color w:val="auto"/>
                      <w:sz w:val="21"/>
                      <w:szCs w:val="21"/>
                    </w:rPr>
                    <w:t>包括二次</w:t>
                  </w:r>
                  <w:r>
                    <w:rPr>
                      <w:rStyle w:val="175"/>
                      <w:rFonts w:hint="default" w:ascii="Times New Roman" w:hAnsi="Times New Roman" w:cs="Times New Roman"/>
                      <w:color w:val="auto"/>
                      <w:sz w:val="21"/>
                      <w:szCs w:val="21"/>
                    </w:rPr>
                    <w:t>PM</w:t>
                  </w:r>
                  <w:r>
                    <w:rPr>
                      <w:rStyle w:val="176"/>
                      <w:rFonts w:hint="default" w:ascii="Times New Roman" w:hAnsi="Times New Roman" w:cs="Times New Roman"/>
                      <w:color w:val="auto"/>
                      <w:sz w:val="21"/>
                      <w:szCs w:val="21"/>
                      <w:vertAlign w:val="baseline"/>
                    </w:rPr>
                    <w:t>2.5</w:t>
                  </w:r>
                  <w:r>
                    <w:rPr>
                      <w:rStyle w:val="173"/>
                      <w:rFonts w:hint="default" w:ascii="Times New Roman" w:hAnsi="Times New Roman" w:cs="Times New Roman"/>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333" w:type="pct"/>
                  <w:vMerge w:val="continue"/>
                  <w:tcBorders>
                    <w:tl2br w:val="nil"/>
                    <w:tr2bl w:val="nil"/>
                  </w:tcBorders>
                  <w:shd w:val="clear" w:color="auto" w:fill="auto"/>
                  <w:vAlign w:val="center"/>
                </w:tcPr>
                <w:p>
                  <w:pPr>
                    <w:pStyle w:val="141"/>
                    <w:rPr>
                      <w:rFonts w:hint="default" w:ascii="Times New Roman" w:hAnsi="Times New Roman" w:cs="Times New Roman"/>
                    </w:rPr>
                  </w:pPr>
                </w:p>
              </w:tc>
              <w:tc>
                <w:tcPr>
                  <w:tcW w:w="691" w:type="pct"/>
                  <w:vMerge w:val="continue"/>
                  <w:tcBorders>
                    <w:tl2br w:val="nil"/>
                    <w:tr2bl w:val="nil"/>
                  </w:tcBorders>
                  <w:shd w:val="clear" w:color="auto" w:fill="auto"/>
                  <w:vAlign w:val="center"/>
                </w:tcPr>
                <w:p>
                  <w:pPr>
                    <w:pStyle w:val="141"/>
                    <w:rPr>
                      <w:rFonts w:hint="default" w:ascii="Times New Roman" w:hAnsi="Times New Roman" w:cs="Times New Roman"/>
                    </w:rPr>
                  </w:pPr>
                </w:p>
              </w:tc>
              <w:tc>
                <w:tcPr>
                  <w:tcW w:w="2163" w:type="pct"/>
                  <w:gridSpan w:val="5"/>
                  <w:vMerge w:val="continue"/>
                  <w:tcBorders>
                    <w:tl2br w:val="nil"/>
                    <w:tr2bl w:val="nil"/>
                  </w:tcBorders>
                  <w:shd w:val="clear" w:color="auto" w:fill="auto"/>
                  <w:vAlign w:val="center"/>
                </w:tcPr>
                <w:p>
                  <w:pPr>
                    <w:pStyle w:val="141"/>
                    <w:rPr>
                      <w:rFonts w:hint="default" w:ascii="Times New Roman" w:hAnsi="Times New Roman" w:cs="Times New Roman"/>
                    </w:rPr>
                  </w:pPr>
                </w:p>
              </w:tc>
              <w:tc>
                <w:tcPr>
                  <w:tcW w:w="1812" w:type="pct"/>
                  <w:gridSpan w:val="3"/>
                  <w:tcBorders>
                    <w:tl2br w:val="nil"/>
                    <w:tr2bl w:val="nil"/>
                  </w:tcBorders>
                  <w:shd w:val="clear" w:color="auto" w:fill="auto"/>
                  <w:vAlign w:val="center"/>
                </w:tcPr>
                <w:p>
                  <w:pPr>
                    <w:pStyle w:val="141"/>
                    <w:rPr>
                      <w:rFonts w:hint="default" w:ascii="Times New Roman" w:hAnsi="Times New Roman" w:cs="Times New Roman"/>
                    </w:rPr>
                  </w:pPr>
                  <w:r>
                    <w:rPr>
                      <w:rStyle w:val="173"/>
                      <w:rFonts w:hint="default" w:ascii="Times New Roman" w:hAnsi="Times New Roman" w:cs="Times New Roman"/>
                      <w:color w:val="auto"/>
                      <w:sz w:val="21"/>
                      <w:szCs w:val="21"/>
                    </w:rPr>
                    <w:t>不包括二次</w:t>
                  </w:r>
                  <w:r>
                    <w:rPr>
                      <w:rStyle w:val="175"/>
                      <w:rFonts w:hint="default" w:ascii="Times New Roman" w:hAnsi="Times New Roman" w:cs="Times New Roman"/>
                      <w:color w:val="auto"/>
                      <w:sz w:val="21"/>
                      <w:szCs w:val="21"/>
                    </w:rPr>
                    <w:t>PM</w:t>
                  </w:r>
                  <w:r>
                    <w:rPr>
                      <w:rStyle w:val="176"/>
                      <w:rFonts w:hint="default" w:ascii="Times New Roman" w:hAnsi="Times New Roman" w:cs="Times New Roman"/>
                      <w:color w:val="auto"/>
                      <w:sz w:val="21"/>
                      <w:szCs w:val="21"/>
                      <w:vertAlign w:val="baseline"/>
                    </w:rPr>
                    <w:t>2.5</w:t>
                  </w:r>
                  <w:r>
                    <w:rPr>
                      <w:rStyle w:val="173"/>
                      <w:rFonts w:hint="default" w:ascii="Times New Roman" w:hAnsi="Times New Roman" w:cs="Times New Roman"/>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333" w:type="pct"/>
                  <w:vMerge w:val="continue"/>
                  <w:tcBorders>
                    <w:tl2br w:val="nil"/>
                    <w:tr2bl w:val="nil"/>
                  </w:tcBorders>
                  <w:shd w:val="clear" w:color="auto" w:fill="auto"/>
                  <w:vAlign w:val="center"/>
                </w:tcPr>
                <w:p>
                  <w:pPr>
                    <w:pStyle w:val="141"/>
                    <w:rPr>
                      <w:rFonts w:hint="default" w:ascii="Times New Roman" w:hAnsi="Times New Roman" w:cs="Times New Roman"/>
                    </w:rPr>
                  </w:pPr>
                </w:p>
              </w:tc>
              <w:tc>
                <w:tcPr>
                  <w:tcW w:w="691" w:type="pct"/>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正常排放短期浓度贡献值</w:t>
                  </w:r>
                </w:p>
              </w:tc>
              <w:tc>
                <w:tcPr>
                  <w:tcW w:w="2163" w:type="pct"/>
                  <w:gridSpan w:val="5"/>
                  <w:tcBorders>
                    <w:tl2br w:val="nil"/>
                    <w:tr2bl w:val="nil"/>
                  </w:tcBorders>
                  <w:shd w:val="clear" w:color="auto" w:fill="auto"/>
                  <w:vAlign w:val="center"/>
                </w:tcPr>
                <w:p>
                  <w:pPr>
                    <w:pStyle w:val="141"/>
                    <w:rPr>
                      <w:rFonts w:hint="default" w:ascii="Times New Roman" w:hAnsi="Times New Roman" w:cs="Times New Roman"/>
                    </w:rPr>
                  </w:pPr>
                  <w:r>
                    <w:rPr>
                      <w:rStyle w:val="175"/>
                      <w:rFonts w:hint="default" w:ascii="Times New Roman" w:hAnsi="Times New Roman" w:cs="Times New Roman"/>
                      <w:color w:val="auto"/>
                      <w:sz w:val="21"/>
                      <w:szCs w:val="21"/>
                    </w:rPr>
                    <w:t>C</w:t>
                  </w:r>
                  <w:r>
                    <w:rPr>
                      <w:rStyle w:val="173"/>
                      <w:rFonts w:hint="default" w:ascii="Times New Roman" w:hAnsi="Times New Roman" w:cs="Times New Roman"/>
                      <w:color w:val="auto"/>
                      <w:sz w:val="21"/>
                      <w:szCs w:val="21"/>
                    </w:rPr>
                    <w:t>本项目最大占标率≤</w:t>
                  </w:r>
                  <w:r>
                    <w:rPr>
                      <w:rStyle w:val="175"/>
                      <w:rFonts w:hint="default" w:ascii="Times New Roman" w:hAnsi="Times New Roman" w:cs="Times New Roman"/>
                      <w:color w:val="auto"/>
                      <w:sz w:val="21"/>
                      <w:szCs w:val="21"/>
                    </w:rPr>
                    <w:t>100%</w:t>
                  </w:r>
                  <w:r>
                    <w:rPr>
                      <w:rStyle w:val="173"/>
                      <w:rFonts w:hint="default" w:ascii="Times New Roman" w:hAnsi="Times New Roman" w:cs="Times New Roman"/>
                      <w:color w:val="auto"/>
                      <w:sz w:val="21"/>
                      <w:szCs w:val="21"/>
                    </w:rPr>
                    <w:t>□</w:t>
                  </w:r>
                </w:p>
              </w:tc>
              <w:tc>
                <w:tcPr>
                  <w:tcW w:w="1812" w:type="pct"/>
                  <w:gridSpan w:val="3"/>
                  <w:tcBorders>
                    <w:tl2br w:val="nil"/>
                    <w:tr2bl w:val="nil"/>
                  </w:tcBorders>
                  <w:shd w:val="clear" w:color="auto" w:fill="auto"/>
                  <w:vAlign w:val="center"/>
                </w:tcPr>
                <w:p>
                  <w:pPr>
                    <w:pStyle w:val="141"/>
                    <w:rPr>
                      <w:rFonts w:hint="default" w:ascii="Times New Roman" w:hAnsi="Times New Roman" w:cs="Times New Roman"/>
                    </w:rPr>
                  </w:pPr>
                  <w:r>
                    <w:rPr>
                      <w:rStyle w:val="175"/>
                      <w:rFonts w:hint="default" w:ascii="Times New Roman" w:hAnsi="Times New Roman" w:cs="Times New Roman"/>
                      <w:color w:val="auto"/>
                      <w:sz w:val="21"/>
                      <w:szCs w:val="21"/>
                    </w:rPr>
                    <w:t>C</w:t>
                  </w:r>
                  <w:r>
                    <w:rPr>
                      <w:rStyle w:val="173"/>
                      <w:rFonts w:hint="default" w:ascii="Times New Roman" w:hAnsi="Times New Roman" w:cs="Times New Roman"/>
                      <w:color w:val="auto"/>
                      <w:sz w:val="21"/>
                      <w:szCs w:val="21"/>
                    </w:rPr>
                    <w:t>本项目最大占标率</w:t>
                  </w:r>
                  <w:r>
                    <w:rPr>
                      <w:rStyle w:val="175"/>
                      <w:rFonts w:hint="default" w:ascii="Times New Roman" w:hAnsi="Times New Roman" w:cs="Times New Roman"/>
                      <w:color w:val="auto"/>
                      <w:sz w:val="21"/>
                      <w:szCs w:val="21"/>
                    </w:rPr>
                    <w:t>&gt;100%</w:t>
                  </w:r>
                  <w:r>
                    <w:rPr>
                      <w:rStyle w:val="173"/>
                      <w:rFonts w:hint="default" w:ascii="Times New Roman" w:hAnsi="Times New Roman" w:cs="Times New Roman"/>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47" w:hRule="exact"/>
              </w:trPr>
              <w:tc>
                <w:tcPr>
                  <w:tcW w:w="333" w:type="pct"/>
                  <w:vMerge w:val="continue"/>
                  <w:tcBorders>
                    <w:tl2br w:val="nil"/>
                    <w:tr2bl w:val="nil"/>
                  </w:tcBorders>
                  <w:shd w:val="clear" w:color="auto" w:fill="auto"/>
                  <w:vAlign w:val="center"/>
                </w:tcPr>
                <w:p>
                  <w:pPr>
                    <w:pStyle w:val="141"/>
                    <w:rPr>
                      <w:rFonts w:hint="default" w:ascii="Times New Roman" w:hAnsi="Times New Roman" w:cs="Times New Roman"/>
                    </w:rPr>
                  </w:pPr>
                </w:p>
              </w:tc>
              <w:tc>
                <w:tcPr>
                  <w:tcW w:w="691" w:type="pct"/>
                  <w:vMerge w:val="restart"/>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正常排放年均浓度贡献值</w:t>
                  </w:r>
                </w:p>
              </w:tc>
              <w:tc>
                <w:tcPr>
                  <w:tcW w:w="1023" w:type="pct"/>
                  <w:gridSpan w:val="2"/>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一类区</w:t>
                  </w:r>
                </w:p>
              </w:tc>
              <w:tc>
                <w:tcPr>
                  <w:tcW w:w="1139" w:type="pct"/>
                  <w:gridSpan w:val="3"/>
                  <w:tcBorders>
                    <w:tl2br w:val="nil"/>
                    <w:tr2bl w:val="nil"/>
                  </w:tcBorders>
                  <w:shd w:val="clear" w:color="auto" w:fill="auto"/>
                  <w:vAlign w:val="center"/>
                </w:tcPr>
                <w:p>
                  <w:pPr>
                    <w:pStyle w:val="141"/>
                    <w:rPr>
                      <w:rFonts w:hint="default" w:ascii="Times New Roman" w:hAnsi="Times New Roman" w:cs="Times New Roman"/>
                    </w:rPr>
                  </w:pPr>
                  <w:r>
                    <w:rPr>
                      <w:rStyle w:val="175"/>
                      <w:rFonts w:hint="default" w:ascii="Times New Roman" w:hAnsi="Times New Roman" w:cs="Times New Roman"/>
                      <w:color w:val="auto"/>
                      <w:sz w:val="21"/>
                      <w:szCs w:val="21"/>
                    </w:rPr>
                    <w:t>C</w:t>
                  </w:r>
                  <w:r>
                    <w:rPr>
                      <w:rStyle w:val="177"/>
                      <w:rFonts w:hint="default" w:ascii="Times New Roman" w:hAnsi="Times New Roman" w:cs="Times New Roman"/>
                      <w:color w:val="auto"/>
                      <w:sz w:val="21"/>
                      <w:szCs w:val="21"/>
                      <w:vertAlign w:val="baseline"/>
                    </w:rPr>
                    <w:t>本项目</w:t>
                  </w:r>
                  <w:r>
                    <w:rPr>
                      <w:rStyle w:val="173"/>
                      <w:rFonts w:hint="default" w:ascii="Times New Roman" w:hAnsi="Times New Roman" w:cs="Times New Roman"/>
                      <w:color w:val="auto"/>
                      <w:sz w:val="21"/>
                      <w:szCs w:val="21"/>
                    </w:rPr>
                    <w:t>最大占标率≤</w:t>
                  </w:r>
                  <w:r>
                    <w:rPr>
                      <w:rStyle w:val="175"/>
                      <w:rFonts w:hint="default" w:ascii="Times New Roman" w:hAnsi="Times New Roman" w:cs="Times New Roman"/>
                      <w:color w:val="auto"/>
                      <w:sz w:val="21"/>
                      <w:szCs w:val="21"/>
                    </w:rPr>
                    <w:t>10%</w:t>
                  </w:r>
                  <w:r>
                    <w:rPr>
                      <w:rStyle w:val="173"/>
                      <w:rFonts w:hint="default" w:ascii="Times New Roman" w:hAnsi="Times New Roman" w:cs="Times New Roman"/>
                      <w:color w:val="auto"/>
                      <w:sz w:val="21"/>
                      <w:szCs w:val="21"/>
                    </w:rPr>
                    <w:t>□</w:t>
                  </w:r>
                </w:p>
              </w:tc>
              <w:tc>
                <w:tcPr>
                  <w:tcW w:w="1812" w:type="pct"/>
                  <w:gridSpan w:val="3"/>
                  <w:tcBorders>
                    <w:tl2br w:val="nil"/>
                    <w:tr2bl w:val="nil"/>
                  </w:tcBorders>
                  <w:shd w:val="clear" w:color="auto" w:fill="auto"/>
                  <w:vAlign w:val="center"/>
                </w:tcPr>
                <w:p>
                  <w:pPr>
                    <w:pStyle w:val="141"/>
                    <w:rPr>
                      <w:rFonts w:hint="default" w:ascii="Times New Roman" w:hAnsi="Times New Roman" w:cs="Times New Roman"/>
                    </w:rPr>
                  </w:pPr>
                  <w:r>
                    <w:rPr>
                      <w:rStyle w:val="175"/>
                      <w:rFonts w:hint="default" w:ascii="Times New Roman" w:hAnsi="Times New Roman" w:cs="Times New Roman"/>
                      <w:color w:val="auto"/>
                      <w:sz w:val="21"/>
                      <w:szCs w:val="21"/>
                    </w:rPr>
                    <w:t>C</w:t>
                  </w:r>
                  <w:r>
                    <w:rPr>
                      <w:rStyle w:val="177"/>
                      <w:rFonts w:hint="default" w:ascii="Times New Roman" w:hAnsi="Times New Roman" w:cs="Times New Roman"/>
                      <w:color w:val="auto"/>
                      <w:sz w:val="21"/>
                      <w:szCs w:val="21"/>
                      <w:vertAlign w:val="baseline"/>
                    </w:rPr>
                    <w:t>本项目</w:t>
                  </w:r>
                  <w:r>
                    <w:rPr>
                      <w:rStyle w:val="173"/>
                      <w:rFonts w:hint="default" w:ascii="Times New Roman" w:hAnsi="Times New Roman" w:cs="Times New Roman"/>
                      <w:color w:val="auto"/>
                      <w:sz w:val="21"/>
                      <w:szCs w:val="21"/>
                    </w:rPr>
                    <w:t>最大占标率</w:t>
                  </w:r>
                  <w:r>
                    <w:rPr>
                      <w:rStyle w:val="175"/>
                      <w:rFonts w:hint="default" w:ascii="Times New Roman" w:hAnsi="Times New Roman" w:cs="Times New Roman"/>
                      <w:color w:val="auto"/>
                      <w:sz w:val="21"/>
                      <w:szCs w:val="21"/>
                    </w:rPr>
                    <w:t>&gt;10%</w:t>
                  </w:r>
                  <w:r>
                    <w:rPr>
                      <w:rStyle w:val="173"/>
                      <w:rFonts w:hint="default" w:ascii="Times New Roman" w:hAnsi="Times New Roman" w:cs="Times New Roman"/>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62" w:hRule="exact"/>
              </w:trPr>
              <w:tc>
                <w:tcPr>
                  <w:tcW w:w="333" w:type="pct"/>
                  <w:vMerge w:val="continue"/>
                  <w:tcBorders>
                    <w:tl2br w:val="nil"/>
                    <w:tr2bl w:val="nil"/>
                  </w:tcBorders>
                  <w:shd w:val="clear" w:color="auto" w:fill="auto"/>
                  <w:vAlign w:val="center"/>
                </w:tcPr>
                <w:p>
                  <w:pPr>
                    <w:pStyle w:val="141"/>
                    <w:rPr>
                      <w:rFonts w:hint="default" w:ascii="Times New Roman" w:hAnsi="Times New Roman" w:cs="Times New Roman"/>
                    </w:rPr>
                  </w:pPr>
                </w:p>
              </w:tc>
              <w:tc>
                <w:tcPr>
                  <w:tcW w:w="691" w:type="pct"/>
                  <w:vMerge w:val="continue"/>
                  <w:tcBorders>
                    <w:tl2br w:val="nil"/>
                    <w:tr2bl w:val="nil"/>
                  </w:tcBorders>
                  <w:shd w:val="clear" w:color="auto" w:fill="auto"/>
                  <w:vAlign w:val="center"/>
                </w:tcPr>
                <w:p>
                  <w:pPr>
                    <w:pStyle w:val="141"/>
                    <w:rPr>
                      <w:rFonts w:hint="default" w:ascii="Times New Roman" w:hAnsi="Times New Roman" w:cs="Times New Roman"/>
                    </w:rPr>
                  </w:pPr>
                </w:p>
              </w:tc>
              <w:tc>
                <w:tcPr>
                  <w:tcW w:w="1023" w:type="pct"/>
                  <w:gridSpan w:val="2"/>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二类区</w:t>
                  </w:r>
                </w:p>
              </w:tc>
              <w:tc>
                <w:tcPr>
                  <w:tcW w:w="1139" w:type="pct"/>
                  <w:gridSpan w:val="3"/>
                  <w:tcBorders>
                    <w:tl2br w:val="nil"/>
                    <w:tr2bl w:val="nil"/>
                  </w:tcBorders>
                  <w:shd w:val="clear" w:color="auto" w:fill="auto"/>
                  <w:vAlign w:val="center"/>
                </w:tcPr>
                <w:p>
                  <w:pPr>
                    <w:pStyle w:val="141"/>
                    <w:rPr>
                      <w:rFonts w:hint="default" w:ascii="Times New Roman" w:hAnsi="Times New Roman" w:cs="Times New Roman"/>
                    </w:rPr>
                  </w:pPr>
                  <w:r>
                    <w:rPr>
                      <w:rStyle w:val="175"/>
                      <w:rFonts w:hint="default" w:ascii="Times New Roman" w:hAnsi="Times New Roman" w:cs="Times New Roman"/>
                      <w:color w:val="auto"/>
                      <w:sz w:val="21"/>
                      <w:szCs w:val="21"/>
                    </w:rPr>
                    <w:t>C</w:t>
                  </w:r>
                  <w:r>
                    <w:rPr>
                      <w:rStyle w:val="177"/>
                      <w:rFonts w:hint="default" w:ascii="Times New Roman" w:hAnsi="Times New Roman" w:cs="Times New Roman"/>
                      <w:color w:val="auto"/>
                      <w:sz w:val="21"/>
                      <w:szCs w:val="21"/>
                      <w:vertAlign w:val="baseline"/>
                    </w:rPr>
                    <w:t>本项目</w:t>
                  </w:r>
                  <w:r>
                    <w:rPr>
                      <w:rStyle w:val="173"/>
                      <w:rFonts w:hint="default" w:ascii="Times New Roman" w:hAnsi="Times New Roman" w:cs="Times New Roman"/>
                      <w:color w:val="auto"/>
                      <w:sz w:val="21"/>
                      <w:szCs w:val="21"/>
                    </w:rPr>
                    <w:t>最大占标率≤</w:t>
                  </w:r>
                  <w:r>
                    <w:rPr>
                      <w:rStyle w:val="175"/>
                      <w:rFonts w:hint="default" w:ascii="Times New Roman" w:hAnsi="Times New Roman" w:cs="Times New Roman"/>
                      <w:color w:val="auto"/>
                      <w:sz w:val="21"/>
                      <w:szCs w:val="21"/>
                    </w:rPr>
                    <w:t>30%</w:t>
                  </w:r>
                  <w:r>
                    <w:rPr>
                      <w:rStyle w:val="173"/>
                      <w:rFonts w:hint="default" w:ascii="Times New Roman" w:hAnsi="Times New Roman" w:cs="Times New Roman"/>
                      <w:color w:val="auto"/>
                      <w:sz w:val="21"/>
                      <w:szCs w:val="21"/>
                    </w:rPr>
                    <w:t>□</w:t>
                  </w:r>
                </w:p>
              </w:tc>
              <w:tc>
                <w:tcPr>
                  <w:tcW w:w="1812" w:type="pct"/>
                  <w:gridSpan w:val="3"/>
                  <w:tcBorders>
                    <w:tl2br w:val="nil"/>
                    <w:tr2bl w:val="nil"/>
                  </w:tcBorders>
                  <w:shd w:val="clear" w:color="auto" w:fill="auto"/>
                  <w:vAlign w:val="center"/>
                </w:tcPr>
                <w:p>
                  <w:pPr>
                    <w:pStyle w:val="141"/>
                    <w:rPr>
                      <w:rFonts w:hint="default" w:ascii="Times New Roman" w:hAnsi="Times New Roman" w:cs="Times New Roman"/>
                    </w:rPr>
                  </w:pPr>
                  <w:r>
                    <w:rPr>
                      <w:rStyle w:val="175"/>
                      <w:rFonts w:hint="default" w:ascii="Times New Roman" w:hAnsi="Times New Roman" w:cs="Times New Roman"/>
                      <w:color w:val="auto"/>
                      <w:sz w:val="21"/>
                      <w:szCs w:val="21"/>
                    </w:rPr>
                    <w:t>C</w:t>
                  </w:r>
                  <w:r>
                    <w:rPr>
                      <w:rStyle w:val="177"/>
                      <w:rFonts w:hint="default" w:ascii="Times New Roman" w:hAnsi="Times New Roman" w:cs="Times New Roman"/>
                      <w:color w:val="auto"/>
                      <w:sz w:val="21"/>
                      <w:szCs w:val="21"/>
                      <w:vertAlign w:val="baseline"/>
                    </w:rPr>
                    <w:t>本项目</w:t>
                  </w:r>
                  <w:r>
                    <w:rPr>
                      <w:rStyle w:val="173"/>
                      <w:rFonts w:hint="default" w:ascii="Times New Roman" w:hAnsi="Times New Roman" w:cs="Times New Roman"/>
                      <w:color w:val="auto"/>
                      <w:sz w:val="21"/>
                      <w:szCs w:val="21"/>
                    </w:rPr>
                    <w:t>最大占标率</w:t>
                  </w:r>
                  <w:r>
                    <w:rPr>
                      <w:rStyle w:val="175"/>
                      <w:rFonts w:hint="default" w:ascii="Times New Roman" w:hAnsi="Times New Roman" w:cs="Times New Roman"/>
                      <w:color w:val="auto"/>
                      <w:sz w:val="21"/>
                      <w:szCs w:val="21"/>
                    </w:rPr>
                    <w:t>&gt;30%</w:t>
                  </w:r>
                  <w:r>
                    <w:rPr>
                      <w:rStyle w:val="173"/>
                      <w:rFonts w:hint="default" w:ascii="Times New Roman" w:hAnsi="Times New Roman" w:cs="Times New Roman"/>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333" w:type="pct"/>
                  <w:vMerge w:val="continue"/>
                  <w:tcBorders>
                    <w:tl2br w:val="nil"/>
                    <w:tr2bl w:val="nil"/>
                  </w:tcBorders>
                  <w:shd w:val="clear" w:color="auto" w:fill="auto"/>
                  <w:vAlign w:val="center"/>
                </w:tcPr>
                <w:p>
                  <w:pPr>
                    <w:pStyle w:val="141"/>
                    <w:rPr>
                      <w:rFonts w:hint="default" w:ascii="Times New Roman" w:hAnsi="Times New Roman" w:cs="Times New Roman"/>
                    </w:rPr>
                  </w:pPr>
                </w:p>
              </w:tc>
              <w:tc>
                <w:tcPr>
                  <w:tcW w:w="691" w:type="pct"/>
                  <w:vMerge w:val="restart"/>
                  <w:tcBorders>
                    <w:tl2br w:val="nil"/>
                    <w:tr2bl w:val="nil"/>
                  </w:tcBorders>
                  <w:shd w:val="clear" w:color="auto" w:fill="auto"/>
                  <w:vAlign w:val="center"/>
                </w:tcPr>
                <w:p>
                  <w:pPr>
                    <w:pStyle w:val="141"/>
                    <w:rPr>
                      <w:rFonts w:hint="default" w:ascii="Times New Roman" w:hAnsi="Times New Roman" w:cs="Times New Roman"/>
                    </w:rPr>
                  </w:pPr>
                  <w:r>
                    <w:rPr>
                      <w:rStyle w:val="173"/>
                      <w:rFonts w:hint="default" w:ascii="Times New Roman" w:hAnsi="Times New Roman" w:cs="Times New Roman"/>
                      <w:color w:val="auto"/>
                      <w:sz w:val="21"/>
                      <w:szCs w:val="21"/>
                    </w:rPr>
                    <w:t>非正常</w:t>
                  </w:r>
                  <w:r>
                    <w:rPr>
                      <w:rStyle w:val="175"/>
                      <w:rFonts w:hint="default" w:ascii="Times New Roman" w:hAnsi="Times New Roman" w:cs="Times New Roman"/>
                      <w:color w:val="auto"/>
                      <w:sz w:val="21"/>
                      <w:szCs w:val="21"/>
                    </w:rPr>
                    <w:t>1h</w:t>
                  </w:r>
                  <w:r>
                    <w:rPr>
                      <w:rStyle w:val="173"/>
                      <w:rFonts w:hint="default" w:ascii="Times New Roman" w:hAnsi="Times New Roman" w:cs="Times New Roman"/>
                      <w:color w:val="auto"/>
                      <w:sz w:val="21"/>
                      <w:szCs w:val="21"/>
                    </w:rPr>
                    <w:t>浓度贡献值</w:t>
                  </w:r>
                </w:p>
              </w:tc>
              <w:tc>
                <w:tcPr>
                  <w:tcW w:w="1089" w:type="pct"/>
                  <w:gridSpan w:val="3"/>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非正常持续时长</w:t>
                  </w:r>
                </w:p>
              </w:tc>
              <w:tc>
                <w:tcPr>
                  <w:tcW w:w="2007" w:type="pct"/>
                  <w:gridSpan w:val="3"/>
                  <w:vMerge w:val="restart"/>
                  <w:tcBorders>
                    <w:tl2br w:val="nil"/>
                    <w:tr2bl w:val="nil"/>
                  </w:tcBorders>
                  <w:shd w:val="clear" w:color="auto" w:fill="auto"/>
                  <w:vAlign w:val="center"/>
                </w:tcPr>
                <w:p>
                  <w:pPr>
                    <w:pStyle w:val="141"/>
                    <w:rPr>
                      <w:rFonts w:hint="default" w:ascii="Times New Roman" w:hAnsi="Times New Roman" w:cs="Times New Roman"/>
                    </w:rPr>
                  </w:pPr>
                  <w:r>
                    <w:rPr>
                      <w:rStyle w:val="175"/>
                      <w:rFonts w:hint="default" w:ascii="Times New Roman" w:hAnsi="Times New Roman" w:cs="Times New Roman"/>
                      <w:color w:val="auto"/>
                      <w:sz w:val="21"/>
                      <w:szCs w:val="21"/>
                    </w:rPr>
                    <w:t>C</w:t>
                  </w:r>
                  <w:r>
                    <w:rPr>
                      <w:rStyle w:val="177"/>
                      <w:rFonts w:hint="default" w:ascii="Times New Roman" w:hAnsi="Times New Roman" w:cs="Times New Roman"/>
                      <w:color w:val="auto"/>
                      <w:sz w:val="21"/>
                      <w:szCs w:val="21"/>
                      <w:vertAlign w:val="baseline"/>
                    </w:rPr>
                    <w:t>非正常</w:t>
                  </w:r>
                  <w:r>
                    <w:rPr>
                      <w:rStyle w:val="173"/>
                      <w:rFonts w:hint="default" w:ascii="Times New Roman" w:hAnsi="Times New Roman" w:cs="Times New Roman"/>
                      <w:color w:val="auto"/>
                      <w:sz w:val="21"/>
                      <w:szCs w:val="21"/>
                    </w:rPr>
                    <w:t>占标率≤</w:t>
                  </w:r>
                  <w:r>
                    <w:rPr>
                      <w:rStyle w:val="175"/>
                      <w:rFonts w:hint="default" w:ascii="Times New Roman" w:hAnsi="Times New Roman" w:cs="Times New Roman"/>
                      <w:color w:val="auto"/>
                      <w:sz w:val="21"/>
                      <w:szCs w:val="21"/>
                    </w:rPr>
                    <w:t>100%</w:t>
                  </w:r>
                  <w:r>
                    <w:rPr>
                      <w:rStyle w:val="173"/>
                      <w:rFonts w:hint="default" w:ascii="Times New Roman" w:hAnsi="Times New Roman" w:cs="Times New Roman"/>
                      <w:color w:val="auto"/>
                      <w:sz w:val="21"/>
                      <w:szCs w:val="21"/>
                    </w:rPr>
                    <w:t>□</w:t>
                  </w:r>
                </w:p>
              </w:tc>
              <w:tc>
                <w:tcPr>
                  <w:tcW w:w="878" w:type="pct"/>
                  <w:gridSpan w:val="2"/>
                  <w:vMerge w:val="restart"/>
                  <w:tcBorders>
                    <w:tl2br w:val="nil"/>
                    <w:tr2bl w:val="nil"/>
                  </w:tcBorders>
                  <w:shd w:val="clear" w:color="auto" w:fill="auto"/>
                  <w:vAlign w:val="center"/>
                </w:tcPr>
                <w:p>
                  <w:pPr>
                    <w:pStyle w:val="141"/>
                    <w:rPr>
                      <w:rFonts w:hint="default" w:ascii="Times New Roman" w:hAnsi="Times New Roman" w:cs="Times New Roman"/>
                    </w:rPr>
                  </w:pPr>
                  <w:r>
                    <w:rPr>
                      <w:rStyle w:val="175"/>
                      <w:rFonts w:hint="default" w:ascii="Times New Roman" w:hAnsi="Times New Roman" w:cs="Times New Roman"/>
                      <w:color w:val="auto"/>
                      <w:sz w:val="21"/>
                      <w:szCs w:val="21"/>
                    </w:rPr>
                    <w:t>C</w:t>
                  </w:r>
                  <w:r>
                    <w:rPr>
                      <w:rStyle w:val="177"/>
                      <w:rFonts w:hint="default" w:ascii="Times New Roman" w:hAnsi="Times New Roman" w:cs="Times New Roman"/>
                      <w:color w:val="auto"/>
                      <w:sz w:val="21"/>
                      <w:szCs w:val="21"/>
                      <w:vertAlign w:val="baseline"/>
                    </w:rPr>
                    <w:t>非正常</w:t>
                  </w:r>
                  <w:r>
                    <w:rPr>
                      <w:rStyle w:val="173"/>
                      <w:rFonts w:hint="default" w:ascii="Times New Roman" w:hAnsi="Times New Roman" w:cs="Times New Roman"/>
                      <w:color w:val="auto"/>
                      <w:sz w:val="21"/>
                      <w:szCs w:val="21"/>
                    </w:rPr>
                    <w:t>占标率</w:t>
                  </w:r>
                  <w:r>
                    <w:rPr>
                      <w:rStyle w:val="175"/>
                      <w:rFonts w:hint="default" w:ascii="Times New Roman" w:hAnsi="Times New Roman" w:cs="Times New Roman"/>
                      <w:color w:val="auto"/>
                      <w:sz w:val="21"/>
                      <w:szCs w:val="21"/>
                    </w:rPr>
                    <w:t>&gt;100%</w:t>
                  </w:r>
                  <w:r>
                    <w:rPr>
                      <w:rStyle w:val="173"/>
                      <w:rFonts w:hint="default" w:ascii="Times New Roman" w:hAnsi="Times New Roman" w:cs="Times New Roman"/>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47" w:hRule="exact"/>
              </w:trPr>
              <w:tc>
                <w:tcPr>
                  <w:tcW w:w="333" w:type="pct"/>
                  <w:vMerge w:val="continue"/>
                  <w:tcBorders>
                    <w:tl2br w:val="nil"/>
                    <w:tr2bl w:val="nil"/>
                  </w:tcBorders>
                  <w:shd w:val="clear" w:color="auto" w:fill="auto"/>
                  <w:vAlign w:val="center"/>
                </w:tcPr>
                <w:p>
                  <w:pPr>
                    <w:pStyle w:val="141"/>
                    <w:rPr>
                      <w:rFonts w:hint="default" w:ascii="Times New Roman" w:hAnsi="Times New Roman" w:cs="Times New Roman"/>
                    </w:rPr>
                  </w:pPr>
                </w:p>
              </w:tc>
              <w:tc>
                <w:tcPr>
                  <w:tcW w:w="691" w:type="pct"/>
                  <w:vMerge w:val="continue"/>
                  <w:tcBorders>
                    <w:tl2br w:val="nil"/>
                    <w:tr2bl w:val="nil"/>
                  </w:tcBorders>
                  <w:shd w:val="clear" w:color="auto" w:fill="auto"/>
                  <w:vAlign w:val="center"/>
                </w:tcPr>
                <w:p>
                  <w:pPr>
                    <w:pStyle w:val="141"/>
                    <w:rPr>
                      <w:rFonts w:hint="default" w:ascii="Times New Roman" w:hAnsi="Times New Roman" w:cs="Times New Roman"/>
                    </w:rPr>
                  </w:pPr>
                </w:p>
              </w:tc>
              <w:tc>
                <w:tcPr>
                  <w:tcW w:w="1089" w:type="pct"/>
                  <w:gridSpan w:val="3"/>
                  <w:tcBorders>
                    <w:tl2br w:val="nil"/>
                    <w:tr2bl w:val="nil"/>
                  </w:tcBorders>
                  <w:shd w:val="clear" w:color="auto" w:fill="auto"/>
                  <w:vAlign w:val="center"/>
                </w:tcPr>
                <w:p>
                  <w:pPr>
                    <w:pStyle w:val="141"/>
                    <w:rPr>
                      <w:rFonts w:hint="default" w:ascii="Times New Roman" w:hAnsi="Times New Roman" w:cs="Times New Roman"/>
                    </w:rPr>
                  </w:pPr>
                  <w:r>
                    <w:rPr>
                      <w:rStyle w:val="173"/>
                      <w:rFonts w:hint="default" w:ascii="Times New Roman" w:hAnsi="Times New Roman" w:cs="Times New Roman"/>
                      <w:color w:val="auto"/>
                      <w:sz w:val="21"/>
                      <w:szCs w:val="21"/>
                    </w:rPr>
                    <w:t>（</w:t>
                  </w:r>
                  <w:r>
                    <w:rPr>
                      <w:rStyle w:val="175"/>
                      <w:rFonts w:hint="default" w:ascii="Times New Roman" w:hAnsi="Times New Roman" w:cs="Times New Roman"/>
                      <w:color w:val="auto"/>
                      <w:sz w:val="21"/>
                      <w:szCs w:val="21"/>
                    </w:rPr>
                    <w:t xml:space="preserve">  </w:t>
                  </w:r>
                  <w:r>
                    <w:rPr>
                      <w:rStyle w:val="173"/>
                      <w:rFonts w:hint="default" w:ascii="Times New Roman" w:hAnsi="Times New Roman" w:cs="Times New Roman"/>
                      <w:color w:val="auto"/>
                      <w:sz w:val="21"/>
                      <w:szCs w:val="21"/>
                    </w:rPr>
                    <w:t>）</w:t>
                  </w:r>
                  <w:r>
                    <w:rPr>
                      <w:rStyle w:val="175"/>
                      <w:rFonts w:hint="default" w:ascii="Times New Roman" w:hAnsi="Times New Roman" w:cs="Times New Roman"/>
                      <w:color w:val="auto"/>
                      <w:sz w:val="21"/>
                      <w:szCs w:val="21"/>
                    </w:rPr>
                    <w:t>h</w:t>
                  </w:r>
                </w:p>
              </w:tc>
              <w:tc>
                <w:tcPr>
                  <w:tcW w:w="2007" w:type="pct"/>
                  <w:gridSpan w:val="3"/>
                  <w:vMerge w:val="continue"/>
                  <w:tcBorders>
                    <w:tl2br w:val="nil"/>
                    <w:tr2bl w:val="nil"/>
                  </w:tcBorders>
                  <w:shd w:val="clear" w:color="auto" w:fill="auto"/>
                  <w:vAlign w:val="center"/>
                </w:tcPr>
                <w:p>
                  <w:pPr>
                    <w:pStyle w:val="141"/>
                    <w:rPr>
                      <w:rFonts w:hint="default" w:ascii="Times New Roman" w:hAnsi="Times New Roman" w:cs="Times New Roman"/>
                    </w:rPr>
                  </w:pPr>
                </w:p>
              </w:tc>
              <w:tc>
                <w:tcPr>
                  <w:tcW w:w="878" w:type="pct"/>
                  <w:gridSpan w:val="2"/>
                  <w:vMerge w:val="continue"/>
                  <w:tcBorders>
                    <w:tl2br w:val="nil"/>
                    <w:tr2bl w:val="nil"/>
                  </w:tcBorders>
                  <w:shd w:val="clear" w:color="auto" w:fill="auto"/>
                  <w:vAlign w:val="center"/>
                </w:tcPr>
                <w:p>
                  <w:pPr>
                    <w:pStyle w:val="141"/>
                    <w:rPr>
                      <w:rFonts w:hint="default"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332" w:hRule="exact"/>
              </w:trPr>
              <w:tc>
                <w:tcPr>
                  <w:tcW w:w="333" w:type="pct"/>
                  <w:vMerge w:val="continue"/>
                  <w:tcBorders>
                    <w:tl2br w:val="nil"/>
                    <w:tr2bl w:val="nil"/>
                  </w:tcBorders>
                  <w:shd w:val="clear" w:color="auto" w:fill="auto"/>
                  <w:vAlign w:val="center"/>
                </w:tcPr>
                <w:p>
                  <w:pPr>
                    <w:pStyle w:val="141"/>
                    <w:rPr>
                      <w:rFonts w:hint="default" w:ascii="Times New Roman" w:hAnsi="Times New Roman" w:cs="Times New Roman"/>
                    </w:rPr>
                  </w:pPr>
                </w:p>
              </w:tc>
              <w:tc>
                <w:tcPr>
                  <w:tcW w:w="691" w:type="pct"/>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保证率日平均浓度和年平均浓度叠加值</w:t>
                  </w:r>
                </w:p>
              </w:tc>
              <w:tc>
                <w:tcPr>
                  <w:tcW w:w="2163" w:type="pct"/>
                  <w:gridSpan w:val="5"/>
                  <w:tcBorders>
                    <w:tl2br w:val="nil"/>
                    <w:tr2bl w:val="nil"/>
                  </w:tcBorders>
                  <w:shd w:val="clear" w:color="auto" w:fill="auto"/>
                  <w:vAlign w:val="center"/>
                </w:tcPr>
                <w:p>
                  <w:pPr>
                    <w:pStyle w:val="141"/>
                    <w:rPr>
                      <w:rFonts w:hint="default" w:ascii="Times New Roman" w:hAnsi="Times New Roman" w:cs="Times New Roman"/>
                    </w:rPr>
                  </w:pPr>
                  <w:r>
                    <w:rPr>
                      <w:rStyle w:val="175"/>
                      <w:rFonts w:hint="default" w:ascii="Times New Roman" w:hAnsi="Times New Roman" w:cs="Times New Roman"/>
                      <w:color w:val="auto"/>
                      <w:sz w:val="21"/>
                      <w:szCs w:val="21"/>
                    </w:rPr>
                    <w:t>C</w:t>
                  </w:r>
                  <w:r>
                    <w:rPr>
                      <w:rStyle w:val="173"/>
                      <w:rFonts w:hint="default" w:ascii="Times New Roman" w:hAnsi="Times New Roman" w:cs="Times New Roman"/>
                      <w:color w:val="auto"/>
                      <w:sz w:val="21"/>
                      <w:szCs w:val="21"/>
                    </w:rPr>
                    <w:t>叠加达标□</w:t>
                  </w:r>
                </w:p>
              </w:tc>
              <w:tc>
                <w:tcPr>
                  <w:tcW w:w="1812" w:type="pct"/>
                  <w:gridSpan w:val="3"/>
                  <w:tcBorders>
                    <w:tl2br w:val="nil"/>
                    <w:tr2bl w:val="nil"/>
                  </w:tcBorders>
                  <w:shd w:val="clear" w:color="auto" w:fill="auto"/>
                  <w:vAlign w:val="center"/>
                </w:tcPr>
                <w:p>
                  <w:pPr>
                    <w:pStyle w:val="141"/>
                    <w:rPr>
                      <w:rFonts w:hint="default" w:ascii="Times New Roman" w:hAnsi="Times New Roman" w:cs="Times New Roman"/>
                    </w:rPr>
                  </w:pPr>
                  <w:r>
                    <w:rPr>
                      <w:rStyle w:val="175"/>
                      <w:rFonts w:hint="default" w:ascii="Times New Roman" w:hAnsi="Times New Roman" w:cs="Times New Roman"/>
                      <w:color w:val="auto"/>
                      <w:sz w:val="21"/>
                      <w:szCs w:val="21"/>
                    </w:rPr>
                    <w:t>C</w:t>
                  </w:r>
                  <w:r>
                    <w:rPr>
                      <w:rStyle w:val="173"/>
                      <w:rFonts w:hint="default" w:ascii="Times New Roman" w:hAnsi="Times New Roman" w:cs="Times New Roman"/>
                      <w:color w:val="auto"/>
                      <w:sz w:val="21"/>
                      <w:szCs w:val="21"/>
                    </w:rPr>
                    <w:t>叠加不达标□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939" w:hRule="exact"/>
              </w:trPr>
              <w:tc>
                <w:tcPr>
                  <w:tcW w:w="333" w:type="pct"/>
                  <w:vMerge w:val="continue"/>
                  <w:tcBorders>
                    <w:tl2br w:val="nil"/>
                    <w:tr2bl w:val="nil"/>
                  </w:tcBorders>
                  <w:shd w:val="clear" w:color="auto" w:fill="auto"/>
                  <w:vAlign w:val="center"/>
                </w:tcPr>
                <w:p>
                  <w:pPr>
                    <w:pStyle w:val="141"/>
                    <w:rPr>
                      <w:rFonts w:hint="default" w:ascii="Times New Roman" w:hAnsi="Times New Roman" w:cs="Times New Roman"/>
                    </w:rPr>
                  </w:pPr>
                </w:p>
              </w:tc>
              <w:tc>
                <w:tcPr>
                  <w:tcW w:w="691" w:type="pct"/>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区域环境质量的整体变化情况</w:t>
                  </w:r>
                </w:p>
              </w:tc>
              <w:tc>
                <w:tcPr>
                  <w:tcW w:w="2163" w:type="pct"/>
                  <w:gridSpan w:val="5"/>
                  <w:tcBorders>
                    <w:tl2br w:val="nil"/>
                    <w:tr2bl w:val="nil"/>
                  </w:tcBorders>
                  <w:shd w:val="clear" w:color="auto" w:fill="auto"/>
                  <w:vAlign w:val="center"/>
                </w:tcPr>
                <w:p>
                  <w:pPr>
                    <w:pStyle w:val="141"/>
                    <w:rPr>
                      <w:rFonts w:hint="default" w:ascii="Times New Roman" w:hAnsi="Times New Roman" w:cs="Times New Roman"/>
                    </w:rPr>
                  </w:pPr>
                  <w:r>
                    <w:rPr>
                      <w:rStyle w:val="175"/>
                      <w:rFonts w:hint="default" w:ascii="Times New Roman" w:hAnsi="Times New Roman" w:cs="Times New Roman"/>
                      <w:color w:val="auto"/>
                      <w:sz w:val="21"/>
                      <w:szCs w:val="21"/>
                    </w:rPr>
                    <w:t>k</w:t>
                  </w:r>
                  <w:r>
                    <w:rPr>
                      <w:rStyle w:val="173"/>
                      <w:rFonts w:hint="default" w:ascii="Times New Roman" w:hAnsi="Times New Roman" w:cs="Times New Roman"/>
                      <w:color w:val="auto"/>
                      <w:sz w:val="21"/>
                      <w:szCs w:val="21"/>
                    </w:rPr>
                    <w:t>≤</w:t>
                  </w:r>
                  <w:r>
                    <w:rPr>
                      <w:rStyle w:val="175"/>
                      <w:rFonts w:hint="default" w:ascii="Times New Roman" w:hAnsi="Times New Roman" w:cs="Times New Roman"/>
                      <w:color w:val="auto"/>
                      <w:sz w:val="21"/>
                      <w:szCs w:val="21"/>
                    </w:rPr>
                    <w:t>-20%</w:t>
                  </w:r>
                  <w:r>
                    <w:rPr>
                      <w:rStyle w:val="173"/>
                      <w:rFonts w:hint="default" w:ascii="Times New Roman" w:hAnsi="Times New Roman" w:cs="Times New Roman"/>
                      <w:color w:val="auto"/>
                      <w:sz w:val="21"/>
                      <w:szCs w:val="21"/>
                    </w:rPr>
                    <w:t>□</w:t>
                  </w:r>
                </w:p>
              </w:tc>
              <w:tc>
                <w:tcPr>
                  <w:tcW w:w="1812" w:type="pct"/>
                  <w:gridSpan w:val="3"/>
                  <w:tcBorders>
                    <w:tl2br w:val="nil"/>
                    <w:tr2bl w:val="nil"/>
                  </w:tcBorders>
                  <w:shd w:val="clear" w:color="auto" w:fill="auto"/>
                  <w:vAlign w:val="center"/>
                </w:tcPr>
                <w:p>
                  <w:pPr>
                    <w:pStyle w:val="141"/>
                    <w:rPr>
                      <w:rFonts w:hint="default" w:ascii="Times New Roman" w:hAnsi="Times New Roman" w:cs="Times New Roman"/>
                    </w:rPr>
                  </w:pPr>
                  <w:r>
                    <w:rPr>
                      <w:rStyle w:val="175"/>
                      <w:rFonts w:hint="default" w:ascii="Times New Roman" w:hAnsi="Times New Roman" w:cs="Times New Roman"/>
                      <w:color w:val="auto"/>
                      <w:sz w:val="21"/>
                      <w:szCs w:val="21"/>
                    </w:rPr>
                    <w:t>k&gt;-20%</w:t>
                  </w:r>
                  <w:r>
                    <w:rPr>
                      <w:rStyle w:val="173"/>
                      <w:rFonts w:hint="default" w:ascii="Times New Roman" w:hAnsi="Times New Roman" w:cs="Times New Roman"/>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333" w:type="pct"/>
                  <w:vMerge w:val="restart"/>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环境监测计划</w:t>
                  </w:r>
                </w:p>
              </w:tc>
              <w:tc>
                <w:tcPr>
                  <w:tcW w:w="691" w:type="pct"/>
                  <w:vMerge w:val="restart"/>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污染源</w:t>
                  </w:r>
                </w:p>
                <w:p>
                  <w:pPr>
                    <w:pStyle w:val="141"/>
                    <w:rPr>
                      <w:rFonts w:hint="default" w:ascii="Times New Roman" w:hAnsi="Times New Roman" w:cs="Times New Roman"/>
                    </w:rPr>
                  </w:pPr>
                  <w:r>
                    <w:rPr>
                      <w:rFonts w:hint="default" w:ascii="Times New Roman" w:hAnsi="Times New Roman" w:cs="Times New Roman"/>
                    </w:rPr>
                    <w:t>监测</w:t>
                  </w:r>
                </w:p>
              </w:tc>
              <w:tc>
                <w:tcPr>
                  <w:tcW w:w="1808" w:type="pct"/>
                  <w:gridSpan w:val="4"/>
                  <w:vMerge w:val="restart"/>
                  <w:tcBorders>
                    <w:tl2br w:val="nil"/>
                    <w:tr2bl w:val="nil"/>
                  </w:tcBorders>
                  <w:shd w:val="clear" w:color="auto" w:fill="auto"/>
                  <w:vAlign w:val="center"/>
                </w:tcPr>
                <w:p>
                  <w:pPr>
                    <w:pStyle w:val="141"/>
                    <w:rPr>
                      <w:rFonts w:hint="default" w:ascii="Times New Roman" w:hAnsi="Times New Roman" w:cs="Times New Roman"/>
                    </w:rPr>
                  </w:pPr>
                  <w:r>
                    <w:rPr>
                      <w:rStyle w:val="173"/>
                      <w:rFonts w:hint="default" w:ascii="Times New Roman" w:hAnsi="Times New Roman" w:cs="Times New Roman"/>
                      <w:color w:val="auto"/>
                      <w:sz w:val="21"/>
                      <w:szCs w:val="21"/>
                    </w:rPr>
                    <w:t>监测因子：（非甲烷总烃）</w:t>
                  </w:r>
                </w:p>
              </w:tc>
              <w:tc>
                <w:tcPr>
                  <w:tcW w:w="1288" w:type="pct"/>
                  <w:gridSpan w:val="2"/>
                  <w:tcBorders>
                    <w:tl2br w:val="nil"/>
                    <w:tr2bl w:val="nil"/>
                  </w:tcBorders>
                  <w:shd w:val="clear" w:color="auto" w:fill="auto"/>
                  <w:vAlign w:val="center"/>
                </w:tcPr>
                <w:p>
                  <w:pPr>
                    <w:pStyle w:val="141"/>
                    <w:rPr>
                      <w:rFonts w:hint="default" w:ascii="Times New Roman" w:hAnsi="Times New Roman" w:cs="Times New Roman"/>
                    </w:rPr>
                  </w:pPr>
                  <w:r>
                    <w:rPr>
                      <w:rStyle w:val="173"/>
                      <w:rFonts w:hint="default" w:ascii="Times New Roman" w:hAnsi="Times New Roman" w:cs="Times New Roman"/>
                      <w:color w:val="auto"/>
                      <w:sz w:val="21"/>
                      <w:szCs w:val="21"/>
                    </w:rPr>
                    <w:t>有组织废气监测</w:t>
                  </w:r>
                  <w:r>
                    <w:rPr>
                      <w:rStyle w:val="174"/>
                      <w:rFonts w:hint="default" w:ascii="Times New Roman" w:hAnsi="Times New Roman" w:eastAsia="宋体" w:cs="Times New Roman"/>
                      <w:color w:val="auto"/>
                      <w:sz w:val="21"/>
                      <w:szCs w:val="21"/>
                    </w:rPr>
                    <w:sym w:font="Wingdings 2" w:char="00A3"/>
                  </w:r>
                </w:p>
              </w:tc>
              <w:tc>
                <w:tcPr>
                  <w:tcW w:w="878" w:type="pct"/>
                  <w:gridSpan w:val="2"/>
                  <w:vMerge w:val="restart"/>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无监测□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333" w:type="pct"/>
                  <w:vMerge w:val="continue"/>
                  <w:tcBorders>
                    <w:tl2br w:val="nil"/>
                    <w:tr2bl w:val="nil"/>
                  </w:tcBorders>
                  <w:shd w:val="clear" w:color="auto" w:fill="auto"/>
                  <w:vAlign w:val="center"/>
                </w:tcPr>
                <w:p>
                  <w:pPr>
                    <w:pStyle w:val="141"/>
                    <w:rPr>
                      <w:rFonts w:hint="default" w:ascii="Times New Roman" w:hAnsi="Times New Roman" w:cs="Times New Roman"/>
                    </w:rPr>
                  </w:pPr>
                </w:p>
              </w:tc>
              <w:tc>
                <w:tcPr>
                  <w:tcW w:w="691" w:type="pct"/>
                  <w:vMerge w:val="continue"/>
                  <w:tcBorders>
                    <w:tl2br w:val="nil"/>
                    <w:tr2bl w:val="nil"/>
                  </w:tcBorders>
                  <w:shd w:val="clear" w:color="auto" w:fill="auto"/>
                  <w:vAlign w:val="center"/>
                </w:tcPr>
                <w:p>
                  <w:pPr>
                    <w:pStyle w:val="141"/>
                    <w:rPr>
                      <w:rFonts w:hint="default" w:ascii="Times New Roman" w:hAnsi="Times New Roman" w:cs="Times New Roman"/>
                    </w:rPr>
                  </w:pPr>
                </w:p>
              </w:tc>
              <w:tc>
                <w:tcPr>
                  <w:tcW w:w="1808" w:type="pct"/>
                  <w:gridSpan w:val="4"/>
                  <w:vMerge w:val="continue"/>
                  <w:tcBorders>
                    <w:tl2br w:val="nil"/>
                    <w:tr2bl w:val="nil"/>
                  </w:tcBorders>
                  <w:shd w:val="clear" w:color="auto" w:fill="auto"/>
                  <w:vAlign w:val="center"/>
                </w:tcPr>
                <w:p>
                  <w:pPr>
                    <w:pStyle w:val="141"/>
                    <w:rPr>
                      <w:rFonts w:hint="default" w:ascii="Times New Roman" w:hAnsi="Times New Roman" w:cs="Times New Roman"/>
                    </w:rPr>
                  </w:pPr>
                </w:p>
              </w:tc>
              <w:tc>
                <w:tcPr>
                  <w:tcW w:w="1288" w:type="pct"/>
                  <w:gridSpan w:val="2"/>
                  <w:tcBorders>
                    <w:tl2br w:val="nil"/>
                    <w:tr2bl w:val="nil"/>
                  </w:tcBorders>
                  <w:shd w:val="clear" w:color="auto" w:fill="auto"/>
                  <w:vAlign w:val="center"/>
                </w:tcPr>
                <w:p>
                  <w:pPr>
                    <w:pStyle w:val="141"/>
                    <w:rPr>
                      <w:rFonts w:hint="default" w:ascii="Times New Roman" w:hAnsi="Times New Roman" w:cs="Times New Roman"/>
                    </w:rPr>
                  </w:pPr>
                  <w:r>
                    <w:rPr>
                      <w:rStyle w:val="173"/>
                      <w:rFonts w:hint="default" w:ascii="Times New Roman" w:hAnsi="Times New Roman" w:cs="Times New Roman"/>
                      <w:color w:val="auto"/>
                      <w:sz w:val="21"/>
                      <w:szCs w:val="21"/>
                    </w:rPr>
                    <w:t>无组织废气监测</w:t>
                  </w:r>
                  <w:r>
                    <w:rPr>
                      <w:rStyle w:val="174"/>
                      <w:rFonts w:hint="default" w:ascii="Times New Roman" w:hAnsi="Times New Roman" w:eastAsia="宋体" w:cs="Times New Roman"/>
                      <w:color w:val="auto"/>
                      <w:sz w:val="21"/>
                      <w:szCs w:val="21"/>
                    </w:rPr>
                    <w:sym w:font="Wingdings 2" w:char="0052"/>
                  </w:r>
                </w:p>
              </w:tc>
              <w:tc>
                <w:tcPr>
                  <w:tcW w:w="878" w:type="pct"/>
                  <w:gridSpan w:val="2"/>
                  <w:vMerge w:val="continue"/>
                  <w:tcBorders>
                    <w:tl2br w:val="nil"/>
                    <w:tr2bl w:val="nil"/>
                  </w:tcBorders>
                  <w:shd w:val="clear" w:color="auto" w:fill="auto"/>
                  <w:vAlign w:val="center"/>
                </w:tcPr>
                <w:p>
                  <w:pPr>
                    <w:pStyle w:val="141"/>
                    <w:rPr>
                      <w:rFonts w:hint="default"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09" w:hRule="exact"/>
              </w:trPr>
              <w:tc>
                <w:tcPr>
                  <w:tcW w:w="333" w:type="pct"/>
                  <w:vMerge w:val="continue"/>
                  <w:tcBorders>
                    <w:tl2br w:val="nil"/>
                    <w:tr2bl w:val="nil"/>
                  </w:tcBorders>
                  <w:shd w:val="clear" w:color="auto" w:fill="auto"/>
                  <w:vAlign w:val="center"/>
                </w:tcPr>
                <w:p>
                  <w:pPr>
                    <w:pStyle w:val="141"/>
                    <w:rPr>
                      <w:rFonts w:hint="default" w:ascii="Times New Roman" w:hAnsi="Times New Roman" w:cs="Times New Roman"/>
                    </w:rPr>
                  </w:pPr>
                </w:p>
              </w:tc>
              <w:tc>
                <w:tcPr>
                  <w:tcW w:w="691" w:type="pct"/>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环境质量监测</w:t>
                  </w:r>
                </w:p>
              </w:tc>
              <w:tc>
                <w:tcPr>
                  <w:tcW w:w="1808" w:type="pct"/>
                  <w:gridSpan w:val="4"/>
                  <w:tcBorders>
                    <w:tl2br w:val="nil"/>
                    <w:tr2bl w:val="nil"/>
                  </w:tcBorders>
                  <w:shd w:val="clear" w:color="auto" w:fill="auto"/>
                  <w:vAlign w:val="center"/>
                </w:tcPr>
                <w:p>
                  <w:pPr>
                    <w:pStyle w:val="141"/>
                    <w:rPr>
                      <w:rFonts w:hint="default" w:ascii="Times New Roman" w:hAnsi="Times New Roman" w:cs="Times New Roman"/>
                    </w:rPr>
                  </w:pPr>
                  <w:r>
                    <w:rPr>
                      <w:rStyle w:val="173"/>
                      <w:rFonts w:hint="default" w:ascii="Times New Roman" w:hAnsi="Times New Roman" w:cs="Times New Roman"/>
                      <w:color w:val="auto"/>
                      <w:sz w:val="21"/>
                      <w:szCs w:val="21"/>
                    </w:rPr>
                    <w:t>监测因子：（非甲烷总烃</w:t>
                  </w:r>
                  <w:r>
                    <w:rPr>
                      <w:rStyle w:val="175"/>
                      <w:rFonts w:hint="default" w:ascii="Times New Roman" w:hAnsi="Times New Roman" w:cs="Times New Roman"/>
                      <w:color w:val="auto"/>
                      <w:sz w:val="21"/>
                      <w:szCs w:val="21"/>
                    </w:rPr>
                    <w:t xml:space="preserve">  </w:t>
                  </w:r>
                  <w:r>
                    <w:rPr>
                      <w:rStyle w:val="173"/>
                      <w:rFonts w:hint="default" w:ascii="Times New Roman" w:hAnsi="Times New Roman" w:cs="Times New Roman"/>
                      <w:color w:val="auto"/>
                      <w:sz w:val="21"/>
                      <w:szCs w:val="21"/>
                    </w:rPr>
                    <w:t>）</w:t>
                  </w:r>
                </w:p>
              </w:tc>
              <w:tc>
                <w:tcPr>
                  <w:tcW w:w="1288" w:type="pct"/>
                  <w:gridSpan w:val="2"/>
                  <w:tcBorders>
                    <w:tl2br w:val="nil"/>
                    <w:tr2bl w:val="nil"/>
                  </w:tcBorders>
                  <w:shd w:val="clear" w:color="auto" w:fill="auto"/>
                  <w:vAlign w:val="center"/>
                </w:tcPr>
                <w:p>
                  <w:pPr>
                    <w:pStyle w:val="141"/>
                    <w:rPr>
                      <w:rFonts w:hint="default" w:ascii="Times New Roman" w:hAnsi="Times New Roman" w:cs="Times New Roman"/>
                    </w:rPr>
                  </w:pPr>
                  <w:r>
                    <w:rPr>
                      <w:rStyle w:val="173"/>
                      <w:rFonts w:hint="default" w:ascii="Times New Roman" w:hAnsi="Times New Roman" w:cs="Times New Roman"/>
                      <w:color w:val="auto"/>
                      <w:sz w:val="21"/>
                      <w:szCs w:val="21"/>
                    </w:rPr>
                    <w:t>监测点位数（1</w:t>
                  </w:r>
                  <w:r>
                    <w:rPr>
                      <w:rStyle w:val="175"/>
                      <w:rFonts w:hint="default" w:ascii="Times New Roman" w:hAnsi="Times New Roman" w:cs="Times New Roman"/>
                      <w:color w:val="auto"/>
                      <w:sz w:val="21"/>
                      <w:szCs w:val="21"/>
                    </w:rPr>
                    <w:t xml:space="preserve"> </w:t>
                  </w:r>
                  <w:r>
                    <w:rPr>
                      <w:rStyle w:val="173"/>
                      <w:rFonts w:hint="default" w:ascii="Times New Roman" w:hAnsi="Times New Roman" w:cs="Times New Roman"/>
                      <w:color w:val="auto"/>
                      <w:sz w:val="21"/>
                      <w:szCs w:val="21"/>
                    </w:rPr>
                    <w:t>）</w:t>
                  </w:r>
                </w:p>
              </w:tc>
              <w:tc>
                <w:tcPr>
                  <w:tcW w:w="878" w:type="pct"/>
                  <w:gridSpan w:val="2"/>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无监测□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333" w:type="pct"/>
                  <w:vMerge w:val="restart"/>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评价结论</w:t>
                  </w:r>
                </w:p>
              </w:tc>
              <w:tc>
                <w:tcPr>
                  <w:tcW w:w="691" w:type="pct"/>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环境影响</w:t>
                  </w:r>
                </w:p>
              </w:tc>
              <w:tc>
                <w:tcPr>
                  <w:tcW w:w="3975" w:type="pct"/>
                  <w:gridSpan w:val="8"/>
                  <w:tcBorders>
                    <w:tl2br w:val="nil"/>
                    <w:tr2bl w:val="nil"/>
                  </w:tcBorders>
                  <w:shd w:val="clear" w:color="auto" w:fill="auto"/>
                  <w:vAlign w:val="center"/>
                </w:tcPr>
                <w:p>
                  <w:pPr>
                    <w:pStyle w:val="141"/>
                    <w:rPr>
                      <w:rFonts w:hint="default" w:ascii="Times New Roman" w:hAnsi="Times New Roman" w:cs="Times New Roman"/>
                    </w:rPr>
                  </w:pPr>
                  <w:r>
                    <w:rPr>
                      <w:rStyle w:val="173"/>
                      <w:rFonts w:hint="default" w:ascii="Times New Roman" w:hAnsi="Times New Roman" w:cs="Times New Roman"/>
                      <w:color w:val="auto"/>
                      <w:sz w:val="21"/>
                      <w:szCs w:val="21"/>
                    </w:rPr>
                    <w:t>可以接受</w:t>
                  </w:r>
                  <w:r>
                    <w:rPr>
                      <w:rStyle w:val="175"/>
                      <w:rFonts w:hint="default" w:ascii="Times New Roman" w:hAnsi="Times New Roman" w:cs="Times New Roman"/>
                      <w:color w:val="auto"/>
                      <w:sz w:val="21"/>
                      <w:szCs w:val="21"/>
                    </w:rPr>
                    <w:t xml:space="preserve"> </w:t>
                  </w:r>
                  <w:r>
                    <w:rPr>
                      <w:rStyle w:val="174"/>
                      <w:rFonts w:hint="default" w:ascii="Times New Roman" w:hAnsi="Times New Roman" w:eastAsia="宋体" w:cs="Times New Roman"/>
                      <w:color w:val="auto"/>
                      <w:sz w:val="21"/>
                      <w:szCs w:val="21"/>
                    </w:rPr>
                    <w:t>R</w:t>
                  </w:r>
                  <w:r>
                    <w:rPr>
                      <w:rStyle w:val="175"/>
                      <w:rFonts w:hint="default" w:ascii="Times New Roman" w:hAnsi="Times New Roman" w:cs="Times New Roman"/>
                      <w:color w:val="auto"/>
                      <w:sz w:val="21"/>
                      <w:szCs w:val="21"/>
                    </w:rPr>
                    <w:t xml:space="preserve">             </w:t>
                  </w:r>
                  <w:r>
                    <w:rPr>
                      <w:rStyle w:val="173"/>
                      <w:rFonts w:hint="default" w:ascii="Times New Roman" w:hAnsi="Times New Roman" w:cs="Times New Roman"/>
                      <w:color w:val="auto"/>
                      <w:sz w:val="21"/>
                      <w:szCs w:val="21"/>
                    </w:rPr>
                    <w:t>不可以接受</w:t>
                  </w:r>
                  <w:r>
                    <w:rPr>
                      <w:rStyle w:val="175"/>
                      <w:rFonts w:hint="default" w:ascii="Times New Roman" w:hAnsi="Times New Roman" w:cs="Times New Roman"/>
                      <w:color w:val="auto"/>
                      <w:sz w:val="21"/>
                      <w:szCs w:val="21"/>
                    </w:rPr>
                    <w:t xml:space="preserve"> </w:t>
                  </w:r>
                  <w:r>
                    <w:rPr>
                      <w:rStyle w:val="173"/>
                      <w:rFonts w:hint="default" w:ascii="Times New Roman" w:hAnsi="Times New Roman" w:cs="Times New Roman"/>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735" w:hRule="exact"/>
              </w:trPr>
              <w:tc>
                <w:tcPr>
                  <w:tcW w:w="333" w:type="pct"/>
                  <w:vMerge w:val="continue"/>
                  <w:tcBorders>
                    <w:tl2br w:val="nil"/>
                    <w:tr2bl w:val="nil"/>
                  </w:tcBorders>
                  <w:shd w:val="clear" w:color="auto" w:fill="auto"/>
                  <w:vAlign w:val="center"/>
                </w:tcPr>
                <w:p>
                  <w:pPr>
                    <w:pStyle w:val="141"/>
                    <w:rPr>
                      <w:rFonts w:hint="default" w:ascii="Times New Roman" w:hAnsi="Times New Roman" w:cs="Times New Roman"/>
                    </w:rPr>
                  </w:pPr>
                </w:p>
              </w:tc>
              <w:tc>
                <w:tcPr>
                  <w:tcW w:w="691" w:type="pct"/>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大气环境防护距离</w:t>
                  </w:r>
                </w:p>
              </w:tc>
              <w:tc>
                <w:tcPr>
                  <w:tcW w:w="3975" w:type="pct"/>
                  <w:gridSpan w:val="8"/>
                  <w:tcBorders>
                    <w:tl2br w:val="nil"/>
                    <w:tr2bl w:val="nil"/>
                  </w:tcBorders>
                  <w:shd w:val="clear" w:color="auto" w:fill="auto"/>
                  <w:vAlign w:val="center"/>
                </w:tcPr>
                <w:p>
                  <w:pPr>
                    <w:pStyle w:val="141"/>
                    <w:rPr>
                      <w:rFonts w:hint="default" w:ascii="Times New Roman" w:hAnsi="Times New Roman" w:cs="Times New Roman"/>
                    </w:rPr>
                  </w:pPr>
                  <w:r>
                    <w:rPr>
                      <w:rStyle w:val="173"/>
                      <w:rFonts w:hint="default" w:ascii="Times New Roman" w:hAnsi="Times New Roman" w:cs="Times New Roman"/>
                      <w:color w:val="auto"/>
                      <w:sz w:val="21"/>
                      <w:szCs w:val="21"/>
                    </w:rPr>
                    <w:t>距（</w:t>
                  </w:r>
                  <w:r>
                    <w:rPr>
                      <w:rStyle w:val="175"/>
                      <w:rFonts w:hint="default" w:ascii="Times New Roman" w:hAnsi="Times New Roman" w:cs="Times New Roman"/>
                      <w:color w:val="auto"/>
                      <w:sz w:val="21"/>
                      <w:szCs w:val="21"/>
                    </w:rPr>
                    <w:t xml:space="preserve">    )</w:t>
                  </w:r>
                  <w:r>
                    <w:rPr>
                      <w:rStyle w:val="173"/>
                      <w:rFonts w:hint="default" w:ascii="Times New Roman" w:hAnsi="Times New Roman" w:cs="Times New Roman"/>
                      <w:color w:val="auto"/>
                      <w:sz w:val="21"/>
                      <w:szCs w:val="21"/>
                    </w:rPr>
                    <w:t>厂界最远（</w:t>
                  </w:r>
                  <w:r>
                    <w:rPr>
                      <w:rStyle w:val="175"/>
                      <w:rFonts w:hint="default" w:ascii="Times New Roman" w:hAnsi="Times New Roman" w:cs="Times New Roman"/>
                      <w:color w:val="auto"/>
                      <w:sz w:val="21"/>
                      <w:szCs w:val="21"/>
                    </w:rPr>
                    <w:t xml:space="preserve">    </w:t>
                  </w:r>
                  <w:r>
                    <w:rPr>
                      <w:rStyle w:val="173"/>
                      <w:rFonts w:hint="default" w:ascii="Times New Roman" w:hAnsi="Times New Roman" w:cs="Times New Roman"/>
                      <w:color w:val="auto"/>
                      <w:sz w:val="21"/>
                      <w:szCs w:val="21"/>
                    </w:rPr>
                    <w:t>）</w:t>
                  </w:r>
                  <w:r>
                    <w:rPr>
                      <w:rStyle w:val="175"/>
                      <w:rFonts w:hint="default" w:ascii="Times New Roman" w:hAnsi="Times New Roman" w:cs="Times New Roman"/>
                      <w:color w:val="auto"/>
                      <w:sz w:val="21"/>
                      <w:szCs w:val="21"/>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88" w:hRule="exact"/>
              </w:trPr>
              <w:tc>
                <w:tcPr>
                  <w:tcW w:w="333" w:type="pct"/>
                  <w:vMerge w:val="continue"/>
                  <w:tcBorders>
                    <w:tl2br w:val="nil"/>
                    <w:tr2bl w:val="nil"/>
                  </w:tcBorders>
                  <w:shd w:val="clear" w:color="auto" w:fill="auto"/>
                  <w:vAlign w:val="center"/>
                </w:tcPr>
                <w:p>
                  <w:pPr>
                    <w:pStyle w:val="141"/>
                    <w:rPr>
                      <w:rFonts w:hint="default" w:ascii="Times New Roman" w:hAnsi="Times New Roman" w:cs="Times New Roman"/>
                    </w:rPr>
                  </w:pPr>
                </w:p>
              </w:tc>
              <w:tc>
                <w:tcPr>
                  <w:tcW w:w="691" w:type="pct"/>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污染源年排放量</w:t>
                  </w:r>
                </w:p>
              </w:tc>
              <w:tc>
                <w:tcPr>
                  <w:tcW w:w="1089" w:type="pct"/>
                  <w:gridSpan w:val="3"/>
                  <w:tcBorders>
                    <w:tl2br w:val="nil"/>
                    <w:tr2bl w:val="nil"/>
                  </w:tcBorders>
                  <w:shd w:val="clear" w:color="auto" w:fill="auto"/>
                  <w:vAlign w:val="center"/>
                </w:tcPr>
                <w:p>
                  <w:pPr>
                    <w:pStyle w:val="141"/>
                    <w:rPr>
                      <w:rFonts w:hint="default" w:ascii="Times New Roman" w:hAnsi="Times New Roman" w:cs="Times New Roman"/>
                    </w:rPr>
                  </w:pPr>
                  <w:r>
                    <w:rPr>
                      <w:rStyle w:val="175"/>
                      <w:rFonts w:hint="default" w:ascii="Times New Roman" w:hAnsi="Times New Roman" w:cs="Times New Roman"/>
                      <w:color w:val="auto"/>
                      <w:sz w:val="21"/>
                      <w:szCs w:val="21"/>
                    </w:rPr>
                    <w:t>SO</w:t>
                  </w:r>
                  <w:r>
                    <w:rPr>
                      <w:rStyle w:val="176"/>
                      <w:rFonts w:hint="default" w:ascii="Times New Roman" w:hAnsi="Times New Roman" w:cs="Times New Roman"/>
                      <w:color w:val="auto"/>
                      <w:sz w:val="21"/>
                      <w:szCs w:val="21"/>
                    </w:rPr>
                    <w:t>2</w:t>
                  </w:r>
                  <w:r>
                    <w:rPr>
                      <w:rStyle w:val="175"/>
                      <w:rFonts w:hint="default" w:ascii="Times New Roman" w:hAnsi="Times New Roman" w:cs="Times New Roman"/>
                      <w:color w:val="auto"/>
                      <w:sz w:val="21"/>
                      <w:szCs w:val="21"/>
                    </w:rPr>
                    <w:t>:( 0 )t/a</w:t>
                  </w:r>
                </w:p>
              </w:tc>
              <w:tc>
                <w:tcPr>
                  <w:tcW w:w="1073" w:type="pct"/>
                  <w:gridSpan w:val="2"/>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NOx:( 0 )t/a</w:t>
                  </w:r>
                </w:p>
              </w:tc>
              <w:tc>
                <w:tcPr>
                  <w:tcW w:w="933" w:type="pct"/>
                  <w:tcBorders>
                    <w:tl2br w:val="nil"/>
                    <w:tr2bl w:val="nil"/>
                  </w:tcBorders>
                  <w:shd w:val="clear" w:color="auto" w:fill="auto"/>
                  <w:vAlign w:val="center"/>
                </w:tcPr>
                <w:p>
                  <w:pPr>
                    <w:pStyle w:val="141"/>
                    <w:rPr>
                      <w:rFonts w:hint="default" w:ascii="Times New Roman" w:hAnsi="Times New Roman" w:cs="Times New Roman"/>
                    </w:rPr>
                  </w:pPr>
                  <w:r>
                    <w:rPr>
                      <w:rStyle w:val="173"/>
                      <w:rFonts w:hint="default" w:ascii="Times New Roman" w:hAnsi="Times New Roman" w:cs="Times New Roman"/>
                      <w:color w:val="auto"/>
                      <w:sz w:val="21"/>
                      <w:szCs w:val="21"/>
                    </w:rPr>
                    <w:t>颗粒物</w:t>
                  </w:r>
                  <w:r>
                    <w:rPr>
                      <w:rStyle w:val="175"/>
                      <w:rFonts w:hint="default" w:ascii="Times New Roman" w:hAnsi="Times New Roman" w:cs="Times New Roman"/>
                      <w:color w:val="auto"/>
                      <w:sz w:val="21"/>
                      <w:szCs w:val="21"/>
                    </w:rPr>
                    <w:t xml:space="preserve">:( </w:t>
                  </w:r>
                  <w:r>
                    <w:rPr>
                      <w:rStyle w:val="175"/>
                      <w:rFonts w:hint="eastAsia" w:cs="Times New Roman"/>
                      <w:color w:val="auto"/>
                      <w:sz w:val="21"/>
                      <w:szCs w:val="21"/>
                      <w:lang w:val="en-US" w:eastAsia="zh-CN"/>
                    </w:rPr>
                    <w:t>0</w:t>
                  </w:r>
                  <w:r>
                    <w:rPr>
                      <w:rStyle w:val="175"/>
                      <w:rFonts w:hint="default" w:ascii="Times New Roman" w:hAnsi="Times New Roman" w:cs="Times New Roman"/>
                      <w:color w:val="auto"/>
                      <w:sz w:val="21"/>
                      <w:szCs w:val="21"/>
                    </w:rPr>
                    <w:t xml:space="preserve"> )t/a</w:t>
                  </w:r>
                </w:p>
              </w:tc>
              <w:tc>
                <w:tcPr>
                  <w:tcW w:w="878" w:type="pct"/>
                  <w:gridSpan w:val="2"/>
                  <w:tcBorders>
                    <w:tl2br w:val="nil"/>
                    <w:tr2bl w:val="nil"/>
                  </w:tcBorders>
                  <w:shd w:val="clear" w:color="auto" w:fill="auto"/>
                  <w:vAlign w:val="center"/>
                </w:tcPr>
                <w:p>
                  <w:pPr>
                    <w:pStyle w:val="141"/>
                    <w:rPr>
                      <w:rFonts w:hint="default" w:ascii="Times New Roman" w:hAnsi="Times New Roman" w:cs="Times New Roman"/>
                    </w:rPr>
                  </w:pPr>
                  <w:r>
                    <w:rPr>
                      <w:rStyle w:val="175"/>
                      <w:rFonts w:hint="default" w:ascii="Times New Roman" w:hAnsi="Times New Roman" w:cs="Times New Roman"/>
                      <w:color w:val="auto"/>
                      <w:sz w:val="21"/>
                      <w:szCs w:val="21"/>
                    </w:rPr>
                    <w:t xml:space="preserve">VOCs:( </w:t>
                  </w:r>
                  <w:r>
                    <w:rPr>
                      <w:rFonts w:hint="default" w:ascii="Times New Roman" w:hAnsi="Times New Roman" w:cs="Times New Roman"/>
                    </w:rPr>
                    <w:t>0.03</w:t>
                  </w:r>
                  <w:r>
                    <w:rPr>
                      <w:rStyle w:val="175"/>
                      <w:rFonts w:hint="default" w:ascii="Times New Roman" w:hAnsi="Times New Roman" w:cs="Times New Roman"/>
                      <w:color w:val="auto"/>
                      <w:sz w:val="21"/>
                      <w:szCs w:val="21"/>
                    </w:rPr>
                    <w:t xml:space="preserve"> )t/a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5000" w:type="pct"/>
                  <w:gridSpan w:val="10"/>
                  <w:tcBorders>
                    <w:tl2br w:val="nil"/>
                    <w:tr2bl w:val="nil"/>
                  </w:tcBorders>
                  <w:shd w:val="clear" w:color="auto" w:fill="auto"/>
                  <w:vAlign w:val="center"/>
                </w:tcPr>
                <w:p>
                  <w:pPr>
                    <w:pStyle w:val="141"/>
                    <w:rPr>
                      <w:rFonts w:hint="default" w:ascii="Times New Roman" w:hAnsi="Times New Roman" w:cs="Times New Roman"/>
                    </w:rPr>
                  </w:pPr>
                  <w:r>
                    <w:rPr>
                      <w:rStyle w:val="173"/>
                      <w:rFonts w:hint="default" w:ascii="Times New Roman" w:hAnsi="Times New Roman" w:cs="Times New Roman"/>
                      <w:color w:val="auto"/>
                      <w:sz w:val="21"/>
                      <w:szCs w:val="21"/>
                    </w:rPr>
                    <w:t>注：</w:t>
                  </w:r>
                  <w:r>
                    <w:rPr>
                      <w:rStyle w:val="175"/>
                      <w:rFonts w:hint="default" w:ascii="Times New Roman" w:hAnsi="Times New Roman" w:cs="Times New Roman"/>
                      <w:color w:val="auto"/>
                      <w:sz w:val="21"/>
                      <w:szCs w:val="21"/>
                    </w:rPr>
                    <w:t>“</w:t>
                  </w:r>
                  <w:r>
                    <w:rPr>
                      <w:rStyle w:val="173"/>
                      <w:rFonts w:hint="default" w:ascii="Times New Roman" w:hAnsi="Times New Roman" w:cs="Times New Roman"/>
                      <w:color w:val="auto"/>
                      <w:sz w:val="21"/>
                      <w:szCs w:val="21"/>
                    </w:rPr>
                    <w:t>□</w:t>
                  </w:r>
                  <w:r>
                    <w:rPr>
                      <w:rStyle w:val="175"/>
                      <w:rFonts w:hint="default" w:ascii="Times New Roman" w:hAnsi="Times New Roman" w:cs="Times New Roman"/>
                      <w:color w:val="auto"/>
                      <w:sz w:val="21"/>
                      <w:szCs w:val="21"/>
                    </w:rPr>
                    <w:t>”</w:t>
                  </w:r>
                  <w:r>
                    <w:rPr>
                      <w:rStyle w:val="173"/>
                      <w:rFonts w:hint="default" w:ascii="Times New Roman" w:hAnsi="Times New Roman" w:cs="Times New Roman"/>
                      <w:color w:val="auto"/>
                      <w:sz w:val="21"/>
                      <w:szCs w:val="21"/>
                    </w:rPr>
                    <w:t>，填</w:t>
                  </w:r>
                  <w:r>
                    <w:rPr>
                      <w:rStyle w:val="175"/>
                      <w:rFonts w:hint="default" w:ascii="Times New Roman" w:hAnsi="Times New Roman" w:cs="Times New Roman"/>
                      <w:color w:val="auto"/>
                      <w:sz w:val="21"/>
                      <w:szCs w:val="21"/>
                    </w:rPr>
                    <w:t>“</w:t>
                  </w:r>
                  <w:r>
                    <w:rPr>
                      <w:rStyle w:val="173"/>
                      <w:rFonts w:hint="default" w:ascii="Times New Roman" w:hAnsi="Times New Roman" w:cs="Times New Roman"/>
                      <w:color w:val="auto"/>
                      <w:sz w:val="21"/>
                      <w:szCs w:val="21"/>
                    </w:rPr>
                    <w:t>√</w:t>
                  </w:r>
                  <w:r>
                    <w:rPr>
                      <w:rStyle w:val="175"/>
                      <w:rFonts w:hint="default" w:ascii="Times New Roman" w:hAnsi="Times New Roman" w:cs="Times New Roman"/>
                      <w:color w:val="auto"/>
                      <w:sz w:val="21"/>
                      <w:szCs w:val="21"/>
                    </w:rPr>
                    <w:t>”</w:t>
                  </w:r>
                  <w:r>
                    <w:rPr>
                      <w:rStyle w:val="173"/>
                      <w:rFonts w:hint="default" w:ascii="Times New Roman" w:hAnsi="Times New Roman" w:cs="Times New Roman"/>
                      <w:color w:val="auto"/>
                      <w:sz w:val="21"/>
                      <w:szCs w:val="21"/>
                    </w:rPr>
                    <w:t>；</w:t>
                  </w:r>
                  <w:r>
                    <w:rPr>
                      <w:rStyle w:val="175"/>
                      <w:rFonts w:hint="default" w:ascii="Times New Roman" w:hAnsi="Times New Roman" w:cs="Times New Roman"/>
                      <w:color w:val="auto"/>
                      <w:sz w:val="21"/>
                      <w:szCs w:val="21"/>
                    </w:rPr>
                    <w:t>“</w:t>
                  </w:r>
                  <w:r>
                    <w:rPr>
                      <w:rStyle w:val="173"/>
                      <w:rFonts w:hint="default" w:ascii="Times New Roman" w:hAnsi="Times New Roman" w:cs="Times New Roman"/>
                      <w:color w:val="auto"/>
                      <w:sz w:val="21"/>
                      <w:szCs w:val="21"/>
                    </w:rPr>
                    <w:t>（</w:t>
                  </w:r>
                  <w:r>
                    <w:rPr>
                      <w:rStyle w:val="175"/>
                      <w:rFonts w:hint="default" w:ascii="Times New Roman" w:hAnsi="Times New Roman" w:cs="Times New Roman"/>
                      <w:color w:val="auto"/>
                      <w:sz w:val="21"/>
                      <w:szCs w:val="21"/>
                    </w:rPr>
                    <w:t xml:space="preserve">  </w:t>
                  </w:r>
                  <w:r>
                    <w:rPr>
                      <w:rStyle w:val="173"/>
                      <w:rFonts w:hint="default" w:ascii="Times New Roman" w:hAnsi="Times New Roman" w:cs="Times New Roman"/>
                      <w:color w:val="auto"/>
                      <w:sz w:val="21"/>
                      <w:szCs w:val="21"/>
                    </w:rPr>
                    <w:t>）</w:t>
                  </w:r>
                  <w:r>
                    <w:rPr>
                      <w:rStyle w:val="175"/>
                      <w:rFonts w:hint="default" w:ascii="Times New Roman" w:hAnsi="Times New Roman" w:cs="Times New Roman"/>
                      <w:color w:val="auto"/>
                      <w:sz w:val="21"/>
                      <w:szCs w:val="21"/>
                    </w:rPr>
                    <w:t>”</w:t>
                  </w:r>
                  <w:r>
                    <w:rPr>
                      <w:rStyle w:val="173"/>
                      <w:rFonts w:hint="default" w:ascii="Times New Roman" w:hAnsi="Times New Roman" w:cs="Times New Roman"/>
                      <w:color w:val="auto"/>
                      <w:sz w:val="21"/>
                      <w:szCs w:val="21"/>
                    </w:rPr>
                    <w:t>为内容填写项</w:t>
                  </w:r>
                </w:p>
              </w:tc>
            </w:tr>
          </w:tbl>
          <w:p>
            <w:pPr>
              <w:jc w:val="center"/>
              <w:rPr>
                <w:rFonts w:hint="default" w:ascii="Times New Roman" w:hAnsi="Times New Roman" w:cs="Times New Roman"/>
              </w:rPr>
            </w:pPr>
          </w:p>
          <w:p>
            <w:pPr>
              <w:pStyle w:val="161"/>
              <w:rPr>
                <w:rFonts w:hint="default" w:ascii="Times New Roman" w:hAnsi="Times New Roman" w:cs="Times New Roman"/>
              </w:rPr>
            </w:pPr>
            <w:r>
              <w:rPr>
                <w:rFonts w:hint="default" w:ascii="Times New Roman" w:hAnsi="Times New Roman" w:cs="Times New Roman"/>
              </w:rPr>
              <w:t>四、声环境影响分析</w:t>
            </w:r>
          </w:p>
          <w:p>
            <w:pPr>
              <w:pStyle w:val="137"/>
              <w:ind w:firstLine="480"/>
              <w:rPr>
                <w:rFonts w:hint="default" w:ascii="Times New Roman" w:hAnsi="Times New Roman" w:cs="Times New Roman"/>
              </w:rPr>
            </w:pPr>
            <w:r>
              <w:rPr>
                <w:rFonts w:hint="default" w:ascii="Times New Roman" w:hAnsi="Times New Roman" w:cs="Times New Roman"/>
              </w:rPr>
              <w:t>本项目主要噪声来源有：进出站车辆产生的交通噪声，备用发电机运行时产生的噪声车辆产生的交通噪声为60~75dB（A），备用发电机运行时产生噪声值为80dB（A）。</w:t>
            </w:r>
          </w:p>
          <w:p>
            <w:pPr>
              <w:pStyle w:val="137"/>
              <w:ind w:firstLine="480"/>
              <w:rPr>
                <w:rFonts w:hint="default" w:ascii="Times New Roman" w:hAnsi="Times New Roman" w:cs="Times New Roman"/>
              </w:rPr>
            </w:pPr>
            <w:r>
              <w:rPr>
                <w:rFonts w:hint="default" w:ascii="Times New Roman" w:hAnsi="Times New Roman" w:cs="Times New Roman"/>
              </w:rPr>
              <w:t>1、预测模式</w:t>
            </w:r>
          </w:p>
          <w:p>
            <w:pPr>
              <w:pStyle w:val="137"/>
              <w:ind w:firstLine="480"/>
              <w:rPr>
                <w:rFonts w:hint="default" w:ascii="Times New Roman" w:hAnsi="Times New Roman" w:cs="Times New Roman"/>
              </w:rPr>
            </w:pPr>
            <w:r>
              <w:rPr>
                <w:rFonts w:hint="default" w:ascii="Times New Roman" w:hAnsi="Times New Roman" w:cs="Times New Roman"/>
              </w:rPr>
              <w:t>按照《环境影响评价技术导则声环境（HJ2.4-2009）》的要求，选择点声源预测模式，来模拟预测本项目主要声源排放噪声随距离的衰减变化规律。</w:t>
            </w:r>
          </w:p>
          <w:p>
            <w:pPr>
              <w:pStyle w:val="137"/>
              <w:ind w:firstLine="480"/>
              <w:rPr>
                <w:rFonts w:hint="default" w:ascii="Times New Roman" w:hAnsi="Times New Roman" w:cs="Times New Roman"/>
              </w:rPr>
            </w:pPr>
            <w:r>
              <w:rPr>
                <w:rFonts w:hint="default" w:ascii="Times New Roman" w:hAnsi="Times New Roman" w:cs="Times New Roman"/>
              </w:rPr>
              <w:t>对室外噪声源主要考虑噪声的几何发散衰减及环境因素衰减：</w:t>
            </w:r>
          </w:p>
          <w:p>
            <w:pPr>
              <w:pStyle w:val="137"/>
              <w:ind w:firstLine="480"/>
              <w:jc w:val="center"/>
              <w:rPr>
                <w:rFonts w:hint="default" w:ascii="Times New Roman" w:hAnsi="Times New Roman" w:cs="Times New Roman"/>
              </w:rPr>
            </w:pPr>
            <w:r>
              <w:rPr>
                <w:rFonts w:hint="default" w:ascii="Times New Roman" w:hAnsi="Times New Roman" w:cs="Times New Roman"/>
              </w:rPr>
              <w:t>L</w:t>
            </w:r>
            <w:r>
              <w:rPr>
                <w:rFonts w:hint="default" w:ascii="Times New Roman" w:hAnsi="Times New Roman" w:cs="Times New Roman"/>
                <w:vertAlign w:val="subscript"/>
              </w:rPr>
              <w:t>2</w:t>
            </w:r>
            <w:r>
              <w:rPr>
                <w:rFonts w:hint="default" w:ascii="Times New Roman" w:hAnsi="Times New Roman" w:cs="Times New Roman"/>
              </w:rPr>
              <w:t>=L</w:t>
            </w:r>
            <w:r>
              <w:rPr>
                <w:rFonts w:hint="default" w:ascii="Times New Roman" w:hAnsi="Times New Roman" w:cs="Times New Roman"/>
                <w:vertAlign w:val="subscript"/>
              </w:rPr>
              <w:t>1</w:t>
            </w:r>
            <w:r>
              <w:rPr>
                <w:rFonts w:hint="default" w:ascii="Times New Roman" w:hAnsi="Times New Roman" w:cs="Times New Roman"/>
              </w:rPr>
              <w:t>-20lg(r</w:t>
            </w:r>
            <w:r>
              <w:rPr>
                <w:rFonts w:hint="default" w:ascii="Times New Roman" w:hAnsi="Times New Roman" w:cs="Times New Roman"/>
                <w:vertAlign w:val="subscript"/>
              </w:rPr>
              <w:t>2</w:t>
            </w:r>
            <w:r>
              <w:rPr>
                <w:rFonts w:hint="default" w:ascii="Times New Roman" w:hAnsi="Times New Roman" w:cs="Times New Roman"/>
              </w:rPr>
              <w:t>/r</w:t>
            </w:r>
            <w:r>
              <w:rPr>
                <w:rFonts w:hint="default" w:ascii="Times New Roman" w:hAnsi="Times New Roman" w:cs="Times New Roman"/>
                <w:vertAlign w:val="subscript"/>
              </w:rPr>
              <w:t>1</w:t>
            </w:r>
            <w:r>
              <w:rPr>
                <w:rFonts w:hint="default" w:ascii="Times New Roman" w:hAnsi="Times New Roman" w:cs="Times New Roman"/>
              </w:rPr>
              <w:t>)-ΔL</w:t>
            </w:r>
          </w:p>
          <w:p>
            <w:pPr>
              <w:spacing w:after="152"/>
              <w:ind w:left="480"/>
              <w:rPr>
                <w:rFonts w:hint="default" w:ascii="Times New Roman" w:hAnsi="Times New Roman" w:cs="Times New Roman"/>
              </w:rPr>
            </w:pPr>
            <w:r>
              <w:rPr>
                <w:rFonts w:hint="default" w:ascii="Times New Roman" w:hAnsi="Times New Roman" w:cs="Times New Roman"/>
              </w:rPr>
              <w:t>式中：</w:t>
            </w:r>
            <w:r>
              <w:rPr>
                <w:rFonts w:hint="default" w:ascii="Times New Roman" w:hAnsi="Times New Roman" w:eastAsia="Times New Roman" w:cs="Times New Roman"/>
              </w:rPr>
              <w:t>L</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w:t>
            </w:r>
            <w:r>
              <w:rPr>
                <w:rFonts w:hint="default" w:ascii="Times New Roman" w:hAnsi="Times New Roman" w:cs="Times New Roman"/>
              </w:rPr>
              <w:t>点声源在预测点产生的声压级，</w:t>
            </w:r>
            <w:r>
              <w:rPr>
                <w:rFonts w:hint="default" w:ascii="Times New Roman" w:hAnsi="Times New Roman" w:eastAsia="Times New Roman" w:cs="Times New Roman"/>
              </w:rPr>
              <w:t>dB(A)</w:t>
            </w:r>
            <w:r>
              <w:rPr>
                <w:rFonts w:hint="default" w:ascii="Times New Roman" w:hAnsi="Times New Roman" w:cs="Times New Roman"/>
              </w:rPr>
              <w:t>；</w:t>
            </w:r>
          </w:p>
          <w:p>
            <w:pPr>
              <w:spacing w:line="382" w:lineRule="auto"/>
              <w:ind w:left="480"/>
              <w:rPr>
                <w:rFonts w:hint="default" w:ascii="Times New Roman" w:hAnsi="Times New Roman" w:cs="Times New Roman"/>
              </w:rPr>
            </w:pPr>
            <w:r>
              <w:rPr>
                <w:rFonts w:hint="default" w:ascii="Times New Roman" w:hAnsi="Times New Roman" w:eastAsia="Times New Roman" w:cs="Times New Roman"/>
              </w:rPr>
              <w:t>L</w:t>
            </w:r>
            <w:r>
              <w:rPr>
                <w:rFonts w:hint="default" w:ascii="Times New Roman" w:hAnsi="Times New Roman" w:eastAsia="Times New Roman" w:cs="Times New Roman"/>
                <w:vertAlign w:val="subscript"/>
              </w:rPr>
              <w:t>1</w:t>
            </w:r>
            <w:r>
              <w:rPr>
                <w:rFonts w:hint="default" w:ascii="Times New Roman" w:hAnsi="Times New Roman" w:eastAsia="Times New Roman" w:cs="Times New Roman"/>
              </w:rPr>
              <w:t>——</w:t>
            </w:r>
            <w:r>
              <w:rPr>
                <w:rFonts w:hint="default" w:ascii="Times New Roman" w:hAnsi="Times New Roman" w:cs="Times New Roman"/>
              </w:rPr>
              <w:t>点声源在参考点产生的声压级，</w:t>
            </w:r>
            <w:r>
              <w:rPr>
                <w:rFonts w:hint="default" w:ascii="Times New Roman" w:hAnsi="Times New Roman" w:eastAsia="Times New Roman" w:cs="Times New Roman"/>
              </w:rPr>
              <w:t>dB(A)</w:t>
            </w:r>
            <w:r>
              <w:rPr>
                <w:rFonts w:hint="default" w:ascii="Times New Roman" w:hAnsi="Times New Roman" w:cs="Times New Roman"/>
              </w:rPr>
              <w:t xml:space="preserve">； </w:t>
            </w:r>
            <w:r>
              <w:rPr>
                <w:rFonts w:hint="default" w:ascii="Times New Roman" w:hAnsi="Times New Roman" w:eastAsia="Times New Roman" w:cs="Times New Roman"/>
              </w:rPr>
              <w:t>r</w:t>
            </w:r>
            <w:r>
              <w:rPr>
                <w:rFonts w:hint="default" w:ascii="Times New Roman" w:hAnsi="Times New Roman" w:eastAsia="Times New Roman" w:cs="Times New Roman"/>
                <w:vertAlign w:val="subscript"/>
              </w:rPr>
              <w:t>2</w:t>
            </w:r>
            <w:r>
              <w:rPr>
                <w:rFonts w:hint="default" w:ascii="Times New Roman" w:hAnsi="Times New Roman" w:eastAsia="Times New Roman" w:cs="Times New Roman"/>
              </w:rPr>
              <w:t>——</w:t>
            </w:r>
            <w:r>
              <w:rPr>
                <w:rFonts w:hint="default" w:ascii="Times New Roman" w:hAnsi="Times New Roman" w:cs="Times New Roman"/>
              </w:rPr>
              <w:t>预测点距声源的距离，</w:t>
            </w:r>
            <w:r>
              <w:rPr>
                <w:rFonts w:hint="default" w:ascii="Times New Roman" w:hAnsi="Times New Roman" w:eastAsia="Times New Roman" w:cs="Times New Roman"/>
              </w:rPr>
              <w:t>m</w:t>
            </w:r>
            <w:r>
              <w:rPr>
                <w:rFonts w:hint="default" w:ascii="Times New Roman" w:hAnsi="Times New Roman" w:cs="Times New Roman"/>
              </w:rPr>
              <w:t xml:space="preserve">； </w:t>
            </w:r>
            <w:r>
              <w:rPr>
                <w:rFonts w:hint="default" w:ascii="Times New Roman" w:hAnsi="Times New Roman" w:eastAsia="Times New Roman" w:cs="Times New Roman"/>
              </w:rPr>
              <w:t>r</w:t>
            </w:r>
            <w:r>
              <w:rPr>
                <w:rFonts w:hint="default" w:ascii="Times New Roman" w:hAnsi="Times New Roman" w:eastAsia="Times New Roman" w:cs="Times New Roman"/>
                <w:vertAlign w:val="subscript"/>
              </w:rPr>
              <w:t>1</w:t>
            </w:r>
            <w:r>
              <w:rPr>
                <w:rFonts w:hint="default" w:ascii="Times New Roman" w:hAnsi="Times New Roman" w:eastAsia="Times New Roman" w:cs="Times New Roman"/>
              </w:rPr>
              <w:t>——</w:t>
            </w:r>
            <w:r>
              <w:rPr>
                <w:rFonts w:hint="default" w:ascii="Times New Roman" w:hAnsi="Times New Roman" w:cs="Times New Roman"/>
              </w:rPr>
              <w:t>参考点距声源的距离，</w:t>
            </w:r>
            <w:r>
              <w:rPr>
                <w:rFonts w:hint="default" w:ascii="Times New Roman" w:hAnsi="Times New Roman" w:eastAsia="Times New Roman" w:cs="Times New Roman"/>
              </w:rPr>
              <w:t>m</w:t>
            </w:r>
            <w:r>
              <w:rPr>
                <w:rFonts w:hint="default" w:ascii="Times New Roman" w:hAnsi="Times New Roman" w:cs="Times New Roman"/>
              </w:rPr>
              <w:t>；</w:t>
            </w:r>
          </w:p>
          <w:p>
            <w:pPr>
              <w:pStyle w:val="137"/>
              <w:ind w:firstLine="480"/>
              <w:rPr>
                <w:rFonts w:hint="default" w:ascii="Times New Roman" w:hAnsi="Times New Roman" w:cs="Times New Roman"/>
              </w:rPr>
            </w:pPr>
            <w:r>
              <w:rPr>
                <w:rFonts w:hint="default" w:ascii="Times New Roman" w:hAnsi="Times New Roman" w:eastAsia="Times New Roman" w:cs="Times New Roman"/>
              </w:rPr>
              <w:t>ΔL—</w:t>
            </w:r>
            <w:r>
              <w:rPr>
                <w:rFonts w:hint="default" w:ascii="Times New Roman" w:hAnsi="Times New Roman" w:cs="Times New Roman"/>
              </w:rPr>
              <w:t xml:space="preserve">各种因素引起的衰减量（包括声屏障、空气吸收等引起的衰减量）， </w:t>
            </w:r>
            <w:r>
              <w:rPr>
                <w:rFonts w:hint="default" w:ascii="Times New Roman" w:hAnsi="Times New Roman" w:eastAsia="Times New Roman" w:cs="Times New Roman"/>
              </w:rPr>
              <w:t>dB(A)</w:t>
            </w:r>
            <w:r>
              <w:rPr>
                <w:rFonts w:hint="default" w:ascii="Times New Roman" w:hAnsi="Times New Roman" w:cs="Times New Roman"/>
              </w:rPr>
              <w:t>。</w:t>
            </w:r>
          </w:p>
          <w:p>
            <w:pPr>
              <w:pStyle w:val="137"/>
              <w:ind w:firstLine="480"/>
              <w:rPr>
                <w:rFonts w:hint="default" w:ascii="Times New Roman" w:hAnsi="Times New Roman" w:cs="Times New Roman"/>
              </w:rPr>
            </w:pPr>
            <w:r>
              <w:rPr>
                <w:rFonts w:hint="default" w:ascii="Times New Roman" w:hAnsi="Times New Roman" w:cs="Times New Roman"/>
              </w:rPr>
              <w:t>对室内噪声源采用室内声源噪声模式并换算成等效的室外声源：</w:t>
            </w:r>
          </w:p>
          <w:p>
            <w:pPr>
              <w:spacing w:after="191"/>
              <w:ind w:left="439"/>
              <w:jc w:val="center"/>
              <w:rPr>
                <w:rFonts w:hint="default" w:ascii="Times New Roman" w:hAnsi="Times New Roman" w:cs="Times New Roman"/>
              </w:rPr>
            </w:pPr>
            <w:r>
              <w:rPr>
                <w:rFonts w:hint="default" w:ascii="Times New Roman" w:hAnsi="Times New Roman" w:cs="Times New Roman"/>
              </w:rPr>
              <w:drawing>
                <wp:inline distT="0" distB="0" distL="0" distR="0">
                  <wp:extent cx="1549400" cy="561975"/>
                  <wp:effectExtent l="0" t="0" r="0" b="0"/>
                  <wp:docPr id="8861" name="Picture 8861"/>
                  <wp:cNvGraphicFramePr/>
                  <a:graphic xmlns:a="http://schemas.openxmlformats.org/drawingml/2006/main">
                    <a:graphicData uri="http://schemas.openxmlformats.org/drawingml/2006/picture">
                      <pic:pic xmlns:pic="http://schemas.openxmlformats.org/drawingml/2006/picture">
                        <pic:nvPicPr>
                          <pic:cNvPr id="8861" name="Picture 8861"/>
                          <pic:cNvPicPr/>
                        </pic:nvPicPr>
                        <pic:blipFill>
                          <a:blip r:embed="rId33"/>
                          <a:stretch>
                            <a:fillRect/>
                          </a:stretch>
                        </pic:blipFill>
                        <pic:spPr>
                          <a:xfrm>
                            <a:off x="0" y="0"/>
                            <a:ext cx="1549908" cy="562356"/>
                          </a:xfrm>
                          <a:prstGeom prst="rect">
                            <a:avLst/>
                          </a:prstGeom>
                        </pic:spPr>
                      </pic:pic>
                    </a:graphicData>
                  </a:graphic>
                </wp:inline>
              </w:drawing>
            </w:r>
          </w:p>
          <w:p>
            <w:pPr>
              <w:pStyle w:val="137"/>
              <w:ind w:firstLine="480"/>
              <w:rPr>
                <w:rFonts w:hint="default" w:ascii="Times New Roman" w:hAnsi="Times New Roman" w:cs="Times New Roman"/>
              </w:rPr>
            </w:pPr>
            <w:r>
              <w:rPr>
                <w:rFonts w:hint="default" w:ascii="Times New Roman" w:hAnsi="Times New Roman" w:cs="Times New Roman"/>
              </w:rPr>
              <w:t>式中：</w:t>
            </w:r>
            <w:r>
              <w:rPr>
                <w:rFonts w:hint="default" w:ascii="Times New Roman" w:hAnsi="Times New Roman" w:eastAsia="Times New Roman" w:cs="Times New Roman"/>
              </w:rPr>
              <w:t>L</w:t>
            </w:r>
            <w:r>
              <w:rPr>
                <w:rFonts w:hint="default" w:ascii="Times New Roman" w:hAnsi="Times New Roman" w:eastAsia="Times New Roman" w:cs="Times New Roman"/>
                <w:vertAlign w:val="subscript"/>
              </w:rPr>
              <w:t>n</w:t>
            </w:r>
            <w:r>
              <w:rPr>
                <w:rFonts w:hint="default" w:ascii="Times New Roman" w:hAnsi="Times New Roman" w:eastAsia="Times New Roman" w:cs="Times New Roman"/>
              </w:rPr>
              <w:t>—</w:t>
            </w:r>
            <w:r>
              <w:rPr>
                <w:rFonts w:hint="default" w:ascii="Times New Roman" w:hAnsi="Times New Roman" w:cs="Times New Roman"/>
              </w:rPr>
              <w:t>室内靠近围护结构处产生的声压级，</w:t>
            </w:r>
            <w:r>
              <w:rPr>
                <w:rFonts w:hint="default" w:ascii="Times New Roman" w:hAnsi="Times New Roman" w:eastAsia="Times New Roman" w:cs="Times New Roman"/>
              </w:rPr>
              <w:t>dB</w:t>
            </w:r>
            <w:r>
              <w:rPr>
                <w:rFonts w:hint="default" w:ascii="Times New Roman" w:hAnsi="Times New Roman" w:cs="Times New Roman"/>
              </w:rPr>
              <w:t>；</w:t>
            </w:r>
          </w:p>
          <w:p>
            <w:pPr>
              <w:pStyle w:val="137"/>
              <w:ind w:firstLine="480"/>
              <w:rPr>
                <w:rFonts w:hint="default" w:ascii="Times New Roman" w:hAnsi="Times New Roman" w:cs="Times New Roman"/>
              </w:rPr>
            </w:pPr>
            <w:r>
              <w:rPr>
                <w:rFonts w:hint="default" w:ascii="Times New Roman" w:hAnsi="Times New Roman" w:eastAsia="Times New Roman" w:cs="Times New Roman"/>
              </w:rPr>
              <w:t>L</w:t>
            </w:r>
            <w:r>
              <w:rPr>
                <w:rFonts w:hint="default" w:ascii="Times New Roman" w:hAnsi="Times New Roman" w:eastAsia="Times New Roman" w:cs="Times New Roman"/>
                <w:vertAlign w:val="subscript"/>
              </w:rPr>
              <w:t>W</w:t>
            </w:r>
            <w:r>
              <w:rPr>
                <w:rFonts w:hint="default" w:ascii="Times New Roman" w:hAnsi="Times New Roman" w:eastAsia="Times New Roman" w:cs="Times New Roman"/>
              </w:rPr>
              <w:t>—</w:t>
            </w:r>
            <w:r>
              <w:rPr>
                <w:rFonts w:hint="default" w:ascii="Times New Roman" w:hAnsi="Times New Roman" w:cs="Times New Roman"/>
              </w:rPr>
              <w:t>室外靠近围护结构处产生的声压级，</w:t>
            </w:r>
            <w:r>
              <w:rPr>
                <w:rFonts w:hint="default" w:ascii="Times New Roman" w:hAnsi="Times New Roman" w:eastAsia="Times New Roman" w:cs="Times New Roman"/>
              </w:rPr>
              <w:t>dB</w:t>
            </w:r>
            <w:r>
              <w:rPr>
                <w:rFonts w:hint="default" w:ascii="Times New Roman" w:hAnsi="Times New Roman" w:cs="Times New Roman"/>
              </w:rPr>
              <w:t xml:space="preserve">； </w:t>
            </w:r>
          </w:p>
          <w:p>
            <w:pPr>
              <w:pStyle w:val="137"/>
              <w:ind w:firstLine="480"/>
              <w:rPr>
                <w:rFonts w:hint="default" w:ascii="Times New Roman" w:hAnsi="Times New Roman" w:cs="Times New Roman"/>
              </w:rPr>
            </w:pPr>
            <w:r>
              <w:rPr>
                <w:rFonts w:hint="default" w:ascii="Times New Roman" w:hAnsi="Times New Roman" w:eastAsia="Times New Roman" w:cs="Times New Roman"/>
              </w:rPr>
              <w:t>L</w:t>
            </w:r>
            <w:r>
              <w:rPr>
                <w:rFonts w:hint="default" w:ascii="Times New Roman" w:hAnsi="Times New Roman" w:eastAsia="Times New Roman" w:cs="Times New Roman"/>
                <w:vertAlign w:val="subscript"/>
              </w:rPr>
              <w:t>e</w:t>
            </w:r>
            <w:r>
              <w:rPr>
                <w:rFonts w:hint="default" w:ascii="Times New Roman" w:hAnsi="Times New Roman" w:eastAsia="Times New Roman" w:cs="Times New Roman"/>
              </w:rPr>
              <w:t>—</w:t>
            </w:r>
            <w:r>
              <w:rPr>
                <w:rFonts w:hint="default" w:ascii="Times New Roman" w:hAnsi="Times New Roman" w:cs="Times New Roman"/>
              </w:rPr>
              <w:t>声源的声压级，</w:t>
            </w:r>
            <w:r>
              <w:rPr>
                <w:rFonts w:hint="default" w:ascii="Times New Roman" w:hAnsi="Times New Roman" w:eastAsia="Times New Roman" w:cs="Times New Roman"/>
              </w:rPr>
              <w:t>dB</w:t>
            </w:r>
            <w:r>
              <w:rPr>
                <w:rFonts w:hint="default" w:ascii="Times New Roman" w:hAnsi="Times New Roman" w:cs="Times New Roman"/>
              </w:rPr>
              <w:t xml:space="preserve">； </w:t>
            </w:r>
          </w:p>
          <w:p>
            <w:pPr>
              <w:pStyle w:val="137"/>
              <w:ind w:firstLine="480"/>
              <w:rPr>
                <w:rFonts w:hint="default" w:ascii="Times New Roman" w:hAnsi="Times New Roman" w:cs="Times New Roman"/>
              </w:rPr>
            </w:pPr>
            <w:r>
              <w:rPr>
                <w:rFonts w:hint="default" w:ascii="Times New Roman" w:hAnsi="Times New Roman" w:eastAsia="Times New Roman" w:cs="Times New Roman"/>
              </w:rPr>
              <w:t>r—</w:t>
            </w:r>
            <w:r>
              <w:rPr>
                <w:rFonts w:hint="default" w:ascii="Times New Roman" w:hAnsi="Times New Roman" w:cs="Times New Roman"/>
              </w:rPr>
              <w:t>声源与室内靠近围护结构处的距离，</w:t>
            </w:r>
            <w:r>
              <w:rPr>
                <w:rFonts w:hint="default" w:ascii="Times New Roman" w:hAnsi="Times New Roman" w:eastAsia="Times New Roman" w:cs="Times New Roman"/>
              </w:rPr>
              <w:t>m</w:t>
            </w:r>
            <w:r>
              <w:rPr>
                <w:rFonts w:hint="default" w:ascii="Times New Roman" w:hAnsi="Times New Roman" w:cs="Times New Roman"/>
              </w:rPr>
              <w:t xml:space="preserve">； </w:t>
            </w:r>
          </w:p>
          <w:p>
            <w:pPr>
              <w:pStyle w:val="137"/>
              <w:ind w:firstLine="480"/>
              <w:rPr>
                <w:rFonts w:hint="default" w:ascii="Times New Roman" w:hAnsi="Times New Roman" w:cs="Times New Roman"/>
              </w:rPr>
            </w:pPr>
            <w:r>
              <w:rPr>
                <w:rFonts w:hint="default" w:ascii="Times New Roman" w:hAnsi="Times New Roman" w:eastAsia="Times New Roman" w:cs="Times New Roman"/>
              </w:rPr>
              <w:t>R—</w:t>
            </w:r>
            <w:r>
              <w:rPr>
                <w:rFonts w:hint="default" w:ascii="Times New Roman" w:hAnsi="Times New Roman" w:cs="Times New Roman"/>
              </w:rPr>
              <w:t>房间常数，</w:t>
            </w:r>
            <w:r>
              <w:rPr>
                <w:rFonts w:hint="default" w:ascii="Times New Roman" w:hAnsi="Times New Roman" w:eastAsia="Times New Roman" w:cs="Times New Roman"/>
              </w:rPr>
              <w:t>m</w:t>
            </w:r>
            <w:r>
              <w:rPr>
                <w:rFonts w:hint="default" w:ascii="Times New Roman" w:hAnsi="Times New Roman" w:eastAsia="Times New Roman" w:cs="Times New Roman"/>
                <w:vertAlign w:val="superscript"/>
              </w:rPr>
              <w:t>2</w:t>
            </w:r>
            <w:r>
              <w:rPr>
                <w:rFonts w:hint="default" w:ascii="Times New Roman" w:hAnsi="Times New Roman" w:cs="Times New Roman"/>
              </w:rPr>
              <w:t>；</w:t>
            </w:r>
          </w:p>
          <w:p>
            <w:pPr>
              <w:pStyle w:val="137"/>
              <w:ind w:firstLine="480"/>
              <w:rPr>
                <w:rFonts w:hint="default" w:ascii="Times New Roman" w:hAnsi="Times New Roman" w:cs="Times New Roman"/>
              </w:rPr>
            </w:pPr>
            <w:r>
              <w:rPr>
                <w:rFonts w:hint="default" w:ascii="Times New Roman" w:hAnsi="Times New Roman" w:eastAsia="Times New Roman" w:cs="Times New Roman"/>
              </w:rPr>
              <w:t>Q—</w:t>
            </w:r>
            <w:r>
              <w:rPr>
                <w:rFonts w:hint="default" w:ascii="Times New Roman" w:hAnsi="Times New Roman" w:cs="Times New Roman"/>
              </w:rPr>
              <w:t>方向性因子；</w:t>
            </w:r>
          </w:p>
          <w:p>
            <w:pPr>
              <w:pStyle w:val="137"/>
              <w:ind w:firstLine="480"/>
              <w:rPr>
                <w:rFonts w:hint="default" w:ascii="Times New Roman" w:hAnsi="Times New Roman" w:cs="Times New Roman"/>
              </w:rPr>
            </w:pPr>
            <w:r>
              <w:rPr>
                <w:rFonts w:hint="default" w:ascii="Times New Roman" w:hAnsi="Times New Roman" w:eastAsia="Times New Roman" w:cs="Times New Roman"/>
              </w:rPr>
              <w:t>TL—</w:t>
            </w:r>
            <w:r>
              <w:rPr>
                <w:rFonts w:hint="default" w:ascii="Times New Roman" w:hAnsi="Times New Roman" w:cs="Times New Roman"/>
              </w:rPr>
              <w:t>围护结构的传输损失，</w:t>
            </w:r>
            <w:r>
              <w:rPr>
                <w:rFonts w:hint="default" w:ascii="Times New Roman" w:hAnsi="Times New Roman" w:eastAsia="Times New Roman" w:cs="Times New Roman"/>
              </w:rPr>
              <w:t>dB</w:t>
            </w:r>
            <w:r>
              <w:rPr>
                <w:rFonts w:hint="default" w:ascii="Times New Roman" w:hAnsi="Times New Roman" w:cs="Times New Roman"/>
              </w:rPr>
              <w:t xml:space="preserve">； </w:t>
            </w:r>
          </w:p>
          <w:p>
            <w:pPr>
              <w:pStyle w:val="137"/>
              <w:ind w:firstLine="480"/>
              <w:rPr>
                <w:rFonts w:hint="default" w:ascii="Times New Roman" w:hAnsi="Times New Roman" w:cs="Times New Roman"/>
              </w:rPr>
            </w:pPr>
            <w:r>
              <w:rPr>
                <w:rFonts w:hint="default" w:ascii="Times New Roman" w:hAnsi="Times New Roman" w:eastAsia="Times New Roman" w:cs="Times New Roman"/>
              </w:rPr>
              <w:t>S—</w:t>
            </w:r>
            <w:r>
              <w:rPr>
                <w:rFonts w:hint="default" w:ascii="Times New Roman" w:hAnsi="Times New Roman" w:cs="Times New Roman"/>
              </w:rPr>
              <w:t>透声面积，</w:t>
            </w:r>
            <w:r>
              <w:rPr>
                <w:rFonts w:hint="default" w:ascii="Times New Roman" w:hAnsi="Times New Roman" w:eastAsia="Times New Roman" w:cs="Times New Roman"/>
              </w:rPr>
              <w:t>m</w:t>
            </w:r>
            <w:r>
              <w:rPr>
                <w:rFonts w:hint="default" w:ascii="Times New Roman" w:hAnsi="Times New Roman" w:eastAsia="Times New Roman" w:cs="Times New Roman"/>
                <w:vertAlign w:val="superscript"/>
              </w:rPr>
              <w:t>2</w:t>
            </w:r>
            <w:r>
              <w:rPr>
                <w:rFonts w:hint="default" w:ascii="Times New Roman" w:hAnsi="Times New Roman" w:cs="Times New Roman"/>
              </w:rPr>
              <w:t>。</w:t>
            </w:r>
          </w:p>
          <w:p>
            <w:pPr>
              <w:pStyle w:val="137"/>
              <w:ind w:firstLine="480"/>
              <w:rPr>
                <w:rFonts w:hint="default" w:ascii="Times New Roman" w:hAnsi="Times New Roman" w:cs="Times New Roman"/>
              </w:rPr>
            </w:pPr>
            <w:r>
              <w:rPr>
                <w:rFonts w:hint="default" w:ascii="Times New Roman" w:hAnsi="Times New Roman" w:cs="Times New Roman"/>
              </w:rPr>
              <w:t>对两个以上多个声源同时存在时，其预测点总声压级采用下面公式：</w:t>
            </w:r>
          </w:p>
          <w:p>
            <w:pPr>
              <w:pStyle w:val="137"/>
              <w:ind w:firstLine="480"/>
              <w:jc w:val="center"/>
              <w:rPr>
                <w:rFonts w:hint="default" w:ascii="Times New Roman" w:hAnsi="Times New Roman" w:cs="Times New Roman"/>
              </w:rPr>
            </w:pPr>
            <w:r>
              <w:rPr>
                <w:rFonts w:hint="default" w:ascii="Times New Roman" w:hAnsi="Times New Roman" w:cs="Times New Roman"/>
              </w:rPr>
              <w:drawing>
                <wp:inline distT="0" distB="0" distL="0" distR="0">
                  <wp:extent cx="1388110" cy="320040"/>
                  <wp:effectExtent l="0" t="0" r="0" b="0"/>
                  <wp:docPr id="8906" name="Picture 8906"/>
                  <wp:cNvGraphicFramePr/>
                  <a:graphic xmlns:a="http://schemas.openxmlformats.org/drawingml/2006/main">
                    <a:graphicData uri="http://schemas.openxmlformats.org/drawingml/2006/picture">
                      <pic:pic xmlns:pic="http://schemas.openxmlformats.org/drawingml/2006/picture">
                        <pic:nvPicPr>
                          <pic:cNvPr id="8906" name="Picture 8906"/>
                          <pic:cNvPicPr/>
                        </pic:nvPicPr>
                        <pic:blipFill>
                          <a:blip r:embed="rId34"/>
                          <a:stretch>
                            <a:fillRect/>
                          </a:stretch>
                        </pic:blipFill>
                        <pic:spPr>
                          <a:xfrm>
                            <a:off x="0" y="0"/>
                            <a:ext cx="1388364" cy="320040"/>
                          </a:xfrm>
                          <a:prstGeom prst="rect">
                            <a:avLst/>
                          </a:prstGeom>
                        </pic:spPr>
                      </pic:pic>
                    </a:graphicData>
                  </a:graphic>
                </wp:inline>
              </w:drawing>
            </w:r>
          </w:p>
          <w:p>
            <w:pPr>
              <w:pStyle w:val="137"/>
              <w:ind w:firstLine="480"/>
              <w:rPr>
                <w:rFonts w:hint="default" w:ascii="Times New Roman" w:hAnsi="Times New Roman" w:cs="Times New Roman"/>
              </w:rPr>
            </w:pPr>
            <w:r>
              <w:rPr>
                <w:rFonts w:hint="default" w:ascii="Times New Roman" w:hAnsi="Times New Roman" w:cs="Times New Roman"/>
              </w:rPr>
              <w:t>式中：</w:t>
            </w:r>
            <w:r>
              <w:rPr>
                <w:rFonts w:hint="default" w:ascii="Times New Roman" w:hAnsi="Times New Roman" w:eastAsia="Times New Roman" w:cs="Times New Roman"/>
              </w:rPr>
              <w:t>L</w:t>
            </w:r>
            <w:r>
              <w:rPr>
                <w:rFonts w:hint="default" w:ascii="Times New Roman" w:hAnsi="Times New Roman" w:eastAsia="Times New Roman" w:cs="Times New Roman"/>
                <w:vertAlign w:val="subscript"/>
              </w:rPr>
              <w:t>eq</w:t>
            </w:r>
            <w:r>
              <w:rPr>
                <w:rFonts w:hint="default" w:ascii="Times New Roman" w:hAnsi="Times New Roman" w:eastAsia="Times New Roman" w:cs="Times New Roman"/>
                <w:vertAlign w:val="subscript"/>
              </w:rPr>
              <w:tab/>
            </w:r>
            <w:r>
              <w:rPr>
                <w:rFonts w:hint="default" w:ascii="Times New Roman" w:hAnsi="Times New Roman" w:cs="Times New Roman"/>
              </w:rPr>
              <w:t>预测点的总等效声级，</w:t>
            </w:r>
            <w:r>
              <w:rPr>
                <w:rFonts w:hint="default" w:ascii="Times New Roman" w:hAnsi="Times New Roman" w:eastAsia="Times New Roman" w:cs="Times New Roman"/>
              </w:rPr>
              <w:t>dB(A)</w:t>
            </w:r>
            <w:r>
              <w:rPr>
                <w:rFonts w:hint="default" w:ascii="Times New Roman" w:hAnsi="Times New Roman" w:cs="Times New Roman"/>
              </w:rPr>
              <w:t>；</w:t>
            </w:r>
          </w:p>
          <w:p>
            <w:pPr>
              <w:pStyle w:val="137"/>
              <w:ind w:firstLine="480"/>
              <w:rPr>
                <w:rFonts w:hint="default" w:ascii="Times New Roman" w:hAnsi="Times New Roman" w:cs="Times New Roman"/>
              </w:rPr>
            </w:pPr>
            <w:r>
              <w:rPr>
                <w:rFonts w:hint="default" w:ascii="Times New Roman" w:hAnsi="Times New Roman" w:eastAsia="Times New Roman" w:cs="Times New Roman"/>
              </w:rPr>
              <w:t>L</w:t>
            </w:r>
            <w:r>
              <w:rPr>
                <w:rFonts w:hint="default" w:ascii="Times New Roman" w:hAnsi="Times New Roman" w:eastAsia="Times New Roman" w:cs="Times New Roman"/>
                <w:vertAlign w:val="subscript"/>
              </w:rPr>
              <w:t xml:space="preserve">i </w:t>
            </w:r>
            <w:r>
              <w:rPr>
                <w:rFonts w:hint="default" w:ascii="Times New Roman" w:hAnsi="Times New Roman" w:cs="Times New Roman"/>
              </w:rPr>
              <w:t xml:space="preserve">第 </w:t>
            </w:r>
            <w:r>
              <w:rPr>
                <w:rFonts w:hint="default" w:ascii="Times New Roman" w:hAnsi="Times New Roman" w:eastAsia="Times New Roman" w:cs="Times New Roman"/>
              </w:rPr>
              <w:t xml:space="preserve">i </w:t>
            </w:r>
            <w:r>
              <w:rPr>
                <w:rFonts w:hint="default" w:ascii="Times New Roman" w:hAnsi="Times New Roman" w:cs="Times New Roman"/>
              </w:rPr>
              <w:t>个声源对预测点的声级影响，</w:t>
            </w:r>
            <w:r>
              <w:rPr>
                <w:rFonts w:hint="default" w:ascii="Times New Roman" w:hAnsi="Times New Roman" w:eastAsia="Times New Roman" w:cs="Times New Roman"/>
              </w:rPr>
              <w:t>dB(A)</w:t>
            </w:r>
            <w:r>
              <w:rPr>
                <w:rFonts w:hint="default" w:ascii="Times New Roman" w:hAnsi="Times New Roman" w:cs="Times New Roman"/>
              </w:rPr>
              <w:t>。</w:t>
            </w:r>
          </w:p>
          <w:p>
            <w:pPr>
              <w:pStyle w:val="137"/>
              <w:ind w:firstLine="480"/>
              <w:rPr>
                <w:rFonts w:hint="default" w:ascii="Times New Roman" w:hAnsi="Times New Roman" w:cs="Times New Roman"/>
              </w:rPr>
            </w:pPr>
            <w:r>
              <w:rPr>
                <w:rFonts w:hint="default" w:ascii="Times New Roman" w:hAnsi="Times New Roman" w:cs="Times New Roman"/>
              </w:rPr>
              <w:t>为预测项目噪声源对周围声环境的影响情况，首先预测噪声源随距离的衰减，然后将噪声源产生的噪声值与区域噪声背景值叠加，即可以预测不同距离的噪声值。叠加公式为：</w:t>
            </w:r>
          </w:p>
          <w:p>
            <w:pPr>
              <w:spacing w:after="189"/>
              <w:ind w:left="439"/>
              <w:jc w:val="center"/>
              <w:rPr>
                <w:rFonts w:hint="default" w:ascii="Times New Roman" w:hAnsi="Times New Roman" w:cs="Times New Roman"/>
              </w:rPr>
            </w:pPr>
            <w:r>
              <w:rPr>
                <w:rFonts w:hint="default" w:ascii="Times New Roman" w:hAnsi="Times New Roman" w:cs="Times New Roman"/>
              </w:rPr>
              <w:drawing>
                <wp:inline distT="0" distB="0" distL="0" distR="0">
                  <wp:extent cx="1784350" cy="280035"/>
                  <wp:effectExtent l="0" t="0" r="0" b="0"/>
                  <wp:docPr id="8925" name="Picture 8925"/>
                  <wp:cNvGraphicFramePr/>
                  <a:graphic xmlns:a="http://schemas.openxmlformats.org/drawingml/2006/main">
                    <a:graphicData uri="http://schemas.openxmlformats.org/drawingml/2006/picture">
                      <pic:pic xmlns:pic="http://schemas.openxmlformats.org/drawingml/2006/picture">
                        <pic:nvPicPr>
                          <pic:cNvPr id="8925" name="Picture 8925"/>
                          <pic:cNvPicPr/>
                        </pic:nvPicPr>
                        <pic:blipFill>
                          <a:blip r:embed="rId35"/>
                          <a:stretch>
                            <a:fillRect/>
                          </a:stretch>
                        </pic:blipFill>
                        <pic:spPr>
                          <a:xfrm>
                            <a:off x="0" y="0"/>
                            <a:ext cx="1784604" cy="280416"/>
                          </a:xfrm>
                          <a:prstGeom prst="rect">
                            <a:avLst/>
                          </a:prstGeom>
                        </pic:spPr>
                      </pic:pic>
                    </a:graphicData>
                  </a:graphic>
                </wp:inline>
              </w:drawing>
            </w:r>
          </w:p>
          <w:p>
            <w:pPr>
              <w:pStyle w:val="137"/>
              <w:ind w:firstLine="480"/>
              <w:rPr>
                <w:rFonts w:hint="default" w:ascii="Times New Roman" w:hAnsi="Times New Roman" w:cs="Times New Roman"/>
              </w:rPr>
            </w:pPr>
            <w:r>
              <w:rPr>
                <w:rFonts w:hint="default" w:ascii="Times New Roman" w:hAnsi="Times New Roman" w:cs="Times New Roman"/>
              </w:rPr>
              <w:t xml:space="preserve">式中： </w:t>
            </w:r>
            <w:r>
              <w:rPr>
                <w:rFonts w:hint="default" w:ascii="Times New Roman" w:hAnsi="Times New Roman" w:eastAsia="Times New Roman" w:cs="Times New Roman"/>
              </w:rPr>
              <w:t>L</w:t>
            </w:r>
            <w:r>
              <w:rPr>
                <w:rFonts w:hint="default" w:ascii="Times New Roman" w:hAnsi="Times New Roman" w:eastAsia="Times New Roman" w:cs="Times New Roman"/>
                <w:vertAlign w:val="subscript"/>
              </w:rPr>
              <w:t>eq</w:t>
            </w:r>
            <w:r>
              <w:rPr>
                <w:rFonts w:hint="default" w:ascii="Times New Roman" w:hAnsi="Times New Roman" w:cs="Times New Roman"/>
              </w:rPr>
              <w:t>噪声源噪声与背景噪声叠加值；</w:t>
            </w:r>
          </w:p>
          <w:p>
            <w:pPr>
              <w:pStyle w:val="137"/>
              <w:ind w:firstLine="480"/>
              <w:rPr>
                <w:rFonts w:hint="default" w:ascii="Times New Roman" w:hAnsi="Times New Roman" w:cs="Times New Roman"/>
              </w:rPr>
            </w:pPr>
            <w:r>
              <w:rPr>
                <w:rFonts w:hint="default" w:ascii="Times New Roman" w:hAnsi="Times New Roman" w:eastAsia="Times New Roman" w:cs="Times New Roman"/>
              </w:rPr>
              <w:t>L</w:t>
            </w:r>
            <w:r>
              <w:rPr>
                <w:rFonts w:hint="default" w:ascii="Times New Roman" w:hAnsi="Times New Roman" w:eastAsia="Times New Roman" w:cs="Times New Roman"/>
                <w:vertAlign w:val="subscript"/>
              </w:rPr>
              <w:t>1</w:t>
            </w:r>
            <w:r>
              <w:rPr>
                <w:rFonts w:hint="default" w:ascii="Times New Roman" w:hAnsi="Times New Roman" w:cs="Times New Roman"/>
              </w:rPr>
              <w:t>为背景噪声，</w:t>
            </w:r>
            <w:r>
              <w:rPr>
                <w:rFonts w:hint="default" w:ascii="Times New Roman" w:hAnsi="Times New Roman" w:eastAsia="Times New Roman" w:cs="Times New Roman"/>
              </w:rPr>
              <w:t>L</w:t>
            </w:r>
            <w:r>
              <w:rPr>
                <w:rFonts w:hint="default" w:ascii="Times New Roman" w:hAnsi="Times New Roman" w:eastAsia="Times New Roman" w:cs="Times New Roman"/>
                <w:vertAlign w:val="subscript"/>
              </w:rPr>
              <w:t xml:space="preserve">2 </w:t>
            </w:r>
            <w:r>
              <w:rPr>
                <w:rFonts w:hint="default" w:ascii="Times New Roman" w:hAnsi="Times New Roman" w:cs="Times New Roman"/>
              </w:rPr>
              <w:t>为噪声源影响值。</w:t>
            </w:r>
          </w:p>
          <w:p>
            <w:pPr>
              <w:pStyle w:val="137"/>
              <w:ind w:firstLine="480"/>
              <w:rPr>
                <w:rFonts w:hint="default" w:ascii="Times New Roman" w:hAnsi="Times New Roman" w:cs="Times New Roman"/>
              </w:rPr>
            </w:pPr>
            <w:r>
              <w:rPr>
                <w:rFonts w:hint="default" w:ascii="Times New Roman" w:hAnsi="Times New Roman" w:eastAsia="Times New Roman" w:cs="Times New Roman"/>
              </w:rPr>
              <w:t>2</w:t>
            </w:r>
            <w:r>
              <w:rPr>
                <w:rFonts w:hint="default" w:ascii="Times New Roman" w:hAnsi="Times New Roman" w:cs="Times New Roman"/>
              </w:rPr>
              <w:t>、预测结果</w:t>
            </w:r>
          </w:p>
          <w:p>
            <w:pPr>
              <w:pStyle w:val="137"/>
              <w:ind w:firstLine="480"/>
              <w:rPr>
                <w:rFonts w:hint="default" w:ascii="Times New Roman" w:hAnsi="Times New Roman" w:eastAsia="Times New Roman" w:cs="Times New Roman"/>
              </w:rPr>
            </w:pPr>
            <w:r>
              <w:rPr>
                <w:rFonts w:hint="default" w:ascii="Times New Roman" w:hAnsi="Times New Roman" w:cs="Times New Roman"/>
              </w:rPr>
              <w:t>各个设备噪声源强及经过治理措施后的噪声源强见</w:t>
            </w:r>
            <w:r>
              <w:rPr>
                <w:rFonts w:hint="default" w:ascii="Times New Roman" w:hAnsi="Times New Roman" w:cs="Times New Roman"/>
              </w:rPr>
              <w:fldChar w:fldCharType="begin"/>
            </w:r>
            <w:r>
              <w:rPr>
                <w:rFonts w:hint="default" w:ascii="Times New Roman" w:hAnsi="Times New Roman" w:cs="Times New Roman"/>
              </w:rPr>
              <w:instrText xml:space="preserve"> REF _Ref45530621 \h </w:instrText>
            </w:r>
            <w:r>
              <w:rPr>
                <w:rFonts w:hint="default" w:ascii="Times New Roman" w:hAnsi="Times New Roman" w:cs="Times New Roman"/>
              </w:rPr>
              <w:fldChar w:fldCharType="separate"/>
            </w:r>
            <w:r>
              <w:rPr>
                <w:rFonts w:hint="default" w:ascii="Times New Roman" w:hAnsi="Times New Roman" w:cs="Times New Roman"/>
              </w:rPr>
              <w:t>表 42</w:t>
            </w:r>
            <w:r>
              <w:rPr>
                <w:rFonts w:hint="default" w:ascii="Times New Roman" w:hAnsi="Times New Roman" w:cs="Times New Roman"/>
              </w:rPr>
              <w:fldChar w:fldCharType="end"/>
            </w:r>
            <w:r>
              <w:rPr>
                <w:rFonts w:hint="default" w:ascii="Times New Roman" w:hAnsi="Times New Roman" w:cs="Times New Roman"/>
              </w:rPr>
              <w:t>，预测分析结果见表</w:t>
            </w:r>
            <w:r>
              <w:rPr>
                <w:rFonts w:hint="default" w:ascii="Times New Roman" w:hAnsi="Times New Roman" w:eastAsia="Times New Roman" w:cs="Times New Roman"/>
              </w:rPr>
              <w:fldChar w:fldCharType="begin"/>
            </w:r>
            <w:r>
              <w:rPr>
                <w:rFonts w:hint="default" w:ascii="Times New Roman" w:hAnsi="Times New Roman" w:cs="Times New Roman"/>
              </w:rPr>
              <w:instrText xml:space="preserve"> REF _Ref45530611 \h </w:instrText>
            </w:r>
            <w:r>
              <w:rPr>
                <w:rFonts w:hint="default" w:ascii="Times New Roman" w:hAnsi="Times New Roman" w:eastAsia="Times New Roman" w:cs="Times New Roman"/>
              </w:rPr>
              <w:fldChar w:fldCharType="separate"/>
            </w:r>
            <w:r>
              <w:rPr>
                <w:rFonts w:hint="default" w:ascii="Times New Roman" w:hAnsi="Times New Roman" w:cs="Times New Roman"/>
              </w:rPr>
              <w:t>表 43</w:t>
            </w:r>
            <w:r>
              <w:rPr>
                <w:rFonts w:hint="default" w:ascii="Times New Roman" w:hAnsi="Times New Roman" w:eastAsia="Times New Roman" w:cs="Times New Roman"/>
              </w:rPr>
              <w:fldChar w:fldCharType="end"/>
            </w:r>
            <w:r>
              <w:rPr>
                <w:rFonts w:hint="default" w:ascii="Times New Roman" w:hAnsi="Times New Roman" w:cs="Times New Roman"/>
              </w:rPr>
              <w:t>。</w:t>
            </w:r>
          </w:p>
          <w:p>
            <w:pPr>
              <w:pStyle w:val="143"/>
              <w:spacing w:before="156"/>
              <w:rPr>
                <w:rFonts w:hint="default" w:ascii="Times New Roman" w:hAnsi="Times New Roman" w:cs="Times New Roman"/>
              </w:rPr>
            </w:pPr>
            <w:bookmarkStart w:id="42" w:name="_Ref45530621"/>
          </w:p>
          <w:p>
            <w:pPr>
              <w:pStyle w:val="143"/>
              <w:spacing w:before="156"/>
              <w:rPr>
                <w:rFonts w:hint="default" w:ascii="Times New Roman" w:hAnsi="Times New Roman" w:cs="Times New Roman"/>
              </w:rPr>
            </w:pPr>
            <w:r>
              <w:rPr>
                <w:rFonts w:hint="default" w:ascii="Times New Roman" w:hAnsi="Times New Roman" w:cs="Times New Roman"/>
              </w:rPr>
              <w:t>表</w:t>
            </w:r>
            <w:bookmarkEnd w:id="42"/>
            <w:r>
              <w:rPr>
                <w:rFonts w:hint="eastAsia" w:cs="Times New Roman"/>
                <w:lang w:val="en-US" w:eastAsia="zh-CN"/>
              </w:rPr>
              <w:t>7-14</w:t>
            </w:r>
            <w:r>
              <w:rPr>
                <w:rFonts w:hint="default" w:ascii="Times New Roman" w:hAnsi="Times New Roman" w:cs="Times New Roman"/>
                <w:snapToGrid w:val="0"/>
              </w:rPr>
              <w:t xml:space="preserve"> </w:t>
            </w:r>
            <w:r>
              <w:rPr>
                <w:rFonts w:hint="default" w:ascii="Times New Roman" w:hAnsi="Times New Roman" w:eastAsia="Times New Roman" w:cs="Times New Roman"/>
              </w:rPr>
              <w:t xml:space="preserve"> </w:t>
            </w:r>
            <w:r>
              <w:rPr>
                <w:rFonts w:hint="default" w:ascii="Times New Roman" w:hAnsi="Times New Roman" w:cs="Times New Roman"/>
              </w:rPr>
              <w:t>高噪声设备具体治理措施及效果 单位：</w:t>
            </w:r>
            <w:r>
              <w:rPr>
                <w:rFonts w:hint="default" w:ascii="Times New Roman" w:hAnsi="Times New Roman" w:eastAsia="Times New Roman" w:cs="Times New Roman"/>
              </w:rPr>
              <w:t>dB</w:t>
            </w:r>
            <w:r>
              <w:rPr>
                <w:rFonts w:hint="default" w:ascii="Times New Roman" w:hAnsi="Times New Roman" w:cs="Times New Roman"/>
              </w:rPr>
              <w:t>（</w:t>
            </w:r>
            <w:r>
              <w:rPr>
                <w:rFonts w:hint="default" w:ascii="Times New Roman" w:hAnsi="Times New Roman" w:eastAsia="Times New Roman" w:cs="Times New Roman"/>
              </w:rPr>
              <w:t>A</w:t>
            </w:r>
            <w:r>
              <w:rPr>
                <w:rFonts w:hint="default" w:ascii="Times New Roman" w:hAnsi="Times New Roman" w:cs="Times New Roman"/>
              </w:rPr>
              <w:t>）</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419"/>
              <w:gridCol w:w="1274"/>
              <w:gridCol w:w="2552"/>
              <w:gridCol w:w="1276"/>
              <w:gridCol w:w="1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393"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序号</w:t>
                  </w:r>
                </w:p>
              </w:tc>
              <w:tc>
                <w:tcPr>
                  <w:tcW w:w="793"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污染源名称</w:t>
                  </w:r>
                </w:p>
              </w:tc>
              <w:tc>
                <w:tcPr>
                  <w:tcW w:w="712"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治理前源强</w:t>
                  </w:r>
                </w:p>
              </w:tc>
              <w:tc>
                <w:tcPr>
                  <w:tcW w:w="1426"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治理措施</w:t>
                  </w:r>
                </w:p>
              </w:tc>
              <w:tc>
                <w:tcPr>
                  <w:tcW w:w="713"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治理后源强</w:t>
                  </w:r>
                </w:p>
              </w:tc>
              <w:tc>
                <w:tcPr>
                  <w:tcW w:w="963"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噪声叠加值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393"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1</w:t>
                  </w:r>
                </w:p>
              </w:tc>
              <w:tc>
                <w:tcPr>
                  <w:tcW w:w="793"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备用发电机</w:t>
                  </w:r>
                </w:p>
              </w:tc>
              <w:tc>
                <w:tcPr>
                  <w:tcW w:w="712"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80</w:t>
                  </w:r>
                </w:p>
              </w:tc>
              <w:tc>
                <w:tcPr>
                  <w:tcW w:w="1426"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放置在室内，加设防振垫</w:t>
                  </w:r>
                </w:p>
              </w:tc>
              <w:tc>
                <w:tcPr>
                  <w:tcW w:w="713"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40</w:t>
                  </w:r>
                </w:p>
              </w:tc>
              <w:tc>
                <w:tcPr>
                  <w:tcW w:w="963" w:type="pct"/>
                  <w:vMerge w:val="restar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393"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2</w:t>
                  </w:r>
                </w:p>
              </w:tc>
              <w:tc>
                <w:tcPr>
                  <w:tcW w:w="793"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车辆交通</w:t>
                  </w:r>
                </w:p>
              </w:tc>
              <w:tc>
                <w:tcPr>
                  <w:tcW w:w="712"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60-75</w:t>
                  </w:r>
                </w:p>
              </w:tc>
              <w:tc>
                <w:tcPr>
                  <w:tcW w:w="1426"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限速，禁鸣喇叭</w:t>
                  </w:r>
                </w:p>
              </w:tc>
              <w:tc>
                <w:tcPr>
                  <w:tcW w:w="713" w:type="pct"/>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45</w:t>
                  </w:r>
                </w:p>
              </w:tc>
              <w:tc>
                <w:tcPr>
                  <w:tcW w:w="963" w:type="pct"/>
                  <w:vMerge w:val="continue"/>
                  <w:vAlign w:val="center"/>
                </w:tcPr>
                <w:p>
                  <w:pPr>
                    <w:pStyle w:val="141"/>
                    <w:rPr>
                      <w:rFonts w:hint="default" w:ascii="Times New Roman" w:hAnsi="Times New Roman" w:eastAsia="等线" w:cs="Times New Roman"/>
                    </w:rPr>
                  </w:pPr>
                </w:p>
              </w:tc>
            </w:tr>
          </w:tbl>
          <w:p>
            <w:pPr>
              <w:pStyle w:val="143"/>
              <w:spacing w:before="156"/>
              <w:rPr>
                <w:rFonts w:hint="default" w:ascii="Times New Roman" w:hAnsi="Times New Roman" w:cs="Times New Roman"/>
              </w:rPr>
            </w:pPr>
            <w:bookmarkStart w:id="43" w:name="_Ref45530611"/>
            <w:r>
              <w:rPr>
                <w:rFonts w:hint="default" w:ascii="Times New Roman" w:hAnsi="Times New Roman" w:cs="Times New Roman"/>
              </w:rPr>
              <w:t>表</w:t>
            </w:r>
            <w:bookmarkEnd w:id="43"/>
            <w:r>
              <w:rPr>
                <w:rFonts w:hint="eastAsia" w:cs="Times New Roman"/>
                <w:lang w:val="en-US" w:eastAsia="zh-CN"/>
              </w:rPr>
              <w:t>7-15</w:t>
            </w:r>
            <w:r>
              <w:rPr>
                <w:rFonts w:hint="default" w:ascii="Times New Roman" w:hAnsi="Times New Roman" w:cs="Times New Roman"/>
                <w:snapToGrid w:val="0"/>
              </w:rPr>
              <w:t xml:space="preserve"> </w:t>
            </w:r>
            <w:r>
              <w:rPr>
                <w:rFonts w:hint="default" w:ascii="Times New Roman" w:hAnsi="Times New Roman" w:eastAsia="Times New Roman" w:cs="Times New Roman"/>
              </w:rPr>
              <w:t xml:space="preserve"> </w:t>
            </w:r>
            <w:r>
              <w:rPr>
                <w:rFonts w:hint="default" w:ascii="Times New Roman" w:hAnsi="Times New Roman" w:cs="Times New Roman"/>
              </w:rPr>
              <w:t>噪声预测分析</w:t>
            </w:r>
            <w:r>
              <w:rPr>
                <w:rFonts w:hint="default" w:ascii="Times New Roman" w:hAnsi="Times New Roman" w:cs="Times New Roman"/>
              </w:rPr>
              <w:tab/>
            </w:r>
            <w:r>
              <w:rPr>
                <w:rFonts w:hint="default" w:ascii="Times New Roman" w:hAnsi="Times New Roman" w:cs="Times New Roman"/>
              </w:rPr>
              <w:t>单位：</w:t>
            </w:r>
            <w:r>
              <w:rPr>
                <w:rFonts w:hint="default" w:ascii="Times New Roman" w:hAnsi="Times New Roman" w:eastAsia="Times New Roman" w:cs="Times New Roman"/>
              </w:rPr>
              <w:t>dB</w:t>
            </w:r>
            <w:r>
              <w:rPr>
                <w:rFonts w:hint="default" w:ascii="Times New Roman" w:hAnsi="Times New Roman" w:cs="Times New Roman"/>
              </w:rPr>
              <w:t>（</w:t>
            </w:r>
            <w:r>
              <w:rPr>
                <w:rFonts w:hint="default" w:ascii="Times New Roman" w:hAnsi="Times New Roman" w:eastAsia="Times New Roman" w:cs="Times New Roman"/>
              </w:rPr>
              <w:t>A</w:t>
            </w:r>
            <w:r>
              <w:rPr>
                <w:rFonts w:hint="default" w:ascii="Times New Roman" w:hAnsi="Times New Roman" w:cs="Times New Roman"/>
              </w:rPr>
              <w:t>）</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9"/>
              <w:gridCol w:w="1789"/>
              <w:gridCol w:w="1790"/>
              <w:gridCol w:w="1790"/>
              <w:gridCol w:w="1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000" w:type="pct"/>
                  <w:vMerge w:val="restar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预测点</w:t>
                  </w:r>
                </w:p>
              </w:tc>
              <w:tc>
                <w:tcPr>
                  <w:tcW w:w="1000" w:type="pct"/>
                  <w:vMerge w:val="restar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声源与厂界或敏感点的距离</w:t>
                  </w:r>
                </w:p>
              </w:tc>
              <w:tc>
                <w:tcPr>
                  <w:tcW w:w="1000" w:type="pct"/>
                  <w:vMerge w:val="restar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声源影响增加值</w:t>
                  </w:r>
                </w:p>
              </w:tc>
              <w:tc>
                <w:tcPr>
                  <w:tcW w:w="2000" w:type="pct"/>
                  <w:gridSpan w:val="2"/>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00" w:type="pct"/>
                  <w:vMerge w:val="continue"/>
                  <w:vAlign w:val="center"/>
                </w:tcPr>
                <w:p>
                  <w:pPr>
                    <w:pStyle w:val="141"/>
                    <w:rPr>
                      <w:rFonts w:hint="default" w:ascii="Times New Roman" w:hAnsi="Times New Roman" w:cs="Times New Roman"/>
                    </w:rPr>
                  </w:pPr>
                </w:p>
              </w:tc>
              <w:tc>
                <w:tcPr>
                  <w:tcW w:w="1000" w:type="pct"/>
                  <w:vMerge w:val="continue"/>
                  <w:vAlign w:val="center"/>
                </w:tcPr>
                <w:p>
                  <w:pPr>
                    <w:pStyle w:val="141"/>
                    <w:rPr>
                      <w:rFonts w:hint="default" w:ascii="Times New Roman" w:hAnsi="Times New Roman" w:cs="Times New Roman"/>
                    </w:rPr>
                  </w:pPr>
                </w:p>
              </w:tc>
              <w:tc>
                <w:tcPr>
                  <w:tcW w:w="1000" w:type="pct"/>
                  <w:vMerge w:val="continue"/>
                  <w:vAlign w:val="center"/>
                </w:tcPr>
                <w:p>
                  <w:pPr>
                    <w:pStyle w:val="141"/>
                    <w:rPr>
                      <w:rFonts w:hint="default" w:ascii="Times New Roman" w:hAnsi="Times New Roman" w:cs="Times New Roman"/>
                    </w:rPr>
                  </w:pP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昼间</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东面场界</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13m</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23.9</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60</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南面场界</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10m</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26.2</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60</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西面场界</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7m</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29.3</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60</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北面场界</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1m</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46.2</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60</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肖家村</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195m</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0.4</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60</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50</w:t>
                  </w:r>
                </w:p>
              </w:tc>
            </w:tr>
          </w:tbl>
          <w:p>
            <w:pPr>
              <w:pStyle w:val="137"/>
              <w:ind w:firstLine="480"/>
              <w:rPr>
                <w:rFonts w:hint="default" w:ascii="Times New Roman" w:hAnsi="Times New Roman" w:cs="Times New Roman"/>
              </w:rPr>
            </w:pPr>
            <w:r>
              <w:rPr>
                <w:rFonts w:hint="default" w:ascii="Times New Roman" w:hAnsi="Times New Roman" w:cs="Times New Roman"/>
              </w:rPr>
              <w:t>根据上表的噪声预测结果分析，厂内各噪声源经降噪、防噪处理后，传播至各厂界噪声预测点时，噪声值都有较大程度的衰减，声源到达四周场界噪声预测结果均可达到《工业企业厂界环境噪声排放标准》（GB12348-2008）中的 2 类标准。项目声源到达肖家村敏感点的噪声预测结果均可达到《声环境质量标准》（GB3096-2008）中 2 类（昼间≤60dB（A）、夜间≤50dB（A）），项目噪声对其影响不大。</w:t>
            </w:r>
          </w:p>
          <w:p>
            <w:pPr>
              <w:pStyle w:val="137"/>
              <w:ind w:firstLine="480"/>
              <w:rPr>
                <w:rFonts w:hint="default" w:ascii="Times New Roman" w:hAnsi="Times New Roman" w:cs="Times New Roman"/>
              </w:rPr>
            </w:pPr>
            <w:r>
              <w:rPr>
                <w:rFonts w:hint="default" w:ascii="Times New Roman" w:hAnsi="Times New Roman" w:cs="Times New Roman"/>
              </w:rPr>
              <w:t>为进一步优化项目区的声环境，将噪声的影响降低到最低，减少项目运行噪声对周围环境的影响，建设单位仍需要采取一些防治措施：</w:t>
            </w:r>
          </w:p>
          <w:p>
            <w:pPr>
              <w:pStyle w:val="137"/>
              <w:ind w:firstLine="480"/>
              <w:rPr>
                <w:rFonts w:hint="default" w:ascii="Times New Roman" w:hAnsi="Times New Roman" w:cs="Times New Roman"/>
              </w:rPr>
            </w:pPr>
            <w:r>
              <w:rPr>
                <w:rFonts w:hint="default" w:ascii="Times New Roman" w:hAnsi="Times New Roman" w:cs="Times New Roman"/>
              </w:rPr>
              <w:t>加强管理，禁止进入加油站加油的车辆鸣喇叭，严格管理车辆停靠顺序，尽量避免塞车现象，车辆加油时必须关闭引擎；槽车运送汽油、柴油的时间安排在白天进行，尽量减少夜间槽车运送、装卸过程中对周围环境的影响。</w:t>
            </w:r>
          </w:p>
          <w:p>
            <w:pPr>
              <w:pStyle w:val="137"/>
              <w:ind w:firstLine="480"/>
              <w:rPr>
                <w:rFonts w:hint="default" w:ascii="Times New Roman" w:hAnsi="Times New Roman" w:cs="Times New Roman"/>
              </w:rPr>
            </w:pPr>
            <w:r>
              <w:rPr>
                <w:rFonts w:hint="default" w:ascii="Times New Roman" w:hAnsi="Times New Roman" w:cs="Times New Roman"/>
              </w:rPr>
              <w:t>在加油泵的进、出口管线安装耐高压防振胶管，防止与加油泵连接的管线随加油泵的脉动一起振动，可防止泵上的压力仪器被振坏，同时也减少了加油泵和管线振动产生的噪声。</w:t>
            </w:r>
          </w:p>
          <w:p>
            <w:pPr>
              <w:pStyle w:val="137"/>
              <w:ind w:firstLine="480"/>
              <w:rPr>
                <w:rFonts w:hint="default" w:ascii="Times New Roman" w:hAnsi="Times New Roman" w:cs="Times New Roman"/>
              </w:rPr>
            </w:pPr>
            <w:r>
              <w:rPr>
                <w:rFonts w:hint="default" w:ascii="Times New Roman" w:hAnsi="Times New Roman" w:cs="Times New Roman"/>
              </w:rPr>
              <w:t>将发电机放在站房内，同时加强发电机日常维护与保养，保证机器的正常运转，在发电机底座加设防振垫。</w:t>
            </w:r>
          </w:p>
          <w:p>
            <w:pPr>
              <w:pStyle w:val="161"/>
              <w:rPr>
                <w:rFonts w:hint="default" w:ascii="Times New Roman" w:hAnsi="Times New Roman" w:cs="Times New Roman"/>
              </w:rPr>
            </w:pPr>
            <w:r>
              <w:rPr>
                <w:rFonts w:hint="default" w:ascii="Times New Roman" w:hAnsi="Times New Roman" w:cs="Times New Roman"/>
              </w:rPr>
              <w:t>五、固体废物环境影响分析</w:t>
            </w:r>
          </w:p>
          <w:p>
            <w:pPr>
              <w:pStyle w:val="137"/>
              <w:ind w:firstLine="480"/>
              <w:rPr>
                <w:rFonts w:hint="default" w:ascii="Times New Roman" w:hAnsi="Times New Roman" w:cs="Times New Roman"/>
              </w:rPr>
            </w:pPr>
            <w:r>
              <w:rPr>
                <w:rFonts w:hint="default" w:ascii="Times New Roman" w:hAnsi="Times New Roman" w:cs="Times New Roman"/>
              </w:rPr>
              <w:t>1、生活垃圾</w:t>
            </w:r>
          </w:p>
          <w:p>
            <w:pPr>
              <w:pStyle w:val="137"/>
              <w:ind w:firstLine="480"/>
              <w:rPr>
                <w:rFonts w:hint="default" w:ascii="Times New Roman" w:hAnsi="Times New Roman" w:cs="Times New Roman"/>
              </w:rPr>
            </w:pPr>
            <w:r>
              <w:rPr>
                <w:rFonts w:hint="default" w:ascii="Times New Roman" w:hAnsi="Times New Roman" w:cs="Times New Roman"/>
              </w:rPr>
              <w:t>生活垃圾主要成分是废纸、厨余、布类、皮革、瓜果皮核、饮料包装瓶等。厂区生活垃圾按指定地点堆放，并每日由环卫部门统一运往垃圾处理场作无害化处理，堆放点定期进行清洁消毒，杀灭害虫，以免发生恶臭、滋生蚊蝇等。</w:t>
            </w:r>
          </w:p>
          <w:p>
            <w:pPr>
              <w:pStyle w:val="137"/>
              <w:ind w:firstLine="480"/>
              <w:rPr>
                <w:rFonts w:hint="default" w:ascii="Times New Roman" w:hAnsi="Times New Roman" w:cs="Times New Roman"/>
              </w:rPr>
            </w:pPr>
            <w:r>
              <w:rPr>
                <w:rFonts w:hint="default" w:ascii="Times New Roman" w:hAnsi="Times New Roman" w:cs="Times New Roman"/>
              </w:rPr>
              <w:t>2、废含油抹布</w:t>
            </w:r>
          </w:p>
          <w:p>
            <w:pPr>
              <w:pStyle w:val="137"/>
              <w:ind w:firstLine="480"/>
              <w:rPr>
                <w:rFonts w:hint="default" w:ascii="Times New Roman" w:hAnsi="Times New Roman" w:cs="Times New Roman"/>
              </w:rPr>
            </w:pPr>
            <w:r>
              <w:rPr>
                <w:rFonts w:hint="default" w:ascii="Times New Roman" w:hAnsi="Times New Roman" w:cs="Times New Roman"/>
              </w:rPr>
              <w:t>根据《国家危险废物名录》（2016 年8 月1 日起施行），废弃含油抹布属于危险废物，危险废物类别为 HW49。</w:t>
            </w:r>
          </w:p>
          <w:p>
            <w:pPr>
              <w:pStyle w:val="137"/>
              <w:ind w:firstLine="480"/>
              <w:rPr>
                <w:rFonts w:hint="default" w:ascii="Times New Roman" w:hAnsi="Times New Roman" w:cs="Times New Roman"/>
              </w:rPr>
            </w:pPr>
            <w:r>
              <w:rPr>
                <w:rFonts w:hint="default" w:ascii="Times New Roman" w:hAnsi="Times New Roman" w:cs="Times New Roman"/>
              </w:rPr>
              <w:t>3、</w:t>
            </w:r>
            <w:r>
              <w:rPr>
                <w:rFonts w:hint="default" w:ascii="Times New Roman" w:hAnsi="Times New Roman" w:cs="Times New Roman"/>
              </w:rPr>
              <w:tab/>
            </w:r>
            <w:r>
              <w:rPr>
                <w:rFonts w:hint="default" w:ascii="Times New Roman" w:hAnsi="Times New Roman" w:cs="Times New Roman"/>
              </w:rPr>
              <w:t>危险废物</w:t>
            </w:r>
          </w:p>
          <w:p>
            <w:pPr>
              <w:pStyle w:val="137"/>
              <w:ind w:firstLine="480"/>
              <w:rPr>
                <w:rFonts w:hint="default" w:ascii="Times New Roman" w:hAnsi="Times New Roman" w:cs="Times New Roman"/>
              </w:rPr>
            </w:pPr>
            <w:r>
              <w:rPr>
                <w:rFonts w:hint="default" w:ascii="Times New Roman" w:hAnsi="Times New Roman" w:cs="Times New Roman"/>
              </w:rPr>
              <w:t>根据《国家危险废物名录》（2016 年8 月1 日起施行），废油及油泥属于危险废物，危险废物类别为 HW08，建设单位严格按照《危险废物转移联单管理办法》执行，委托有相关危险废物处理资质的单位收运处理。由于项目危险废物产生周期较长，隔油池及油罐清理前即联系相关单位处理，一产生就处理，不在站内设危险废物暂存场所。具体处理措施如下：①采用带卡箍盖钢圆桶或塑料桶盛装危险废物，盛装危险废物的容器和包装应清楚地标明内盛物的类别及危害说明，以及数量和装进日期，设置危险废物识别标志；②危险废物转移采取危险废物转移报告单制度，保证运输安全，防止非 法转移和非法处置，保证危险废物的安全监控，防止危险废物污染事故发生；③项目废油、油泥及废含油抹布由已取得相关危险废物处置资质的单位回收处置。</w:t>
            </w:r>
          </w:p>
          <w:p>
            <w:pPr>
              <w:pStyle w:val="137"/>
              <w:ind w:firstLine="480"/>
              <w:rPr>
                <w:rFonts w:hint="default" w:ascii="Times New Roman" w:hAnsi="Times New Roman" w:cs="Times New Roman"/>
              </w:rPr>
            </w:pPr>
            <w:r>
              <w:rPr>
                <w:rFonts w:hint="default" w:ascii="Times New Roman" w:hAnsi="Times New Roman" w:cs="Times New Roman"/>
              </w:rPr>
              <w:t>在落实上述环保措施的前提下，固体废物对周围环境的影响不大。</w:t>
            </w:r>
          </w:p>
          <w:p>
            <w:pPr>
              <w:pStyle w:val="161"/>
              <w:rPr>
                <w:rFonts w:hint="default" w:ascii="Times New Roman" w:hAnsi="Times New Roman" w:cs="Times New Roman"/>
              </w:rPr>
            </w:pPr>
            <w:r>
              <w:rPr>
                <w:rFonts w:hint="default" w:ascii="Times New Roman" w:hAnsi="Times New Roman" w:cs="Times New Roman"/>
              </w:rPr>
              <w:t>六、土壤环境影响分析</w:t>
            </w:r>
          </w:p>
          <w:p>
            <w:pPr>
              <w:pStyle w:val="137"/>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根据《环境影响评价技术导则-土壤环境(试行)》(HJ964-2018)附录 A 内容， 该项目为加油站属于Ⅲ类项目。污染影响项目土壤评价工作等级见</w:t>
            </w:r>
            <w:r>
              <w:rPr>
                <w:rFonts w:hint="eastAsia" w:cs="Times New Roman"/>
                <w:color w:val="000000" w:themeColor="text1"/>
                <w:lang w:val="en-US" w:eastAsia="zh-CN"/>
                <w14:textFill>
                  <w14:solidFill>
                    <w14:schemeClr w14:val="tx1"/>
                  </w14:solidFill>
                </w14:textFill>
              </w:rPr>
              <w:t>表7-16</w:t>
            </w:r>
            <w:r>
              <w:rPr>
                <w:rFonts w:hint="default" w:ascii="Times New Roman" w:hAnsi="Times New Roman" w:cs="Times New Roman"/>
                <w:color w:val="000000" w:themeColor="text1"/>
                <w14:textFill>
                  <w14:solidFill>
                    <w14:schemeClr w14:val="tx1"/>
                  </w14:solidFill>
                </w14:textFill>
              </w:rPr>
              <w:t>。</w:t>
            </w:r>
          </w:p>
          <w:p>
            <w:pPr>
              <w:pStyle w:val="143"/>
              <w:spacing w:before="156"/>
              <w:rPr>
                <w:rFonts w:hint="default" w:ascii="Times New Roman" w:hAnsi="Times New Roman" w:cs="Times New Roman"/>
                <w:color w:val="000000" w:themeColor="text1"/>
                <w14:textFill>
                  <w14:solidFill>
                    <w14:schemeClr w14:val="tx1"/>
                  </w14:solidFill>
                </w14:textFill>
              </w:rPr>
            </w:pPr>
            <w:bookmarkStart w:id="44" w:name="_Ref45547093"/>
            <w:r>
              <w:rPr>
                <w:rFonts w:hint="default" w:ascii="Times New Roman" w:hAnsi="Times New Roman" w:cs="Times New Roman"/>
                <w:color w:val="000000" w:themeColor="text1"/>
                <w14:textFill>
                  <w14:solidFill>
                    <w14:schemeClr w14:val="tx1"/>
                  </w14:solidFill>
                </w14:textFill>
              </w:rPr>
              <w:t>表</w:t>
            </w:r>
            <w:bookmarkEnd w:id="44"/>
            <w:r>
              <w:rPr>
                <w:rFonts w:hint="eastAsia" w:cs="Times New Roman"/>
                <w:color w:val="000000" w:themeColor="text1"/>
                <w:lang w:val="en-US" w:eastAsia="zh-CN"/>
                <w14:textFill>
                  <w14:solidFill>
                    <w14:schemeClr w14:val="tx1"/>
                  </w14:solidFill>
                </w14:textFill>
              </w:rPr>
              <w:t>7-16</w:t>
            </w:r>
            <w:r>
              <w:rPr>
                <w:rFonts w:hint="default" w:ascii="Times New Roman" w:hAnsi="Times New Roman" w:cs="Times New Roman"/>
                <w:color w:val="000000" w:themeColor="text1"/>
                <w14:textFill>
                  <w14:solidFill>
                    <w14:schemeClr w14:val="tx1"/>
                  </w14:solidFill>
                </w14:textFill>
              </w:rPr>
              <w:t xml:space="preserve">  污染影响型评价工作等级划分表</w:t>
            </w:r>
          </w:p>
          <w:tbl>
            <w:tblPr>
              <w:tblStyle w:val="30"/>
              <w:tblW w:w="894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51"/>
              <w:gridCol w:w="821"/>
              <w:gridCol w:w="794"/>
              <w:gridCol w:w="845"/>
              <w:gridCol w:w="843"/>
              <w:gridCol w:w="845"/>
              <w:gridCol w:w="704"/>
              <w:gridCol w:w="704"/>
              <w:gridCol w:w="847"/>
              <w:gridCol w:w="7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78" w:type="pct"/>
                  <w:vMerge w:val="restart"/>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敏感程度</w:t>
                  </w:r>
                </w:p>
              </w:tc>
              <w:tc>
                <w:tcPr>
                  <w:tcW w:w="4021" w:type="pct"/>
                  <w:gridSpan w:val="9"/>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行业类别的占地规模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78" w:type="pct"/>
                  <w:vMerge w:val="continue"/>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1374" w:type="pct"/>
                  <w:gridSpan w:val="3"/>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Ⅰ类</w:t>
                  </w:r>
                </w:p>
              </w:tc>
              <w:tc>
                <w:tcPr>
                  <w:tcW w:w="1336" w:type="pct"/>
                  <w:gridSpan w:val="3"/>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Ⅱ类</w:t>
                  </w:r>
                </w:p>
              </w:tc>
              <w:tc>
                <w:tcPr>
                  <w:tcW w:w="1310" w:type="pct"/>
                  <w:gridSpan w:val="3"/>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Ⅲ类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78" w:type="pct"/>
                  <w:vMerge w:val="continue"/>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p>
              </w:tc>
              <w:tc>
                <w:tcPr>
                  <w:tcW w:w="458" w:type="pct"/>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大</w:t>
                  </w:r>
                </w:p>
              </w:tc>
              <w:tc>
                <w:tcPr>
                  <w:tcW w:w="443" w:type="pct"/>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中</w:t>
                  </w:r>
                </w:p>
              </w:tc>
              <w:tc>
                <w:tcPr>
                  <w:tcW w:w="472" w:type="pct"/>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小</w:t>
                  </w:r>
                </w:p>
              </w:tc>
              <w:tc>
                <w:tcPr>
                  <w:tcW w:w="471" w:type="pct"/>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大</w:t>
                  </w:r>
                </w:p>
              </w:tc>
              <w:tc>
                <w:tcPr>
                  <w:tcW w:w="472" w:type="pct"/>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中</w:t>
                  </w:r>
                </w:p>
              </w:tc>
              <w:tc>
                <w:tcPr>
                  <w:tcW w:w="393" w:type="pct"/>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小</w:t>
                  </w:r>
                </w:p>
              </w:tc>
              <w:tc>
                <w:tcPr>
                  <w:tcW w:w="393" w:type="pct"/>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大</w:t>
                  </w:r>
                </w:p>
              </w:tc>
              <w:tc>
                <w:tcPr>
                  <w:tcW w:w="473" w:type="pct"/>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中</w:t>
                  </w:r>
                </w:p>
              </w:tc>
              <w:tc>
                <w:tcPr>
                  <w:tcW w:w="444" w:type="pct"/>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78" w:type="pct"/>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敏感</w:t>
                  </w:r>
                </w:p>
              </w:tc>
              <w:tc>
                <w:tcPr>
                  <w:tcW w:w="458"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一级</w:t>
                  </w:r>
                </w:p>
              </w:tc>
              <w:tc>
                <w:tcPr>
                  <w:tcW w:w="443"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一级</w:t>
                  </w:r>
                </w:p>
              </w:tc>
              <w:tc>
                <w:tcPr>
                  <w:tcW w:w="472" w:type="pct"/>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一级</w:t>
                  </w:r>
                </w:p>
              </w:tc>
              <w:tc>
                <w:tcPr>
                  <w:tcW w:w="471" w:type="pct"/>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二级</w:t>
                  </w:r>
                </w:p>
              </w:tc>
              <w:tc>
                <w:tcPr>
                  <w:tcW w:w="472" w:type="pct"/>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二级</w:t>
                  </w:r>
                </w:p>
              </w:tc>
              <w:tc>
                <w:tcPr>
                  <w:tcW w:w="393" w:type="pct"/>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二级</w:t>
                  </w:r>
                </w:p>
              </w:tc>
              <w:tc>
                <w:tcPr>
                  <w:tcW w:w="393" w:type="pct"/>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三级</w:t>
                  </w:r>
                </w:p>
              </w:tc>
              <w:tc>
                <w:tcPr>
                  <w:tcW w:w="473" w:type="pct"/>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三级</w:t>
                  </w:r>
                </w:p>
              </w:tc>
              <w:tc>
                <w:tcPr>
                  <w:tcW w:w="444" w:type="pct"/>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78" w:type="pct"/>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较敏感</w:t>
                  </w:r>
                </w:p>
              </w:tc>
              <w:tc>
                <w:tcPr>
                  <w:tcW w:w="458" w:type="pct"/>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一级</w:t>
                  </w:r>
                </w:p>
              </w:tc>
              <w:tc>
                <w:tcPr>
                  <w:tcW w:w="443" w:type="pct"/>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一级</w:t>
                  </w:r>
                </w:p>
              </w:tc>
              <w:tc>
                <w:tcPr>
                  <w:tcW w:w="472" w:type="pct"/>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二级</w:t>
                  </w:r>
                </w:p>
              </w:tc>
              <w:tc>
                <w:tcPr>
                  <w:tcW w:w="471"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二级</w:t>
                  </w:r>
                </w:p>
              </w:tc>
              <w:tc>
                <w:tcPr>
                  <w:tcW w:w="472" w:type="pct"/>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二级</w:t>
                  </w:r>
                </w:p>
              </w:tc>
              <w:tc>
                <w:tcPr>
                  <w:tcW w:w="393" w:type="pct"/>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三级</w:t>
                  </w:r>
                </w:p>
              </w:tc>
              <w:tc>
                <w:tcPr>
                  <w:tcW w:w="393" w:type="pct"/>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三级</w:t>
                  </w:r>
                </w:p>
              </w:tc>
              <w:tc>
                <w:tcPr>
                  <w:tcW w:w="473" w:type="pct"/>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三级</w:t>
                  </w:r>
                </w:p>
              </w:tc>
              <w:tc>
                <w:tcPr>
                  <w:tcW w:w="444" w:type="pct"/>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78" w:type="pct"/>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不敏感</w:t>
                  </w:r>
                </w:p>
              </w:tc>
              <w:tc>
                <w:tcPr>
                  <w:tcW w:w="458"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一级</w:t>
                  </w:r>
                </w:p>
              </w:tc>
              <w:tc>
                <w:tcPr>
                  <w:tcW w:w="443" w:type="pct"/>
                  <w:tcBorders>
                    <w:tl2br w:val="nil"/>
                    <w:tr2bl w:val="nil"/>
                  </w:tcBorders>
                  <w:shd w:val="clear" w:color="auto" w:fill="auto"/>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二级</w:t>
                  </w:r>
                </w:p>
              </w:tc>
              <w:tc>
                <w:tcPr>
                  <w:tcW w:w="472" w:type="pct"/>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二级</w:t>
                  </w:r>
                </w:p>
              </w:tc>
              <w:tc>
                <w:tcPr>
                  <w:tcW w:w="471" w:type="pct"/>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二级</w:t>
                  </w:r>
                </w:p>
              </w:tc>
              <w:tc>
                <w:tcPr>
                  <w:tcW w:w="472" w:type="pct"/>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三级</w:t>
                  </w:r>
                </w:p>
              </w:tc>
              <w:tc>
                <w:tcPr>
                  <w:tcW w:w="393" w:type="pct"/>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三级</w:t>
                  </w:r>
                </w:p>
              </w:tc>
              <w:tc>
                <w:tcPr>
                  <w:tcW w:w="393" w:type="pct"/>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三级</w:t>
                  </w:r>
                </w:p>
              </w:tc>
              <w:tc>
                <w:tcPr>
                  <w:tcW w:w="473" w:type="pct"/>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444" w:type="pct"/>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00" w:type="pct"/>
                  <w:gridSpan w:val="10"/>
                  <w:tcBorders>
                    <w:tl2br w:val="nil"/>
                    <w:tr2bl w:val="nil"/>
                  </w:tcBorders>
                  <w:vAlign w:val="center"/>
                </w:tcPr>
                <w:p>
                  <w:pPr>
                    <w:pStyle w:val="141"/>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注：“/”表示可不开展土壤环境影响评价工作。</w:t>
                  </w:r>
                </w:p>
              </w:tc>
            </w:tr>
          </w:tbl>
          <w:p>
            <w:pPr>
              <w:pStyle w:val="137"/>
              <w:ind w:firstLine="480"/>
              <w:rPr>
                <w:rFonts w:hint="default" w:ascii="Times New Roman" w:hAnsi="Times New Roman" w:cs="Times New Roman"/>
                <w:color w:val="000000" w:themeColor="text1"/>
                <w14:textFill>
                  <w14:solidFill>
                    <w14:schemeClr w14:val="tx1"/>
                  </w14:solidFill>
                </w14:textFill>
              </w:rPr>
            </w:pPr>
          </w:p>
          <w:p>
            <w:pPr>
              <w:pStyle w:val="137"/>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项目距离最近的土壤环境敏感目标为项目北面约</w:t>
            </w:r>
            <w:r>
              <w:rPr>
                <w:rFonts w:hint="default" w:ascii="Times New Roman" w:hAnsi="Times New Roman" w:eastAsia="Times New Roman" w:cs="Times New Roman"/>
                <w:color w:val="000000" w:themeColor="text1"/>
                <w14:textFill>
                  <w14:solidFill>
                    <w14:schemeClr w14:val="tx1"/>
                  </w14:solidFill>
                </w14:textFill>
              </w:rPr>
              <w:t>195m</w:t>
            </w:r>
            <w:r>
              <w:rPr>
                <w:rFonts w:hint="default" w:ascii="Times New Roman" w:hAnsi="Times New Roman" w:cs="Times New Roman"/>
                <w:color w:val="000000" w:themeColor="text1"/>
                <w14:textFill>
                  <w14:solidFill>
                    <w14:schemeClr w14:val="tx1"/>
                  </w14:solidFill>
                </w14:textFill>
              </w:rPr>
              <w:t xml:space="preserve">处的肖家村，距离大于 </w:t>
            </w:r>
            <w:r>
              <w:rPr>
                <w:rFonts w:hint="default" w:ascii="Times New Roman" w:hAnsi="Times New Roman" w:eastAsia="Times New Roman" w:cs="Times New Roman"/>
                <w:color w:val="000000" w:themeColor="text1"/>
                <w14:textFill>
                  <w14:solidFill>
                    <w14:schemeClr w14:val="tx1"/>
                  </w14:solidFill>
                </w14:textFill>
              </w:rPr>
              <w:t>0.05km</w:t>
            </w:r>
            <w:r>
              <w:rPr>
                <w:rFonts w:hint="default" w:ascii="Times New Roman" w:hAnsi="Times New Roman" w:cs="Times New Roman"/>
                <w:color w:val="000000" w:themeColor="text1"/>
                <w14:textFill>
                  <w14:solidFill>
                    <w14:schemeClr w14:val="tx1"/>
                  </w14:solidFill>
                </w14:textFill>
              </w:rPr>
              <w:t>。本项目属于污染影响型项目，项目占地范围外</w:t>
            </w:r>
            <w:r>
              <w:rPr>
                <w:rFonts w:hint="default" w:ascii="Times New Roman" w:hAnsi="Times New Roman" w:eastAsia="Times New Roman" w:cs="Times New Roman"/>
                <w:color w:val="000000" w:themeColor="text1"/>
                <w14:textFill>
                  <w14:solidFill>
                    <w14:schemeClr w14:val="tx1"/>
                  </w14:solidFill>
                </w14:textFill>
              </w:rPr>
              <w:t>0.05km</w:t>
            </w:r>
            <w:r>
              <w:rPr>
                <w:rFonts w:hint="default" w:ascii="Times New Roman" w:hAnsi="Times New Roman" w:cs="Times New Roman"/>
                <w:color w:val="000000" w:themeColor="text1"/>
                <w14:textFill>
                  <w14:solidFill>
                    <w14:schemeClr w14:val="tx1"/>
                  </w14:solidFill>
                </w14:textFill>
              </w:rPr>
              <w:t>范围内不存在土壤环境敏感目标，因此，本项目敏感程度为不敏感。</w:t>
            </w:r>
          </w:p>
          <w:p>
            <w:pPr>
              <w:pStyle w:val="137"/>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因此，根据《环境影响评价技术导则</w:t>
            </w:r>
            <w:r>
              <w:rPr>
                <w:rFonts w:hint="default" w:ascii="Times New Roman" w:hAnsi="Times New Roman" w:eastAsia="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土壤环境</w:t>
            </w:r>
            <w:r>
              <w:rPr>
                <w:rFonts w:hint="default" w:ascii="Times New Roman" w:hAnsi="Times New Roman" w:eastAsia="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试行</w:t>
            </w:r>
            <w:r>
              <w:rPr>
                <w:rFonts w:hint="default" w:ascii="Times New Roman" w:hAnsi="Times New Roman" w:eastAsia="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eastAsia="Times New Roman" w:cs="Times New Roman"/>
                <w:color w:val="000000" w:themeColor="text1"/>
                <w14:textFill>
                  <w14:solidFill>
                    <w14:schemeClr w14:val="tx1"/>
                  </w14:solidFill>
                </w14:textFill>
              </w:rPr>
              <w:t>(HJ964-2018)</w:t>
            </w:r>
            <w:r>
              <w:rPr>
                <w:rFonts w:hint="default" w:ascii="Times New Roman" w:hAnsi="Times New Roman" w:cs="Times New Roman"/>
                <w:color w:val="000000" w:themeColor="text1"/>
                <w14:textFill>
                  <w14:solidFill>
                    <w14:schemeClr w14:val="tx1"/>
                  </w14:solidFill>
                </w14:textFill>
              </w:rPr>
              <w:t>表</w:t>
            </w:r>
            <w:r>
              <w:rPr>
                <w:rFonts w:hint="default" w:ascii="Times New Roman" w:hAnsi="Times New Roman" w:eastAsia="Times New Roman" w:cs="Times New Roman"/>
                <w:color w:val="000000" w:themeColor="text1"/>
                <w14:textFill>
                  <w14:solidFill>
                    <w14:schemeClr w14:val="tx1"/>
                  </w14:solidFill>
                </w14:textFill>
              </w:rPr>
              <w:t xml:space="preserve">4 </w:t>
            </w:r>
            <w:r>
              <w:rPr>
                <w:rFonts w:hint="default" w:ascii="Times New Roman" w:hAnsi="Times New Roman" w:cs="Times New Roman"/>
                <w:color w:val="000000" w:themeColor="text1"/>
                <w14:textFill>
                  <w14:solidFill>
                    <w14:schemeClr w14:val="tx1"/>
                  </w14:solidFill>
                </w14:textFill>
              </w:rPr>
              <w:t>中评价工作等级分级表，本项目可不开展土壤环境影响评价工作。</w:t>
            </w:r>
          </w:p>
          <w:p>
            <w:pPr>
              <w:pStyle w:val="137"/>
              <w:ind w:firstLine="480"/>
              <w:rPr>
                <w:rFonts w:hint="default" w:ascii="Times New Roman" w:hAnsi="Times New Roman" w:cs="Times New Roman"/>
              </w:rPr>
            </w:pPr>
            <w:r>
              <w:rPr>
                <w:rFonts w:hint="default" w:ascii="Times New Roman" w:hAnsi="Times New Roman" w:cs="Times New Roman"/>
              </w:rPr>
              <w:t>根据《环境影响评价技术导则 土壤环境（试行）》（HJ964-2018）附录B对建设项目壤环境影响类型、影响途径、影响源和影响因子进行识别，具体情况见</w:t>
            </w:r>
            <w:r>
              <w:rPr>
                <w:rFonts w:hint="eastAsia" w:cs="Times New Roman"/>
                <w:lang w:val="en-US" w:eastAsia="zh-CN"/>
              </w:rPr>
              <w:t>表7-17</w:t>
            </w:r>
            <w:r>
              <w:rPr>
                <w:rFonts w:hint="default" w:ascii="Times New Roman" w:hAnsi="Times New Roman" w:cs="Times New Roman"/>
              </w:rPr>
              <w:t>。</w:t>
            </w:r>
          </w:p>
          <w:p>
            <w:pPr>
              <w:pStyle w:val="143"/>
              <w:spacing w:before="156"/>
              <w:rPr>
                <w:rFonts w:hint="default" w:ascii="Times New Roman" w:hAnsi="Times New Roman" w:cs="Times New Roman"/>
              </w:rPr>
            </w:pPr>
            <w:bookmarkStart w:id="45" w:name="_Ref45542538"/>
            <w:r>
              <w:rPr>
                <w:rFonts w:hint="default" w:ascii="Times New Roman" w:hAnsi="Times New Roman" w:cs="Times New Roman"/>
              </w:rPr>
              <w:t>表</w:t>
            </w:r>
            <w:bookmarkEnd w:id="45"/>
            <w:r>
              <w:rPr>
                <w:rFonts w:hint="eastAsia" w:cs="Times New Roman"/>
                <w:lang w:val="en-US" w:eastAsia="zh-CN"/>
              </w:rPr>
              <w:t>7-17</w:t>
            </w:r>
            <w:r>
              <w:rPr>
                <w:rFonts w:hint="default" w:ascii="Times New Roman" w:hAnsi="Times New Roman" w:cs="Times New Roman"/>
              </w:rPr>
              <w:t xml:space="preserve">   建设项目土壤环境影响类型与影响途径表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9"/>
              <w:gridCol w:w="1789"/>
              <w:gridCol w:w="1790"/>
              <w:gridCol w:w="1790"/>
              <w:gridCol w:w="1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00" w:type="pct"/>
                  <w:vMerge w:val="restar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不同时段</w:t>
                  </w:r>
                </w:p>
              </w:tc>
              <w:tc>
                <w:tcPr>
                  <w:tcW w:w="4000" w:type="pct"/>
                  <w:gridSpan w:val="4"/>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污染影响型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00" w:type="pct"/>
                  <w:vMerge w:val="continue"/>
                  <w:vAlign w:val="center"/>
                </w:tcPr>
                <w:p>
                  <w:pPr>
                    <w:pStyle w:val="141"/>
                    <w:rPr>
                      <w:rFonts w:hint="default" w:ascii="Times New Roman" w:hAnsi="Times New Roman" w:cs="Times New Roman"/>
                    </w:rPr>
                  </w:pP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大气沉降</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地面漫流</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垂直入渗</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建设期</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运行期</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服务期满后</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w:t>
                  </w:r>
                </w:p>
              </w:tc>
            </w:tr>
          </w:tbl>
          <w:p>
            <w:pPr>
              <w:pStyle w:val="148"/>
              <w:rPr>
                <w:rFonts w:hint="default" w:ascii="Times New Roman" w:hAnsi="Times New Roman" w:cs="Times New Roman"/>
              </w:rPr>
            </w:pPr>
            <w:r>
              <w:rPr>
                <w:rStyle w:val="149"/>
                <w:rFonts w:hint="default" w:ascii="Times New Roman" w:hAnsi="Times New Roman" w:cs="Times New Roman"/>
              </w:rPr>
              <w:t>注：在可能产生的土壤环境影响，类型处打“√”，列表未涵盖的可自行设计</w:t>
            </w:r>
            <w:r>
              <w:rPr>
                <w:rFonts w:hint="default" w:ascii="Times New Roman" w:hAnsi="Times New Roman" w:cs="Times New Roman"/>
              </w:rPr>
              <w:t>。</w:t>
            </w:r>
          </w:p>
          <w:p>
            <w:pPr>
              <w:pStyle w:val="143"/>
              <w:spacing w:before="156"/>
              <w:rPr>
                <w:rFonts w:hint="default" w:ascii="Times New Roman" w:hAnsi="Times New Roman" w:cs="Times New Roman"/>
              </w:rPr>
            </w:pPr>
            <w:r>
              <w:rPr>
                <w:rFonts w:hint="default" w:ascii="Times New Roman" w:hAnsi="Times New Roman" w:cs="Times New Roman"/>
              </w:rPr>
              <w:t>表</w:t>
            </w:r>
            <w:r>
              <w:rPr>
                <w:rFonts w:hint="eastAsia" w:cs="Times New Roman"/>
                <w:lang w:val="en-US" w:eastAsia="zh-CN"/>
              </w:rPr>
              <w:t>7-18</w:t>
            </w:r>
            <w:r>
              <w:rPr>
                <w:rFonts w:hint="default" w:ascii="Times New Roman" w:hAnsi="Times New Roman" w:eastAsia="Times New Roman" w:cs="Times New Roman"/>
              </w:rPr>
              <w:tab/>
            </w:r>
            <w:r>
              <w:rPr>
                <w:rFonts w:hint="default" w:ascii="Times New Roman" w:hAnsi="Times New Roman" w:cs="Times New Roman"/>
              </w:rPr>
              <w:t xml:space="preserve"> 污染影响型建设项目土壤环境影响源及影响因子识别表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9"/>
              <w:gridCol w:w="1789"/>
              <w:gridCol w:w="1790"/>
              <w:gridCol w:w="1790"/>
              <w:gridCol w:w="1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污染源</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工艺流程/节点</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污染途径</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全部污染物指标</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特征因子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00" w:type="pct"/>
                  <w:vMerge w:val="restar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加油站站内</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油罐车装卸油</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地面漫流</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油品泄漏</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000" w:type="pct"/>
                  <w:vMerge w:val="continue"/>
                  <w:vAlign w:val="center"/>
                </w:tcPr>
                <w:p>
                  <w:pPr>
                    <w:pStyle w:val="141"/>
                    <w:rPr>
                      <w:rFonts w:hint="default" w:ascii="Times New Roman" w:hAnsi="Times New Roman" w:cs="Times New Roman"/>
                    </w:rPr>
                  </w:pP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机动车加油</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垂直入渗</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油品泄漏</w:t>
                  </w:r>
                </w:p>
              </w:tc>
              <w:tc>
                <w:tcPr>
                  <w:tcW w:w="1000" w:type="pct"/>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非甲烷总烃</w:t>
                  </w:r>
                </w:p>
              </w:tc>
            </w:tr>
          </w:tbl>
          <w:p>
            <w:pPr>
              <w:pStyle w:val="137"/>
              <w:ind w:firstLine="480"/>
              <w:rPr>
                <w:rFonts w:hint="default" w:ascii="Times New Roman" w:hAnsi="Times New Roman" w:cs="Times New Roman"/>
              </w:rPr>
            </w:pPr>
            <w:r>
              <w:rPr>
                <w:rFonts w:hint="default" w:ascii="Times New Roman" w:hAnsi="Times New Roman" w:cs="Times New Roman"/>
              </w:rPr>
              <w:t>本项目建设期严格按《汽车加油加气站设计与施工规范(2014 年局部修订稿)》(GB50156-2012) 的要求进行设计和施工，储油设备采用钢制储罐，油路管线采用双层复合管线，使用焊接工艺，敷设于地下，但随着时间的推移，地下油罐由于金属材料的锈蚀及管线腐蚀会出现不同程度的渗漏，对地下油罐区采取内部加层和有关保护措施，在清洗油罐时，应及时检修油罐，可以有效防止汽油和柴油渗入土壤。</w:t>
            </w:r>
          </w:p>
          <w:p>
            <w:pPr>
              <w:pStyle w:val="137"/>
              <w:ind w:firstLine="480"/>
              <w:rPr>
                <w:rFonts w:hint="default" w:ascii="Times New Roman" w:hAnsi="Times New Roman" w:cs="Times New Roman"/>
              </w:rPr>
            </w:pPr>
            <w:r>
              <w:rPr>
                <w:rFonts w:hint="default" w:ascii="Times New Roman" w:hAnsi="Times New Roman" w:cs="Times New Roman"/>
              </w:rPr>
              <w:t>运营期：输油管线的法兰、丝扣等因日久磨损会有少量油品滴漏，但轻油可以很快挥发、残留部分油品按操作规范用拖布擦干净。因此，加油操作过程中， 基本无含油废水排出，且加油区内地面硬化，不会有残留油品渗入地下的情况发生。</w:t>
            </w:r>
          </w:p>
          <w:p>
            <w:pPr>
              <w:pStyle w:val="137"/>
              <w:ind w:firstLine="480"/>
              <w:rPr>
                <w:rFonts w:hint="default" w:ascii="Times New Roman" w:hAnsi="Times New Roman" w:cs="Times New Roman"/>
              </w:rPr>
            </w:pPr>
            <w:r>
              <w:rPr>
                <w:rFonts w:hint="default" w:ascii="Times New Roman" w:hAnsi="Times New Roman" w:cs="Times New Roman"/>
              </w:rPr>
              <w:t>服务期满后：当加油站需要关闭时，若为临时关闭，油罐全部抽干，对油罐进行连续监测并采取防锈蚀保护措施。若为永久性关闭，则无论是把油罐挖出还是留在地下，罐内的任何物体全部清除干净，清除之后，留在地下的油罐按照要求填满砂石。</w:t>
            </w:r>
          </w:p>
          <w:p>
            <w:pPr>
              <w:pStyle w:val="137"/>
              <w:ind w:firstLine="480"/>
              <w:rPr>
                <w:rFonts w:hint="default" w:ascii="Times New Roman" w:hAnsi="Times New Roman" w:cs="Times New Roman"/>
              </w:rPr>
            </w:pPr>
            <w:r>
              <w:rPr>
                <w:rFonts w:hint="default" w:ascii="Times New Roman" w:hAnsi="Times New Roman" w:cs="Times New Roman"/>
              </w:rPr>
              <w:t>因此，项目建设、运营及服务期满后污染影响主要在加油站站区内，对项目周边下高岭村等环境影响点影响不大，经采取以上措施处理，本项目建设、运营及服务期满后对土壤环境影响不大。</w:t>
            </w:r>
          </w:p>
          <w:p>
            <w:pPr>
              <w:pStyle w:val="161"/>
              <w:rPr>
                <w:rFonts w:hint="default" w:ascii="Times New Roman" w:hAnsi="Times New Roman" w:cs="Times New Roman"/>
              </w:rPr>
            </w:pPr>
            <w:r>
              <w:rPr>
                <w:rFonts w:hint="default" w:ascii="Times New Roman" w:hAnsi="Times New Roman" w:cs="Times New Roman"/>
              </w:rPr>
              <w:t>七、环境风险分析</w:t>
            </w:r>
          </w:p>
          <w:p>
            <w:pPr>
              <w:pStyle w:val="137"/>
              <w:ind w:firstLine="480"/>
              <w:rPr>
                <w:rFonts w:hint="default" w:ascii="Times New Roman" w:hAnsi="Times New Roman" w:cs="Times New Roman"/>
              </w:rPr>
            </w:pPr>
            <w:r>
              <w:rPr>
                <w:rFonts w:hint="default" w:ascii="Times New Roman" w:hAnsi="Times New Roman" w:cs="Times New Roman"/>
              </w:rPr>
              <w:t>根据《建设项目环境风险评价技术导则》(HJ169-2018)，该标准适用于涉及有毒有害和易燃易爆危险物质生产、使用、储存(包括使用管线输运)的建设项目可能发生的突发性事故（不包括人为破坏及自然灾害引发的事故）的环境风险评价。本项目涉及的危险物质为汽油、柴油。在储存和使用过程中，由于操作不当等因素，可能会导致实验试剂的泄漏。对照《建设项目环境风险评价技术导则》(HJ169-2018)附录B 危险物质及临界量，本项目危险物质数量与临界量比值Q＜1，项目环境风险潜势为Ⅰ，可开展简单分析。</w:t>
            </w:r>
          </w:p>
          <w:p>
            <w:pPr>
              <w:pStyle w:val="143"/>
              <w:spacing w:before="156"/>
              <w:rPr>
                <w:rFonts w:hint="default" w:ascii="Times New Roman" w:hAnsi="Times New Roman" w:cs="Times New Roman"/>
              </w:rPr>
            </w:pPr>
            <w:r>
              <w:rPr>
                <w:rFonts w:hint="default" w:ascii="Times New Roman" w:hAnsi="Times New Roman" w:cs="Times New Roman"/>
              </w:rPr>
              <w:t>表</w:t>
            </w:r>
            <w:r>
              <w:rPr>
                <w:rFonts w:hint="eastAsia" w:cs="Times New Roman"/>
                <w:lang w:val="en-US" w:eastAsia="zh-CN"/>
              </w:rPr>
              <w:t>7-19</w:t>
            </w:r>
            <w:r>
              <w:rPr>
                <w:rFonts w:hint="default" w:ascii="Times New Roman" w:hAnsi="Times New Roman" w:cs="Times New Roman"/>
              </w:rPr>
              <w:t xml:space="preserve">   建设项目Q值确定表</w:t>
            </w:r>
          </w:p>
          <w:tbl>
            <w:tblPr>
              <w:tblStyle w:val="30"/>
              <w:tblW w:w="5000" w:type="pct"/>
              <w:jc w:val="center"/>
              <w:tblLayout w:type="fixed"/>
              <w:tblCellMar>
                <w:top w:w="0" w:type="dxa"/>
                <w:left w:w="108" w:type="dxa"/>
                <w:bottom w:w="0" w:type="dxa"/>
                <w:right w:w="108" w:type="dxa"/>
              </w:tblCellMar>
            </w:tblPr>
            <w:tblGrid>
              <w:gridCol w:w="1154"/>
              <w:gridCol w:w="1964"/>
              <w:gridCol w:w="1702"/>
              <w:gridCol w:w="1419"/>
              <w:gridCol w:w="1458"/>
              <w:gridCol w:w="1261"/>
            </w:tblGrid>
            <w:tr>
              <w:tblPrEx>
                <w:tblCellMar>
                  <w:top w:w="0" w:type="dxa"/>
                  <w:left w:w="108" w:type="dxa"/>
                  <w:bottom w:w="0" w:type="dxa"/>
                  <w:right w:w="108" w:type="dxa"/>
                </w:tblCellMar>
              </w:tblPrEx>
              <w:trPr>
                <w:jc w:val="center"/>
              </w:trPr>
              <w:tc>
                <w:tcPr>
                  <w:tcW w:w="64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序号</w:t>
                  </w:r>
                </w:p>
              </w:tc>
              <w:tc>
                <w:tcPr>
                  <w:tcW w:w="1096" w:type="pct"/>
                  <w:tcBorders>
                    <w:top w:val="single" w:color="auto" w:sz="4" w:space="0"/>
                    <w:left w:val="nil"/>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原料</w:t>
                  </w:r>
                </w:p>
              </w:tc>
              <w:tc>
                <w:tcPr>
                  <w:tcW w:w="950" w:type="pct"/>
                  <w:tcBorders>
                    <w:top w:val="single" w:color="auto" w:sz="4" w:space="0"/>
                    <w:left w:val="nil"/>
                    <w:bottom w:val="single" w:color="auto" w:sz="4" w:space="0"/>
                    <w:right w:val="single" w:color="auto" w:sz="4" w:space="0"/>
                  </w:tcBorders>
                  <w:shd w:val="clear" w:color="auto" w:fill="auto"/>
                  <w:noWrap/>
                  <w:vAlign w:val="center"/>
                </w:tcPr>
                <w:p>
                  <w:pPr>
                    <w:pStyle w:val="141"/>
                    <w:rPr>
                      <w:rFonts w:hint="default" w:ascii="Times New Roman" w:hAnsi="Times New Roman" w:eastAsia="等线" w:cs="Times New Roman"/>
                      <w:sz w:val="22"/>
                      <w:szCs w:val="22"/>
                    </w:rPr>
                  </w:pPr>
                  <w:r>
                    <w:rPr>
                      <w:rFonts w:hint="default" w:ascii="Times New Roman" w:hAnsi="Times New Roman" w:eastAsia="等线" w:cs="Times New Roman"/>
                      <w:sz w:val="22"/>
                      <w:szCs w:val="22"/>
                    </w:rPr>
                    <w:t>cas号</w:t>
                  </w:r>
                </w:p>
              </w:tc>
              <w:tc>
                <w:tcPr>
                  <w:tcW w:w="792" w:type="pct"/>
                  <w:tcBorders>
                    <w:top w:val="single" w:color="auto" w:sz="4" w:space="0"/>
                    <w:left w:val="nil"/>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最大存在总量qn/t</w:t>
                  </w:r>
                </w:p>
              </w:tc>
              <w:tc>
                <w:tcPr>
                  <w:tcW w:w="814" w:type="pct"/>
                  <w:tcBorders>
                    <w:top w:val="single" w:color="auto" w:sz="4" w:space="0"/>
                    <w:left w:val="nil"/>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临界量Qn/t</w:t>
                  </w:r>
                </w:p>
              </w:tc>
              <w:tc>
                <w:tcPr>
                  <w:tcW w:w="704" w:type="pct"/>
                  <w:tcBorders>
                    <w:top w:val="single" w:color="auto" w:sz="4" w:space="0"/>
                    <w:left w:val="nil"/>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该种危险物质Q值</w:t>
                  </w:r>
                </w:p>
              </w:tc>
            </w:tr>
            <w:tr>
              <w:tblPrEx>
                <w:tblCellMar>
                  <w:top w:w="0" w:type="dxa"/>
                  <w:left w:w="108" w:type="dxa"/>
                  <w:bottom w:w="0" w:type="dxa"/>
                  <w:right w:w="108" w:type="dxa"/>
                </w:tblCellMar>
              </w:tblPrEx>
              <w:trPr>
                <w:jc w:val="center"/>
              </w:trPr>
              <w:tc>
                <w:tcPr>
                  <w:tcW w:w="644" w:type="pct"/>
                  <w:tcBorders>
                    <w:top w:val="nil"/>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1</w:t>
                  </w:r>
                </w:p>
              </w:tc>
              <w:tc>
                <w:tcPr>
                  <w:tcW w:w="1096" w:type="pct"/>
                  <w:tcBorders>
                    <w:top w:val="nil"/>
                    <w:left w:val="nil"/>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油类物质</w:t>
                  </w:r>
                </w:p>
              </w:tc>
              <w:tc>
                <w:tcPr>
                  <w:tcW w:w="950" w:type="pct"/>
                  <w:tcBorders>
                    <w:top w:val="nil"/>
                    <w:left w:val="nil"/>
                    <w:bottom w:val="single" w:color="auto" w:sz="4" w:space="0"/>
                    <w:right w:val="single" w:color="auto" w:sz="4" w:space="0"/>
                  </w:tcBorders>
                  <w:shd w:val="clear" w:color="auto" w:fill="auto"/>
                  <w:noWrap/>
                  <w:vAlign w:val="center"/>
                </w:tcPr>
                <w:p>
                  <w:pPr>
                    <w:pStyle w:val="141"/>
                    <w:rPr>
                      <w:rFonts w:hint="default" w:ascii="Times New Roman" w:hAnsi="Times New Roman" w:eastAsia="等线" w:cs="Times New Roman"/>
                      <w:sz w:val="22"/>
                      <w:szCs w:val="22"/>
                    </w:rPr>
                  </w:pPr>
                  <w:r>
                    <w:rPr>
                      <w:rFonts w:hint="default" w:ascii="Times New Roman" w:hAnsi="Times New Roman" w:eastAsia="等线" w:cs="Times New Roman"/>
                      <w:sz w:val="22"/>
                      <w:szCs w:val="22"/>
                    </w:rPr>
                    <w:t xml:space="preserve"> /</w:t>
                  </w:r>
                </w:p>
              </w:tc>
              <w:tc>
                <w:tcPr>
                  <w:tcW w:w="792" w:type="pct"/>
                  <w:tcBorders>
                    <w:top w:val="nil"/>
                    <w:left w:val="nil"/>
                    <w:bottom w:val="single" w:color="auto" w:sz="4" w:space="0"/>
                    <w:right w:val="single" w:color="auto" w:sz="4" w:space="0"/>
                  </w:tcBorders>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71.69</w:t>
                  </w:r>
                </w:p>
              </w:tc>
              <w:tc>
                <w:tcPr>
                  <w:tcW w:w="814" w:type="pct"/>
                  <w:tcBorders>
                    <w:top w:val="nil"/>
                    <w:left w:val="nil"/>
                    <w:bottom w:val="single" w:color="auto" w:sz="4" w:space="0"/>
                    <w:right w:val="single" w:color="auto" w:sz="4" w:space="0"/>
                  </w:tcBorders>
                  <w:shd w:val="clear" w:color="auto" w:fill="auto"/>
                  <w:noWrap/>
                  <w:vAlign w:val="center"/>
                </w:tcPr>
                <w:p>
                  <w:pPr>
                    <w:pStyle w:val="141"/>
                    <w:rPr>
                      <w:rFonts w:hint="default" w:ascii="Times New Roman" w:hAnsi="Times New Roman" w:eastAsia="等线" w:cs="Times New Roman"/>
                      <w:sz w:val="22"/>
                      <w:szCs w:val="22"/>
                    </w:rPr>
                  </w:pPr>
                  <w:r>
                    <w:rPr>
                      <w:rFonts w:hint="default" w:ascii="Times New Roman" w:hAnsi="Times New Roman" w:eastAsia="等线" w:cs="Times New Roman"/>
                      <w:sz w:val="22"/>
                      <w:szCs w:val="22"/>
                    </w:rPr>
                    <w:t>2500</w:t>
                  </w:r>
                </w:p>
              </w:tc>
              <w:tc>
                <w:tcPr>
                  <w:tcW w:w="704" w:type="pct"/>
                  <w:tcBorders>
                    <w:top w:val="nil"/>
                    <w:left w:val="nil"/>
                    <w:bottom w:val="single" w:color="auto" w:sz="4" w:space="0"/>
                    <w:right w:val="single" w:color="auto" w:sz="4" w:space="0"/>
                  </w:tcBorders>
                  <w:shd w:val="clear" w:color="auto" w:fill="auto"/>
                  <w:noWrap/>
                  <w:vAlign w:val="center"/>
                </w:tcPr>
                <w:p>
                  <w:pPr>
                    <w:pStyle w:val="141"/>
                    <w:rPr>
                      <w:rFonts w:hint="default" w:ascii="Times New Roman" w:hAnsi="Times New Roman" w:eastAsia="等线" w:cs="Times New Roman"/>
                      <w:sz w:val="22"/>
                      <w:szCs w:val="22"/>
                    </w:rPr>
                  </w:pPr>
                  <w:r>
                    <w:rPr>
                      <w:rFonts w:hint="default" w:ascii="Times New Roman" w:hAnsi="Times New Roman" w:eastAsia="等线" w:cs="Times New Roman"/>
                      <w:sz w:val="22"/>
                      <w:szCs w:val="22"/>
                    </w:rPr>
                    <w:t>0.03</w:t>
                  </w:r>
                </w:p>
              </w:tc>
            </w:tr>
            <w:tr>
              <w:tblPrEx>
                <w:tblCellMar>
                  <w:top w:w="0" w:type="dxa"/>
                  <w:left w:w="108" w:type="dxa"/>
                  <w:bottom w:w="0" w:type="dxa"/>
                  <w:right w:w="108" w:type="dxa"/>
                </w:tblCellMar>
              </w:tblPrEx>
              <w:trPr>
                <w:jc w:val="center"/>
              </w:trPr>
              <w:tc>
                <w:tcPr>
                  <w:tcW w:w="4296"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合计</w:t>
                  </w:r>
                </w:p>
              </w:tc>
              <w:tc>
                <w:tcPr>
                  <w:tcW w:w="704" w:type="pct"/>
                  <w:tcBorders>
                    <w:top w:val="nil"/>
                    <w:left w:val="nil"/>
                    <w:bottom w:val="single" w:color="auto" w:sz="4" w:space="0"/>
                    <w:right w:val="single" w:color="auto" w:sz="4" w:space="0"/>
                  </w:tcBorders>
                  <w:shd w:val="clear" w:color="auto" w:fill="auto"/>
                  <w:noWrap/>
                  <w:vAlign w:val="center"/>
                </w:tcPr>
                <w:p>
                  <w:pPr>
                    <w:pStyle w:val="141"/>
                    <w:rPr>
                      <w:rFonts w:hint="default" w:ascii="Times New Roman" w:hAnsi="Times New Roman" w:eastAsia="等线" w:cs="Times New Roman"/>
                      <w:sz w:val="22"/>
                      <w:szCs w:val="22"/>
                    </w:rPr>
                  </w:pPr>
                  <w:r>
                    <w:rPr>
                      <w:rFonts w:hint="default" w:ascii="Times New Roman" w:hAnsi="Times New Roman" w:eastAsia="等线" w:cs="Times New Roman"/>
                      <w:sz w:val="22"/>
                      <w:szCs w:val="22"/>
                    </w:rPr>
                    <w:t>0.03</w:t>
                  </w:r>
                </w:p>
              </w:tc>
            </w:tr>
          </w:tbl>
          <w:p>
            <w:pPr>
              <w:pStyle w:val="148"/>
              <w:rPr>
                <w:rFonts w:hint="default" w:ascii="Times New Roman" w:hAnsi="Times New Roman" w:cs="Times New Roman"/>
              </w:rPr>
            </w:pPr>
            <w:r>
              <w:rPr>
                <w:rFonts w:hint="default" w:ascii="Times New Roman" w:hAnsi="Times New Roman" w:cs="Times New Roman"/>
              </w:rPr>
              <w:t>注：汽油相对密度本项目取0.72t/m</w:t>
            </w:r>
            <w:r>
              <w:rPr>
                <w:rFonts w:hint="default" w:ascii="Times New Roman" w:hAnsi="Times New Roman" w:cs="Times New Roman"/>
                <w:vertAlign w:val="superscript"/>
              </w:rPr>
              <w:t>3</w:t>
            </w:r>
            <w:r>
              <w:rPr>
                <w:rFonts w:hint="default" w:ascii="Times New Roman" w:hAnsi="Times New Roman" w:cs="Times New Roman"/>
              </w:rPr>
              <w:t>，柴油相对密度本项目取0.855t/m</w:t>
            </w:r>
            <w:r>
              <w:rPr>
                <w:rFonts w:hint="default" w:ascii="Times New Roman" w:hAnsi="Times New Roman" w:cs="Times New Roman"/>
                <w:vertAlign w:val="superscript"/>
              </w:rPr>
              <w:t>3</w:t>
            </w:r>
            <w:r>
              <w:rPr>
                <w:rFonts w:hint="default" w:ascii="Times New Roman" w:hAnsi="Times New Roman" w:cs="Times New Roman"/>
              </w:rPr>
              <w:t>，最大存在量=75*0.9*0.72+30*0.9*0.855=71.69</w:t>
            </w:r>
          </w:p>
          <w:p>
            <w:pPr>
              <w:pStyle w:val="13"/>
              <w:adjustRightInd/>
              <w:spacing w:after="0"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1、评价依据</w:t>
            </w:r>
          </w:p>
          <w:p>
            <w:pPr>
              <w:pStyle w:val="13"/>
              <w:adjustRightInd/>
              <w:spacing w:after="0"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（1）风险调查</w:t>
            </w:r>
          </w:p>
          <w:p>
            <w:pPr>
              <w:pStyle w:val="137"/>
              <w:ind w:firstLine="480"/>
              <w:rPr>
                <w:rFonts w:hint="default" w:ascii="Times New Roman" w:hAnsi="Times New Roman" w:cs="Times New Roman"/>
              </w:rPr>
            </w:pPr>
            <w:r>
              <w:rPr>
                <w:rFonts w:hint="default" w:ascii="Times New Roman" w:hAnsi="Times New Roman" w:cs="Times New Roman"/>
              </w:rPr>
              <w:t>导则规定风险识别范围包括生产设施和生产过程所涉及的物质。本项目风险确定为油罐区、罩棚区等，风险类型为柴油、汽油的泄漏可能引起的腐蚀、中毒和火灾。</w:t>
            </w:r>
          </w:p>
          <w:p>
            <w:pPr>
              <w:pStyle w:val="13"/>
              <w:adjustRightInd/>
              <w:spacing w:after="0"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（2）风险潜势初判</w:t>
            </w:r>
          </w:p>
          <w:p>
            <w:pPr>
              <w:pStyle w:val="137"/>
              <w:ind w:firstLine="480"/>
              <w:rPr>
                <w:rFonts w:hint="default" w:ascii="Times New Roman" w:hAnsi="Times New Roman" w:cs="Times New Roman"/>
              </w:rPr>
            </w:pPr>
            <w:r>
              <w:rPr>
                <w:rFonts w:hint="default" w:ascii="Times New Roman" w:hAnsi="Times New Roman" w:cs="Times New Roman"/>
              </w:rPr>
              <w:t>本项目不构成重大危险源，不涉及环境敏感地区。对照《建设项目环境风险评价技术导则》(HJ169-2018)附录B 危险物质及临界量，本项目危险物质数量与临界量比值Q＜1，项目环境风险潜势为Ⅰ。</w:t>
            </w:r>
          </w:p>
          <w:p>
            <w:pPr>
              <w:pStyle w:val="13"/>
              <w:adjustRightInd/>
              <w:spacing w:after="0"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③评价等级</w:t>
            </w:r>
          </w:p>
          <w:p>
            <w:pPr>
              <w:pStyle w:val="137"/>
              <w:ind w:firstLine="480"/>
              <w:rPr>
                <w:rFonts w:hint="default" w:ascii="Times New Roman" w:hAnsi="Times New Roman" w:cs="Times New Roman"/>
                <w:bCs/>
                <w:szCs w:val="24"/>
              </w:rPr>
            </w:pPr>
            <w:r>
              <w:rPr>
                <w:rFonts w:hint="default" w:ascii="Times New Roman" w:hAnsi="Times New Roman" w:cs="Times New Roman"/>
                <w:bCs/>
                <w:szCs w:val="24"/>
              </w:rPr>
              <w:t>根据《建设项目环境风</w:t>
            </w:r>
            <w:r>
              <w:rPr>
                <w:rStyle w:val="138"/>
                <w:rFonts w:hint="default" w:ascii="Times New Roman" w:hAnsi="Times New Roman" w:cs="Times New Roman"/>
              </w:rPr>
              <w:t>险评价技术导则》（HJ169-2018）评价等级划分原则，建设项目环境风险评价工作等级判定标准表见</w:t>
            </w:r>
            <w:r>
              <w:rPr>
                <w:rStyle w:val="138"/>
                <w:rFonts w:hint="eastAsia" w:cs="Times New Roman"/>
                <w:lang w:val="en-US" w:eastAsia="zh-CN"/>
              </w:rPr>
              <w:t>表7-20</w:t>
            </w:r>
            <w:r>
              <w:rPr>
                <w:rStyle w:val="138"/>
                <w:rFonts w:hint="default" w:ascii="Times New Roman" w:hAnsi="Times New Roman" w:cs="Times New Roman"/>
              </w:rPr>
              <w:fldChar w:fldCharType="begin"/>
            </w:r>
            <w:r>
              <w:rPr>
                <w:rStyle w:val="138"/>
                <w:rFonts w:hint="default" w:ascii="Times New Roman" w:hAnsi="Times New Roman" w:cs="Times New Roman"/>
              </w:rPr>
              <w:instrText xml:space="preserve"> REF _Ref26879013 \h  \* MERGEFORMAT </w:instrText>
            </w:r>
            <w:r>
              <w:rPr>
                <w:rStyle w:val="138"/>
                <w:rFonts w:hint="default" w:ascii="Times New Roman" w:hAnsi="Times New Roman" w:cs="Times New Roman"/>
              </w:rPr>
              <w:fldChar w:fldCharType="separate"/>
            </w:r>
            <w:r>
              <w:rPr>
                <w:rStyle w:val="138"/>
                <w:rFonts w:hint="default" w:ascii="Times New Roman" w:hAnsi="Times New Roman" w:cs="Times New Roman"/>
              </w:rPr>
              <w:fldChar w:fldCharType="end"/>
            </w:r>
            <w:r>
              <w:rPr>
                <w:rStyle w:val="138"/>
                <w:rFonts w:hint="default" w:ascii="Times New Roman" w:hAnsi="Times New Roman" w:cs="Times New Roman"/>
              </w:rPr>
              <w:t>。</w:t>
            </w:r>
          </w:p>
          <w:p>
            <w:pPr>
              <w:pStyle w:val="143"/>
              <w:keepNext w:val="0"/>
              <w:keepLines w:val="0"/>
              <w:pageBreakBefore w:val="0"/>
              <w:widowControl w:val="0"/>
              <w:kinsoku/>
              <w:wordWrap/>
              <w:overflowPunct/>
              <w:topLinePunct w:val="0"/>
              <w:autoSpaceDE/>
              <w:autoSpaceDN/>
              <w:bidi w:val="0"/>
              <w:adjustRightInd/>
              <w:snapToGrid/>
              <w:spacing w:beforeLines="0"/>
              <w:textAlignment w:val="auto"/>
              <w:rPr>
                <w:rFonts w:hint="default" w:ascii="Times New Roman" w:hAnsi="Times New Roman" w:cs="Times New Roman"/>
              </w:rPr>
            </w:pPr>
            <w:bookmarkStart w:id="46" w:name="_Ref26879013"/>
            <w:r>
              <w:rPr>
                <w:rFonts w:hint="default" w:ascii="Times New Roman" w:hAnsi="Times New Roman" w:cs="Times New Roman"/>
              </w:rPr>
              <w:t>表</w:t>
            </w:r>
            <w:bookmarkEnd w:id="46"/>
            <w:r>
              <w:rPr>
                <w:rFonts w:hint="eastAsia" w:cs="Times New Roman"/>
                <w:lang w:val="en-US" w:eastAsia="zh-CN"/>
              </w:rPr>
              <w:t>7-20</w:t>
            </w:r>
            <w:r>
              <w:rPr>
                <w:rFonts w:hint="default" w:ascii="Times New Roman" w:hAnsi="Times New Roman" w:cs="Times New Roman"/>
              </w:rPr>
              <w:t xml:space="preserve">   评价工作等级划分</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9"/>
              <w:gridCol w:w="1789"/>
              <w:gridCol w:w="1790"/>
              <w:gridCol w:w="1790"/>
              <w:gridCol w:w="1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shd w:val="clear" w:color="auto" w:fill="auto"/>
                </w:tcPr>
                <w:p>
                  <w:pPr>
                    <w:jc w:val="center"/>
                    <w:rPr>
                      <w:rFonts w:hint="default" w:ascii="Times New Roman" w:hAnsi="Times New Roman" w:cs="Times New Roman"/>
                    </w:rPr>
                  </w:pPr>
                  <w:r>
                    <w:rPr>
                      <w:rFonts w:hint="default" w:ascii="Times New Roman" w:hAnsi="Times New Roman" w:cs="Times New Roman"/>
                    </w:rPr>
                    <w:t>环境风险潜势</w:t>
                  </w:r>
                </w:p>
              </w:tc>
              <w:tc>
                <w:tcPr>
                  <w:tcW w:w="1000" w:type="pct"/>
                  <w:shd w:val="clear" w:color="auto" w:fill="auto"/>
                </w:tcPr>
                <w:p>
                  <w:pPr>
                    <w:jc w:val="center"/>
                    <w:rPr>
                      <w:rFonts w:hint="default" w:ascii="Times New Roman" w:hAnsi="Times New Roman" w:cs="Times New Roman"/>
                    </w:rPr>
                  </w:pPr>
                  <w:r>
                    <w:rPr>
                      <w:rFonts w:hint="default" w:ascii="Times New Roman" w:hAnsi="Times New Roman" w:cs="Times New Roman"/>
                    </w:rPr>
                    <w:t>Ⅳ、Ⅳ＋</w:t>
                  </w:r>
                </w:p>
              </w:tc>
              <w:tc>
                <w:tcPr>
                  <w:tcW w:w="1000" w:type="pct"/>
                  <w:shd w:val="clear" w:color="auto" w:fill="auto"/>
                </w:tcPr>
                <w:p>
                  <w:pPr>
                    <w:jc w:val="center"/>
                    <w:rPr>
                      <w:rFonts w:hint="default" w:ascii="Times New Roman" w:hAnsi="Times New Roman" w:cs="Times New Roman"/>
                    </w:rPr>
                  </w:pPr>
                  <w:r>
                    <w:rPr>
                      <w:rFonts w:hint="default" w:ascii="Times New Roman" w:hAnsi="Times New Roman" w:cs="Times New Roman"/>
                    </w:rPr>
                    <w:t>Ⅲ</w:t>
                  </w:r>
                </w:p>
              </w:tc>
              <w:tc>
                <w:tcPr>
                  <w:tcW w:w="1000" w:type="pct"/>
                  <w:shd w:val="clear" w:color="auto" w:fill="auto"/>
                </w:tcPr>
                <w:p>
                  <w:pPr>
                    <w:jc w:val="center"/>
                    <w:rPr>
                      <w:rFonts w:hint="default" w:ascii="Times New Roman" w:hAnsi="Times New Roman" w:cs="Times New Roman"/>
                    </w:rPr>
                  </w:pPr>
                  <w:r>
                    <w:rPr>
                      <w:rFonts w:hint="default" w:ascii="Times New Roman" w:hAnsi="Times New Roman" w:cs="Times New Roman"/>
                    </w:rPr>
                    <w:t>Ⅱ</w:t>
                  </w:r>
                </w:p>
              </w:tc>
              <w:tc>
                <w:tcPr>
                  <w:tcW w:w="1000" w:type="pct"/>
                  <w:shd w:val="clear" w:color="auto" w:fill="auto"/>
                </w:tcPr>
                <w:p>
                  <w:pPr>
                    <w:jc w:val="center"/>
                    <w:rPr>
                      <w:rFonts w:hint="default" w:ascii="Times New Roman" w:hAnsi="Times New Roman" w:cs="Times New Roman"/>
                    </w:rPr>
                  </w:pPr>
                  <w:r>
                    <w:rPr>
                      <w:rFonts w:hint="default" w:ascii="Times New Roman" w:hAnsi="Times New Roman" w:cs="Times New Roma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shd w:val="clear" w:color="auto" w:fill="auto"/>
                </w:tcPr>
                <w:p>
                  <w:pPr>
                    <w:jc w:val="center"/>
                    <w:rPr>
                      <w:rFonts w:hint="default" w:ascii="Times New Roman" w:hAnsi="Times New Roman" w:cs="Times New Roman"/>
                    </w:rPr>
                  </w:pPr>
                  <w:r>
                    <w:rPr>
                      <w:rFonts w:hint="default" w:ascii="Times New Roman" w:hAnsi="Times New Roman" w:cs="Times New Roman"/>
                    </w:rPr>
                    <w:t>评价工作等级</w:t>
                  </w:r>
                </w:p>
              </w:tc>
              <w:tc>
                <w:tcPr>
                  <w:tcW w:w="1000" w:type="pct"/>
                  <w:shd w:val="clear" w:color="auto" w:fill="auto"/>
                </w:tcPr>
                <w:p>
                  <w:pPr>
                    <w:jc w:val="center"/>
                    <w:rPr>
                      <w:rFonts w:hint="default" w:ascii="Times New Roman" w:hAnsi="Times New Roman" w:cs="Times New Roman"/>
                    </w:rPr>
                  </w:pPr>
                  <w:r>
                    <w:rPr>
                      <w:rFonts w:hint="default" w:ascii="Times New Roman" w:hAnsi="Times New Roman" w:cs="Times New Roman"/>
                    </w:rPr>
                    <w:t>一</w:t>
                  </w:r>
                </w:p>
              </w:tc>
              <w:tc>
                <w:tcPr>
                  <w:tcW w:w="1000" w:type="pct"/>
                  <w:shd w:val="clear" w:color="auto" w:fill="auto"/>
                </w:tcPr>
                <w:p>
                  <w:pPr>
                    <w:jc w:val="center"/>
                    <w:rPr>
                      <w:rFonts w:hint="default" w:ascii="Times New Roman" w:hAnsi="Times New Roman" w:cs="Times New Roman"/>
                    </w:rPr>
                  </w:pPr>
                  <w:r>
                    <w:rPr>
                      <w:rFonts w:hint="default" w:ascii="Times New Roman" w:hAnsi="Times New Roman" w:cs="Times New Roman"/>
                    </w:rPr>
                    <w:t>二</w:t>
                  </w:r>
                </w:p>
              </w:tc>
              <w:tc>
                <w:tcPr>
                  <w:tcW w:w="1000" w:type="pct"/>
                  <w:shd w:val="clear" w:color="auto" w:fill="auto"/>
                </w:tcPr>
                <w:p>
                  <w:pPr>
                    <w:jc w:val="center"/>
                    <w:rPr>
                      <w:rFonts w:hint="default" w:ascii="Times New Roman" w:hAnsi="Times New Roman" w:cs="Times New Roman"/>
                    </w:rPr>
                  </w:pPr>
                  <w:r>
                    <w:rPr>
                      <w:rFonts w:hint="default" w:ascii="Times New Roman" w:hAnsi="Times New Roman" w:cs="Times New Roman"/>
                    </w:rPr>
                    <w:t>三</w:t>
                  </w:r>
                </w:p>
              </w:tc>
              <w:tc>
                <w:tcPr>
                  <w:tcW w:w="1000" w:type="pct"/>
                  <w:shd w:val="clear" w:color="auto" w:fill="auto"/>
                </w:tcPr>
                <w:p>
                  <w:pPr>
                    <w:jc w:val="center"/>
                    <w:rPr>
                      <w:rFonts w:hint="default" w:ascii="Times New Roman" w:hAnsi="Times New Roman" w:cs="Times New Roman"/>
                    </w:rPr>
                  </w:pPr>
                  <w:r>
                    <w:rPr>
                      <w:rFonts w:hint="default" w:ascii="Times New Roman" w:hAnsi="Times New Roman" w:cs="Times New Roman"/>
                    </w:rPr>
                    <w:t>简单分析</w:t>
                  </w:r>
                  <w:r>
                    <w:rPr>
                      <w:rFonts w:hint="default" w:ascii="Times New Roman" w:hAnsi="Times New Roman" w:cs="Times New Roman"/>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shd w:val="clear" w:color="auto" w:fill="auto"/>
                </w:tcPr>
                <w:p>
                  <w:pPr>
                    <w:jc w:val="left"/>
                    <w:rPr>
                      <w:rFonts w:hint="default" w:ascii="Times New Roman" w:hAnsi="Times New Roman" w:cs="Times New Roman"/>
                    </w:rPr>
                  </w:pPr>
                  <w:r>
                    <w:rPr>
                      <w:rFonts w:hint="default" w:ascii="Times New Roman" w:hAnsi="Times New Roman" w:cs="Times New Roman"/>
                      <w:vertAlign w:val="superscript"/>
                    </w:rPr>
                    <w:t>a</w:t>
                  </w:r>
                  <w:r>
                    <w:rPr>
                      <w:rFonts w:hint="default" w:ascii="Times New Roman" w:hAnsi="Times New Roman" w:cs="Times New Roman"/>
                    </w:rPr>
                    <w:t xml:space="preserve"> 是相对于详细评价工作内容而言，在描述危险物质、环境影响途径、环境危害后果、风险防范措施等方面给出定性的说明。见附录A。</w:t>
                  </w:r>
                </w:p>
              </w:tc>
            </w:tr>
          </w:tbl>
          <w:p>
            <w:pPr>
              <w:pStyle w:val="137"/>
              <w:ind w:firstLine="480"/>
              <w:rPr>
                <w:rFonts w:hint="default" w:ascii="Times New Roman" w:hAnsi="Times New Roman" w:cs="Times New Roman"/>
              </w:rPr>
            </w:pPr>
            <w:r>
              <w:rPr>
                <w:rFonts w:hint="default" w:ascii="Times New Roman" w:hAnsi="Times New Roman" w:cs="Times New Roman"/>
              </w:rPr>
              <w:t>根据表47环境风险评价级别划分标准，本项目环境风险潜势为Ⅰ，环境风险评价工作等级为：简单分析。</w:t>
            </w:r>
          </w:p>
          <w:p>
            <w:pPr>
              <w:pStyle w:val="137"/>
              <w:ind w:firstLine="480"/>
              <w:rPr>
                <w:rFonts w:hint="default" w:ascii="Times New Roman" w:hAnsi="Times New Roman" w:cs="Times New Roman"/>
              </w:rPr>
            </w:pPr>
            <w:r>
              <w:rPr>
                <w:rFonts w:hint="default" w:ascii="Times New Roman" w:hAnsi="Times New Roman" w:cs="Times New Roman"/>
              </w:rPr>
              <w:t>2、风险识别</w:t>
            </w:r>
          </w:p>
          <w:p>
            <w:pPr>
              <w:pStyle w:val="137"/>
              <w:ind w:firstLine="480"/>
              <w:rPr>
                <w:rFonts w:hint="default" w:ascii="Times New Roman" w:hAnsi="Times New Roman" w:cs="Times New Roman"/>
              </w:rPr>
            </w:pPr>
            <w:r>
              <w:rPr>
                <w:rFonts w:hint="default" w:ascii="Times New Roman" w:hAnsi="Times New Roman" w:cs="Times New Roman"/>
              </w:rPr>
              <w:t>（1）物质危险性识别</w:t>
            </w:r>
          </w:p>
          <w:p>
            <w:pPr>
              <w:pStyle w:val="137"/>
              <w:ind w:firstLine="480"/>
              <w:rPr>
                <w:rFonts w:hint="default" w:ascii="Times New Roman" w:hAnsi="Times New Roman" w:cs="Times New Roman"/>
              </w:rPr>
            </w:pPr>
            <w:r>
              <w:rPr>
                <w:rFonts w:hint="default" w:ascii="Times New Roman" w:hAnsi="Times New Roman" w:cs="Times New Roman"/>
              </w:rPr>
              <w:t>本项目为加油站项目，项目涉及的汽油、柴油均属于易燃液体。特别是汽油，汽油是复杂烃类的混合物，主要组分是四碳至十二碳烃类，无色至淡黄色的易流动液体，沸点范围约初馏点40℃至200℃，空气中含量为 74-123g/m</w:t>
            </w:r>
            <w:r>
              <w:rPr>
                <w:rFonts w:hint="default" w:ascii="Times New Roman" w:hAnsi="Times New Roman" w:cs="Times New Roman"/>
                <w:vertAlign w:val="superscript"/>
              </w:rPr>
              <w:t xml:space="preserve">3 </w:t>
            </w:r>
            <w:r>
              <w:rPr>
                <w:rFonts w:hint="default" w:ascii="Times New Roman" w:hAnsi="Times New Roman" w:cs="Times New Roman"/>
              </w:rPr>
              <w:t>时遇火爆炸。汽油、柴油的理化性质见</w:t>
            </w:r>
            <w:r>
              <w:rPr>
                <w:rFonts w:hint="eastAsia" w:cs="Times New Roman"/>
                <w:lang w:val="en-US" w:eastAsia="zh-CN"/>
              </w:rPr>
              <w:t>表7-21</w:t>
            </w:r>
            <w:r>
              <w:rPr>
                <w:rFonts w:hint="default" w:ascii="Times New Roman" w:hAnsi="Times New Roman" w:cs="Times New Roman"/>
              </w:rPr>
              <w:t>、</w:t>
            </w:r>
            <w:r>
              <w:rPr>
                <w:rFonts w:hint="eastAsia" w:cs="Times New Roman"/>
                <w:lang w:val="en-US" w:eastAsia="zh-CN"/>
              </w:rPr>
              <w:t>表7-22</w:t>
            </w:r>
            <w:r>
              <w:rPr>
                <w:rFonts w:hint="default" w:ascii="Times New Roman" w:hAnsi="Times New Roman" w:cs="Times New Roman"/>
              </w:rPr>
              <w:t>。</w:t>
            </w:r>
          </w:p>
          <w:p>
            <w:pPr>
              <w:pStyle w:val="143"/>
              <w:spacing w:before="156"/>
              <w:rPr>
                <w:rFonts w:hint="default" w:ascii="Times New Roman" w:hAnsi="Times New Roman" w:cs="Times New Roman"/>
                <w:bCs/>
              </w:rPr>
            </w:pPr>
            <w:bookmarkStart w:id="47" w:name="_Ref45542575"/>
            <w:r>
              <w:rPr>
                <w:rFonts w:hint="default" w:ascii="Times New Roman" w:hAnsi="Times New Roman" w:cs="Times New Roman"/>
              </w:rPr>
              <w:t>表</w:t>
            </w:r>
            <w:bookmarkEnd w:id="47"/>
            <w:r>
              <w:rPr>
                <w:rFonts w:hint="eastAsia" w:cs="Times New Roman"/>
                <w:lang w:val="en-US" w:eastAsia="zh-CN"/>
              </w:rPr>
              <w:t>7-21</w:t>
            </w:r>
            <w:r>
              <w:rPr>
                <w:rFonts w:hint="default" w:ascii="Times New Roman" w:hAnsi="Times New Roman" w:cs="Times New Roman"/>
              </w:rPr>
              <w:t xml:space="preserve">  </w:t>
            </w:r>
            <w:r>
              <w:rPr>
                <w:rFonts w:hint="default" w:ascii="Times New Roman" w:hAnsi="Times New Roman" w:cs="Times New Roman"/>
                <w:bCs/>
              </w:rPr>
              <w:t xml:space="preserve"> 汽油理化性质一览表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9"/>
              <w:gridCol w:w="2331"/>
              <w:gridCol w:w="399"/>
              <w:gridCol w:w="2366"/>
              <w:gridCol w:w="2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815" w:type="dxa"/>
                  <w:gridSpan w:val="4"/>
                  <w:tcBorders>
                    <w:right w:val="nil"/>
                  </w:tcBorders>
                  <w:vAlign w:val="center"/>
                </w:tcPr>
                <w:p>
                  <w:pPr>
                    <w:pStyle w:val="141"/>
                    <w:rPr>
                      <w:rFonts w:hint="default" w:ascii="Times New Roman" w:hAnsi="Times New Roman" w:cs="Times New Roman"/>
                      <w:lang w:val="en-GB"/>
                    </w:rPr>
                  </w:pPr>
                  <w:r>
                    <w:rPr>
                      <w:rFonts w:hint="default" w:ascii="Times New Roman" w:hAnsi="Times New Roman" w:cs="Times New Roman"/>
                      <w:lang w:val="en-GB"/>
                    </w:rPr>
                    <w:t>第一部分    危险性概述</w:t>
                  </w:r>
                </w:p>
              </w:tc>
              <w:tc>
                <w:tcPr>
                  <w:tcW w:w="2472" w:type="dxa"/>
                  <w:tcBorders>
                    <w:left w:val="nil"/>
                  </w:tcBorders>
                  <w:vAlign w:val="center"/>
                </w:tcPr>
                <w:p>
                  <w:pPr>
                    <w:pStyle w:val="141"/>
                    <w:rPr>
                      <w:rFonts w:hint="default" w:ascii="Times New Roman" w:hAnsi="Times New Roman" w:cs="Times New Roman"/>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719"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危险性类别：</w:t>
                  </w:r>
                </w:p>
              </w:tc>
              <w:tc>
                <w:tcPr>
                  <w:tcW w:w="2730" w:type="dxa"/>
                  <w:gridSpan w:val="2"/>
                  <w:tcBorders>
                    <w:right w:val="nil"/>
                  </w:tcBorders>
                  <w:vAlign w:val="center"/>
                </w:tcPr>
                <w:p>
                  <w:pPr>
                    <w:pStyle w:val="141"/>
                    <w:rPr>
                      <w:rFonts w:hint="default" w:ascii="Times New Roman" w:hAnsi="Times New Roman" w:cs="Times New Roman"/>
                      <w:lang w:val="en-GB"/>
                    </w:rPr>
                  </w:pPr>
                  <w:r>
                    <w:rPr>
                      <w:rFonts w:hint="default" w:ascii="Times New Roman" w:hAnsi="Times New Roman" w:cs="Times New Roman"/>
                      <w:lang w:val="en-GB"/>
                    </w:rPr>
                    <w:t>第3.1类低闪点易燃液体。</w:t>
                  </w:r>
                </w:p>
              </w:tc>
              <w:tc>
                <w:tcPr>
                  <w:tcW w:w="2366" w:type="dxa"/>
                  <w:tcBorders>
                    <w:right w:val="single" w:color="auto" w:sz="4" w:space="0"/>
                  </w:tcBorders>
                  <w:vAlign w:val="center"/>
                </w:tcPr>
                <w:p>
                  <w:pPr>
                    <w:pStyle w:val="141"/>
                    <w:rPr>
                      <w:rFonts w:hint="default" w:ascii="Times New Roman" w:hAnsi="Times New Roman" w:cs="Times New Roman"/>
                      <w:lang w:val="en-GB"/>
                    </w:rPr>
                  </w:pPr>
                  <w:r>
                    <w:rPr>
                      <w:rFonts w:hint="default" w:ascii="Times New Roman" w:hAnsi="Times New Roman" w:cs="Times New Roman"/>
                      <w:lang w:val="en-GB"/>
                    </w:rPr>
                    <w:t>燃爆危险：</w:t>
                  </w:r>
                </w:p>
              </w:tc>
              <w:tc>
                <w:tcPr>
                  <w:tcW w:w="2472" w:type="dxa"/>
                  <w:tcBorders>
                    <w:left w:val="single" w:color="auto" w:sz="4" w:space="0"/>
                  </w:tcBorders>
                  <w:vAlign w:val="center"/>
                </w:tcPr>
                <w:p>
                  <w:pPr>
                    <w:pStyle w:val="141"/>
                    <w:rPr>
                      <w:rFonts w:hint="default" w:ascii="Times New Roman" w:hAnsi="Times New Roman" w:cs="Times New Roman"/>
                      <w:lang w:val="en-GB"/>
                    </w:rPr>
                  </w:pPr>
                  <w:r>
                    <w:rPr>
                      <w:rFonts w:hint="default" w:ascii="Times New Roman" w:hAnsi="Times New Roman" w:cs="Times New Roman"/>
                      <w:lang w:val="en-GB"/>
                    </w:rPr>
                    <w:t>易燃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1719"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侵入途径：</w:t>
                  </w:r>
                </w:p>
              </w:tc>
              <w:tc>
                <w:tcPr>
                  <w:tcW w:w="2730" w:type="dxa"/>
                  <w:gridSpan w:val="2"/>
                  <w:tcBorders>
                    <w:right w:val="nil"/>
                  </w:tcBorders>
                  <w:vAlign w:val="center"/>
                </w:tcPr>
                <w:p>
                  <w:pPr>
                    <w:pStyle w:val="141"/>
                    <w:rPr>
                      <w:rFonts w:hint="default" w:ascii="Times New Roman" w:hAnsi="Times New Roman" w:cs="Times New Roman"/>
                      <w:lang w:val="en-GB"/>
                    </w:rPr>
                  </w:pPr>
                  <w:r>
                    <w:rPr>
                      <w:rFonts w:hint="default" w:ascii="Times New Roman" w:hAnsi="Times New Roman" w:cs="Times New Roman"/>
                      <w:lang w:val="en-GB"/>
                    </w:rPr>
                    <w:t>吸入、食入、经皮吸收。</w:t>
                  </w:r>
                </w:p>
              </w:tc>
              <w:tc>
                <w:tcPr>
                  <w:tcW w:w="2366" w:type="dxa"/>
                  <w:tcBorders>
                    <w:right w:val="single" w:color="auto" w:sz="4" w:space="0"/>
                  </w:tcBorders>
                  <w:vAlign w:val="center"/>
                </w:tcPr>
                <w:p>
                  <w:pPr>
                    <w:pStyle w:val="141"/>
                    <w:rPr>
                      <w:rFonts w:hint="default" w:ascii="Times New Roman" w:hAnsi="Times New Roman" w:cs="Times New Roman"/>
                      <w:lang w:val="en-GB"/>
                    </w:rPr>
                  </w:pPr>
                  <w:r>
                    <w:rPr>
                      <w:rFonts w:hint="default" w:ascii="Times New Roman" w:hAnsi="Times New Roman" w:cs="Times New Roman"/>
                      <w:lang w:val="en-GB"/>
                    </w:rPr>
                    <w:t>有害燃烧产物：</w:t>
                  </w:r>
                </w:p>
              </w:tc>
              <w:tc>
                <w:tcPr>
                  <w:tcW w:w="2472" w:type="dxa"/>
                  <w:tcBorders>
                    <w:left w:val="single" w:color="auto" w:sz="4" w:space="0"/>
                  </w:tcBorders>
                  <w:vAlign w:val="center"/>
                </w:tcPr>
                <w:p>
                  <w:pPr>
                    <w:pStyle w:val="141"/>
                    <w:rPr>
                      <w:rFonts w:hint="default" w:ascii="Times New Roman" w:hAnsi="Times New Roman" w:cs="Times New Roman"/>
                      <w:lang w:val="en-GB"/>
                    </w:rPr>
                  </w:pPr>
                  <w:r>
                    <w:rPr>
                      <w:rFonts w:hint="default" w:ascii="Times New Roman" w:hAnsi="Times New Roman" w:cs="Times New Roman"/>
                      <w:lang w:val="en-GB"/>
                    </w:rPr>
                    <w:t>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719"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健康危害：</w:t>
                  </w:r>
                </w:p>
              </w:tc>
              <w:tc>
                <w:tcPr>
                  <w:tcW w:w="7568" w:type="dxa"/>
                  <w:gridSpan w:val="4"/>
                  <w:vAlign w:val="center"/>
                </w:tcPr>
                <w:p>
                  <w:pPr>
                    <w:pStyle w:val="141"/>
                    <w:rPr>
                      <w:rFonts w:hint="default" w:ascii="Times New Roman" w:hAnsi="Times New Roman" w:cs="Times New Roman"/>
                      <w:lang w:val="en-GB"/>
                    </w:rPr>
                  </w:pPr>
                  <w:r>
                    <w:rPr>
                      <w:rFonts w:hint="default" w:ascii="Times New Roman" w:hAnsi="Times New Roman" w:cs="Times New Roman"/>
                      <w:lang w:val="en-GB"/>
                    </w:rPr>
                    <w:t>主要作用于中枢神经系统，急性中毒症状有头晕、头痛、恶心、呕吐、步态不稳、共济失调。高浓度吸入出现中毒性脑病。极高浓度吸入引起意识突然丧失，反射性呼吸停止及化学性肺炎。可致角膜溃疡、穿孔、甚至失明。皮肤接触致急性接触性皮炎或过敏性皮炎。急性经口中毒引起急性胃肠炎，重者出现类似急性吸入中毒症状。慢性中毒：神经衰弱综合症，周围神经病，皮肤损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719"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环境危害：</w:t>
                  </w:r>
                </w:p>
              </w:tc>
              <w:tc>
                <w:tcPr>
                  <w:tcW w:w="7568" w:type="dxa"/>
                  <w:gridSpan w:val="4"/>
                  <w:vAlign w:val="center"/>
                </w:tcPr>
                <w:p>
                  <w:pPr>
                    <w:pStyle w:val="141"/>
                    <w:rPr>
                      <w:rFonts w:hint="default" w:ascii="Times New Roman" w:hAnsi="Times New Roman" w:cs="Times New Roman"/>
                      <w:lang w:val="en-GB"/>
                    </w:rPr>
                  </w:pPr>
                  <w:r>
                    <w:rPr>
                      <w:rFonts w:hint="default" w:ascii="Times New Roman" w:hAnsi="Times New Roman" w:cs="Times New Roman"/>
                      <w:lang w:val="en-GB"/>
                    </w:rPr>
                    <w:t>该物质对环境有危害，应特别注意对地表水、土壤、大气和饮用水的污染。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287" w:type="dxa"/>
                  <w:gridSpan w:val="5"/>
                  <w:vAlign w:val="center"/>
                </w:tcPr>
                <w:p>
                  <w:pPr>
                    <w:pStyle w:val="141"/>
                    <w:rPr>
                      <w:rFonts w:hint="default" w:ascii="Times New Roman" w:hAnsi="Times New Roman" w:cs="Times New Roman"/>
                      <w:lang w:val="en-GB"/>
                    </w:rPr>
                  </w:pPr>
                  <w:r>
                    <w:rPr>
                      <w:rFonts w:hint="default" w:ascii="Times New Roman" w:hAnsi="Times New Roman" w:cs="Times New Roman"/>
                      <w:lang w:val="en-GB"/>
                    </w:rPr>
                    <w:t>第二部分   理化特性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719"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外观及性状：</w:t>
                  </w:r>
                </w:p>
              </w:tc>
              <w:tc>
                <w:tcPr>
                  <w:tcW w:w="7568" w:type="dxa"/>
                  <w:gridSpan w:val="4"/>
                  <w:vAlign w:val="center"/>
                </w:tcPr>
                <w:p>
                  <w:pPr>
                    <w:pStyle w:val="141"/>
                    <w:rPr>
                      <w:rFonts w:hint="default" w:ascii="Times New Roman" w:hAnsi="Times New Roman" w:cs="Times New Roman"/>
                      <w:lang w:val="en-GB"/>
                    </w:rPr>
                  </w:pPr>
                  <w:r>
                    <w:rPr>
                      <w:rFonts w:hint="default" w:ascii="Times New Roman" w:hAnsi="Times New Roman" w:cs="Times New Roman"/>
                      <w:lang w:val="en-GB"/>
                    </w:rPr>
                    <w:t>无色或淡黄色易挥发液体，具有特殊臭味。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719"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熔点（℃）：</w:t>
                  </w:r>
                </w:p>
              </w:tc>
              <w:tc>
                <w:tcPr>
                  <w:tcW w:w="2331"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&lt;-60</w:t>
                  </w:r>
                </w:p>
              </w:tc>
              <w:tc>
                <w:tcPr>
                  <w:tcW w:w="2765" w:type="dxa"/>
                  <w:gridSpan w:val="2"/>
                  <w:vAlign w:val="center"/>
                </w:tcPr>
                <w:p>
                  <w:pPr>
                    <w:pStyle w:val="141"/>
                    <w:rPr>
                      <w:rFonts w:hint="default" w:ascii="Times New Roman" w:hAnsi="Times New Roman" w:cs="Times New Roman"/>
                      <w:lang w:val="en-GB"/>
                    </w:rPr>
                  </w:pPr>
                  <w:r>
                    <w:rPr>
                      <w:rFonts w:hint="default" w:ascii="Times New Roman" w:hAnsi="Times New Roman" w:cs="Times New Roman"/>
                      <w:lang w:val="en-GB"/>
                    </w:rPr>
                    <w:t>相对密度（水＝1）</w:t>
                  </w:r>
                </w:p>
              </w:tc>
              <w:tc>
                <w:tcPr>
                  <w:tcW w:w="2472"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0.70～0.79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719"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闪点（℃）：</w:t>
                  </w:r>
                </w:p>
              </w:tc>
              <w:tc>
                <w:tcPr>
                  <w:tcW w:w="2331"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-50</w:t>
                  </w:r>
                </w:p>
              </w:tc>
              <w:tc>
                <w:tcPr>
                  <w:tcW w:w="2765" w:type="dxa"/>
                  <w:gridSpan w:val="2"/>
                  <w:vAlign w:val="center"/>
                </w:tcPr>
                <w:p>
                  <w:pPr>
                    <w:pStyle w:val="141"/>
                    <w:rPr>
                      <w:rFonts w:hint="default" w:ascii="Times New Roman" w:hAnsi="Times New Roman" w:cs="Times New Roman"/>
                      <w:lang w:val="en-GB"/>
                    </w:rPr>
                  </w:pPr>
                  <w:r>
                    <w:rPr>
                      <w:rFonts w:hint="default" w:ascii="Times New Roman" w:hAnsi="Times New Roman" w:cs="Times New Roman"/>
                      <w:lang w:val="en-GB"/>
                    </w:rPr>
                    <w:t>相对密度（空气=1）</w:t>
                  </w:r>
                </w:p>
              </w:tc>
              <w:tc>
                <w:tcPr>
                  <w:tcW w:w="2472"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719"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引燃温度（℃）：</w:t>
                  </w:r>
                </w:p>
              </w:tc>
              <w:tc>
                <w:tcPr>
                  <w:tcW w:w="2331"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415～530</w:t>
                  </w:r>
                </w:p>
              </w:tc>
              <w:tc>
                <w:tcPr>
                  <w:tcW w:w="2765" w:type="dxa"/>
                  <w:gridSpan w:val="2"/>
                  <w:vAlign w:val="center"/>
                </w:tcPr>
                <w:p>
                  <w:pPr>
                    <w:pStyle w:val="141"/>
                    <w:rPr>
                      <w:rFonts w:hint="default" w:ascii="Times New Roman" w:hAnsi="Times New Roman" w:cs="Times New Roman"/>
                      <w:lang w:val="en-GB"/>
                    </w:rPr>
                  </w:pPr>
                  <w:r>
                    <w:rPr>
                      <w:rFonts w:hint="default" w:ascii="Times New Roman" w:hAnsi="Times New Roman" w:cs="Times New Roman"/>
                      <w:lang w:val="en-GB"/>
                    </w:rPr>
                    <w:t>爆炸上限％（V/V）：</w:t>
                  </w:r>
                </w:p>
              </w:tc>
              <w:tc>
                <w:tcPr>
                  <w:tcW w:w="2472"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719"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沸点（℃）：</w:t>
                  </w:r>
                </w:p>
              </w:tc>
              <w:tc>
                <w:tcPr>
                  <w:tcW w:w="2331"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40～200</w:t>
                  </w:r>
                </w:p>
              </w:tc>
              <w:tc>
                <w:tcPr>
                  <w:tcW w:w="2765" w:type="dxa"/>
                  <w:gridSpan w:val="2"/>
                  <w:vAlign w:val="center"/>
                </w:tcPr>
                <w:p>
                  <w:pPr>
                    <w:pStyle w:val="141"/>
                    <w:rPr>
                      <w:rFonts w:hint="default" w:ascii="Times New Roman" w:hAnsi="Times New Roman" w:cs="Times New Roman"/>
                      <w:lang w:val="en-GB"/>
                    </w:rPr>
                  </w:pPr>
                  <w:r>
                    <w:rPr>
                      <w:rFonts w:hint="default" w:ascii="Times New Roman" w:hAnsi="Times New Roman" w:cs="Times New Roman"/>
                      <w:lang w:val="en-GB"/>
                    </w:rPr>
                    <w:t>爆炸下限％（V/V）：</w:t>
                  </w:r>
                </w:p>
              </w:tc>
              <w:tc>
                <w:tcPr>
                  <w:tcW w:w="2472"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719"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溶解性：</w:t>
                  </w:r>
                </w:p>
              </w:tc>
              <w:tc>
                <w:tcPr>
                  <w:tcW w:w="7568" w:type="dxa"/>
                  <w:gridSpan w:val="4"/>
                  <w:vAlign w:val="center"/>
                </w:tcPr>
                <w:p>
                  <w:pPr>
                    <w:pStyle w:val="141"/>
                    <w:rPr>
                      <w:rFonts w:hint="default" w:ascii="Times New Roman" w:hAnsi="Times New Roman" w:cs="Times New Roman"/>
                      <w:lang w:val="en-GB"/>
                    </w:rPr>
                  </w:pPr>
                  <w:r>
                    <w:rPr>
                      <w:rFonts w:hint="default" w:ascii="Times New Roman" w:hAnsi="Times New Roman" w:cs="Times New Roman"/>
                      <w:lang w:val="en-GB"/>
                    </w:rPr>
                    <w:t>不溶于水、易溶于苯、二硫化碳、醇、易溶于脂肪。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719"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主要用途：</w:t>
                  </w:r>
                </w:p>
              </w:tc>
              <w:tc>
                <w:tcPr>
                  <w:tcW w:w="7568" w:type="dxa"/>
                  <w:gridSpan w:val="4"/>
                  <w:vAlign w:val="center"/>
                </w:tcPr>
                <w:p>
                  <w:pPr>
                    <w:pStyle w:val="141"/>
                    <w:rPr>
                      <w:rFonts w:hint="default" w:ascii="Times New Roman" w:hAnsi="Times New Roman" w:cs="Times New Roman"/>
                      <w:lang w:val="en-GB"/>
                    </w:rPr>
                  </w:pPr>
                  <w:r>
                    <w:rPr>
                      <w:rFonts w:hint="default" w:ascii="Times New Roman" w:hAnsi="Times New Roman" w:cs="Times New Roman"/>
                      <w:lang w:val="en-GB"/>
                    </w:rPr>
                    <w:t>主要用作汽油机的燃料，用于橡胶、制鞋、印刷、制革、等行业，也可用作机械零件的去污剂。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287" w:type="dxa"/>
                  <w:gridSpan w:val="5"/>
                  <w:vAlign w:val="center"/>
                </w:tcPr>
                <w:p>
                  <w:pPr>
                    <w:pStyle w:val="141"/>
                    <w:rPr>
                      <w:rFonts w:hint="default" w:ascii="Times New Roman" w:hAnsi="Times New Roman" w:cs="Times New Roman"/>
                      <w:lang w:val="en-GB"/>
                    </w:rPr>
                  </w:pPr>
                  <w:r>
                    <w:rPr>
                      <w:rFonts w:hint="default" w:ascii="Times New Roman" w:hAnsi="Times New Roman" w:cs="Times New Roman"/>
                      <w:lang w:val="en-GB"/>
                    </w:rPr>
                    <w:t>第三部分   稳定性及化学活性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719"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稳定性：</w:t>
                  </w:r>
                </w:p>
              </w:tc>
              <w:tc>
                <w:tcPr>
                  <w:tcW w:w="2331"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稳定</w:t>
                  </w:r>
                </w:p>
              </w:tc>
              <w:tc>
                <w:tcPr>
                  <w:tcW w:w="2765" w:type="dxa"/>
                  <w:gridSpan w:val="2"/>
                  <w:vAlign w:val="center"/>
                </w:tcPr>
                <w:p>
                  <w:pPr>
                    <w:pStyle w:val="141"/>
                    <w:rPr>
                      <w:rFonts w:hint="default" w:ascii="Times New Roman" w:hAnsi="Times New Roman" w:cs="Times New Roman"/>
                      <w:lang w:val="en-GB"/>
                    </w:rPr>
                  </w:pPr>
                  <w:r>
                    <w:rPr>
                      <w:rFonts w:hint="default" w:ascii="Times New Roman" w:hAnsi="Times New Roman" w:cs="Times New Roman"/>
                      <w:lang w:val="en-GB"/>
                    </w:rPr>
                    <w:t>避免接触的条件：</w:t>
                  </w:r>
                </w:p>
              </w:tc>
              <w:tc>
                <w:tcPr>
                  <w:tcW w:w="2472"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明火、高热。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719"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禁配物：</w:t>
                  </w:r>
                </w:p>
              </w:tc>
              <w:tc>
                <w:tcPr>
                  <w:tcW w:w="2331"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强氧化剂</w:t>
                  </w:r>
                </w:p>
              </w:tc>
              <w:tc>
                <w:tcPr>
                  <w:tcW w:w="2765" w:type="dxa"/>
                  <w:gridSpan w:val="2"/>
                  <w:vAlign w:val="center"/>
                </w:tcPr>
                <w:p>
                  <w:pPr>
                    <w:pStyle w:val="141"/>
                    <w:rPr>
                      <w:rFonts w:hint="default" w:ascii="Times New Roman" w:hAnsi="Times New Roman" w:cs="Times New Roman"/>
                      <w:lang w:val="en-GB"/>
                    </w:rPr>
                  </w:pPr>
                  <w:r>
                    <w:rPr>
                      <w:rFonts w:hint="default" w:ascii="Times New Roman" w:hAnsi="Times New Roman" w:cs="Times New Roman"/>
                      <w:lang w:val="en-GB"/>
                    </w:rPr>
                    <w:t>聚合危害：</w:t>
                  </w:r>
                </w:p>
              </w:tc>
              <w:tc>
                <w:tcPr>
                  <w:tcW w:w="2472"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不聚合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1719" w:type="dxa"/>
                  <w:tcBorders>
                    <w:bottom w:val="nil"/>
                  </w:tcBorders>
                  <w:vAlign w:val="center"/>
                </w:tcPr>
                <w:p>
                  <w:pPr>
                    <w:pStyle w:val="141"/>
                    <w:rPr>
                      <w:rFonts w:hint="default" w:ascii="Times New Roman" w:hAnsi="Times New Roman" w:cs="Times New Roman"/>
                      <w:lang w:val="en-GB"/>
                    </w:rPr>
                  </w:pPr>
                  <w:r>
                    <w:rPr>
                      <w:rFonts w:hint="default" w:ascii="Times New Roman" w:hAnsi="Times New Roman" w:cs="Times New Roman"/>
                      <w:lang w:val="en-GB"/>
                    </w:rPr>
                    <w:t>分解产物：</w:t>
                  </w:r>
                </w:p>
              </w:tc>
              <w:tc>
                <w:tcPr>
                  <w:tcW w:w="7568" w:type="dxa"/>
                  <w:gridSpan w:val="4"/>
                  <w:tcBorders>
                    <w:bottom w:val="nil"/>
                  </w:tcBorders>
                  <w:vAlign w:val="center"/>
                </w:tcPr>
                <w:p>
                  <w:pPr>
                    <w:pStyle w:val="141"/>
                    <w:rPr>
                      <w:rFonts w:hint="default" w:ascii="Times New Roman" w:hAnsi="Times New Roman" w:cs="Times New Roman"/>
                      <w:lang w:val="en-GB"/>
                    </w:rPr>
                  </w:pPr>
                  <w:r>
                    <w:rPr>
                      <w:rFonts w:hint="default" w:ascii="Times New Roman" w:hAnsi="Times New Roman" w:cs="Times New Roman"/>
                      <w:lang w:val="en-GB"/>
                    </w:rPr>
                    <w:t>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287" w:type="dxa"/>
                  <w:gridSpan w:val="5"/>
                  <w:vAlign w:val="center"/>
                </w:tcPr>
                <w:p>
                  <w:pPr>
                    <w:pStyle w:val="141"/>
                    <w:rPr>
                      <w:rFonts w:hint="default" w:ascii="Times New Roman" w:hAnsi="Times New Roman" w:cs="Times New Roman"/>
                      <w:lang w:val="en-GB"/>
                    </w:rPr>
                  </w:pPr>
                  <w:r>
                    <w:rPr>
                      <w:rFonts w:hint="default" w:ascii="Times New Roman" w:hAnsi="Times New Roman" w:cs="Times New Roman"/>
                      <w:lang w:val="en-GB"/>
                    </w:rPr>
                    <w:t>第四部分  毒理学资料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719"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急性毒性：</w:t>
                  </w:r>
                </w:p>
              </w:tc>
              <w:tc>
                <w:tcPr>
                  <w:tcW w:w="7568" w:type="dxa"/>
                  <w:gridSpan w:val="4"/>
                  <w:vAlign w:val="center"/>
                </w:tcPr>
                <w:p>
                  <w:pPr>
                    <w:pStyle w:val="141"/>
                    <w:rPr>
                      <w:rFonts w:hint="default" w:ascii="Times New Roman" w:hAnsi="Times New Roman" w:cs="Times New Roman"/>
                      <w:lang w:val="en-GB"/>
                    </w:rPr>
                  </w:pPr>
                  <w:r>
                    <w:rPr>
                      <w:rFonts w:hint="default" w:ascii="Times New Roman" w:hAnsi="Times New Roman" w:cs="Times New Roman"/>
                      <w:lang w:val="en-GB"/>
                    </w:rPr>
                    <w:t>LD50 67000mg/kg（小鼠经口），（120号溶剂汽油）</w:t>
                  </w:r>
                </w:p>
                <w:p>
                  <w:pPr>
                    <w:pStyle w:val="141"/>
                    <w:rPr>
                      <w:rFonts w:hint="default" w:ascii="Times New Roman" w:hAnsi="Times New Roman" w:cs="Times New Roman"/>
                      <w:lang w:val="en-GB"/>
                    </w:rPr>
                  </w:pPr>
                  <w:r>
                    <w:rPr>
                      <w:rFonts w:hint="default" w:ascii="Times New Roman" w:hAnsi="Times New Roman" w:cs="Times New Roman"/>
                      <w:lang w:val="en-GB"/>
                    </w:rPr>
                    <w:t>LC50  103000mg/m</w:t>
                  </w:r>
                  <w:r>
                    <w:rPr>
                      <w:rFonts w:hint="default" w:ascii="Times New Roman" w:hAnsi="Times New Roman" w:cs="Times New Roman"/>
                      <w:vertAlign w:val="superscript"/>
                      <w:lang w:val="en-GB"/>
                    </w:rPr>
                    <w:t>3</w:t>
                  </w:r>
                  <w:r>
                    <w:rPr>
                      <w:rFonts w:hint="default" w:ascii="Times New Roman" w:hAnsi="Times New Roman" w:cs="Times New Roman"/>
                      <w:lang w:val="en-GB"/>
                    </w:rPr>
                    <w:t>小鼠，2小时（120号溶剂汽油）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719"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急性中毒：</w:t>
                  </w:r>
                </w:p>
              </w:tc>
              <w:tc>
                <w:tcPr>
                  <w:tcW w:w="7568" w:type="dxa"/>
                  <w:gridSpan w:val="4"/>
                  <w:vAlign w:val="center"/>
                </w:tcPr>
                <w:p>
                  <w:pPr>
                    <w:pStyle w:val="141"/>
                    <w:rPr>
                      <w:rFonts w:hint="default" w:ascii="Times New Roman" w:hAnsi="Times New Roman" w:cs="Times New Roman"/>
                      <w:lang w:val="en-GB"/>
                    </w:rPr>
                  </w:pPr>
                  <w:r>
                    <w:rPr>
                      <w:rFonts w:hint="default" w:ascii="Times New Roman" w:hAnsi="Times New Roman" w:cs="Times New Roman"/>
                      <w:lang w:val="en-GB"/>
                    </w:rPr>
                    <w:t>高浓度吸入出现中毒性脑病。极高浓度吸入引起意识突然丧失、反射性呼吸停止和化学性肺炎。可致角膜溃疡、穿孔，甚至失明。皮肤接触致急性接触性皮炎或过敏性皮炎。急性经口中毒引起急性胃肠炎；重者出现类似急性吸入中毒症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719"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慢性中毒：</w:t>
                  </w:r>
                </w:p>
              </w:tc>
              <w:tc>
                <w:tcPr>
                  <w:tcW w:w="7568" w:type="dxa"/>
                  <w:gridSpan w:val="4"/>
                  <w:vAlign w:val="center"/>
                </w:tcPr>
                <w:p>
                  <w:pPr>
                    <w:pStyle w:val="141"/>
                    <w:rPr>
                      <w:rFonts w:hint="default" w:ascii="Times New Roman" w:hAnsi="Times New Roman" w:cs="Times New Roman"/>
                      <w:lang w:val="en-GB"/>
                    </w:rPr>
                  </w:pPr>
                  <w:r>
                    <w:rPr>
                      <w:rFonts w:hint="default" w:ascii="Times New Roman" w:hAnsi="Times New Roman" w:cs="Times New Roman"/>
                      <w:lang w:val="en-GB"/>
                    </w:rPr>
                    <w:t>神经衰弱综合症，周围神经病，皮肤损害。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719"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刺激性：</w:t>
                  </w:r>
                </w:p>
              </w:tc>
              <w:tc>
                <w:tcPr>
                  <w:tcW w:w="7568" w:type="dxa"/>
                  <w:gridSpan w:val="4"/>
                  <w:vAlign w:val="center"/>
                </w:tcPr>
                <w:p>
                  <w:pPr>
                    <w:pStyle w:val="141"/>
                    <w:rPr>
                      <w:rFonts w:hint="default" w:ascii="Times New Roman" w:hAnsi="Times New Roman" w:cs="Times New Roman"/>
                      <w:lang w:val="en-GB"/>
                    </w:rPr>
                  </w:pPr>
                  <w:r>
                    <w:rPr>
                      <w:rFonts w:hint="default" w:ascii="Times New Roman" w:hAnsi="Times New Roman" w:cs="Times New Roman"/>
                      <w:lang w:val="en-GB"/>
                    </w:rPr>
                    <w:t>人经眼：140ppm（8小时），轻度刺激。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719"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最高容许浓度</w:t>
                  </w:r>
                </w:p>
              </w:tc>
              <w:tc>
                <w:tcPr>
                  <w:tcW w:w="7568" w:type="dxa"/>
                  <w:gridSpan w:val="4"/>
                  <w:vAlign w:val="center"/>
                </w:tcPr>
                <w:p>
                  <w:pPr>
                    <w:pStyle w:val="141"/>
                    <w:rPr>
                      <w:rFonts w:hint="default" w:ascii="Times New Roman" w:hAnsi="Times New Roman" w:cs="Times New Roman"/>
                      <w:lang w:val="en-GB"/>
                    </w:rPr>
                  </w:pPr>
                  <w:r>
                    <w:rPr>
                      <w:rFonts w:hint="default" w:ascii="Times New Roman" w:hAnsi="Times New Roman" w:cs="Times New Roman"/>
                      <w:lang w:val="en-GB"/>
                    </w:rPr>
                    <w:t>300mg/m</w:t>
                  </w:r>
                  <w:r>
                    <w:rPr>
                      <w:rFonts w:hint="default" w:ascii="Times New Roman" w:hAnsi="Times New Roman" w:cs="Times New Roman"/>
                      <w:vertAlign w:val="superscript"/>
                      <w:lang w:val="en-GB"/>
                    </w:rPr>
                    <w:t>3</w:t>
                  </w:r>
                </w:p>
              </w:tc>
            </w:tr>
          </w:tbl>
          <w:p>
            <w:pPr>
              <w:pStyle w:val="143"/>
              <w:spacing w:before="156"/>
              <w:rPr>
                <w:rFonts w:hint="default" w:ascii="Times New Roman" w:hAnsi="Times New Roman" w:cs="Times New Roman"/>
                <w:bCs/>
                <w:szCs w:val="22"/>
              </w:rPr>
            </w:pPr>
            <w:bookmarkStart w:id="48" w:name="_Ref45542583"/>
            <w:r>
              <w:rPr>
                <w:rFonts w:hint="default" w:ascii="Times New Roman" w:hAnsi="Times New Roman" w:cs="Times New Roman"/>
                <w:bCs/>
                <w:szCs w:val="22"/>
              </w:rPr>
              <w:t>表</w:t>
            </w:r>
            <w:bookmarkEnd w:id="48"/>
            <w:r>
              <w:rPr>
                <w:rFonts w:hint="eastAsia" w:cs="Times New Roman"/>
                <w:bCs/>
                <w:szCs w:val="22"/>
                <w:lang w:val="en-US" w:eastAsia="zh-CN"/>
              </w:rPr>
              <w:t>7-22</w:t>
            </w:r>
            <w:r>
              <w:rPr>
                <w:rFonts w:hint="default" w:ascii="Times New Roman" w:hAnsi="Times New Roman" w:cs="Times New Roman"/>
                <w:bCs/>
                <w:szCs w:val="22"/>
              </w:rPr>
              <w:t xml:space="preserve">  柴油理化性质一览表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5"/>
              <w:gridCol w:w="2920"/>
              <w:gridCol w:w="2132"/>
              <w:gridCol w:w="2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7" w:type="dxa"/>
                  <w:gridSpan w:val="4"/>
                  <w:vAlign w:val="center"/>
                </w:tcPr>
                <w:p>
                  <w:pPr>
                    <w:pStyle w:val="141"/>
                    <w:rPr>
                      <w:rFonts w:hint="default" w:ascii="Times New Roman" w:hAnsi="Times New Roman" w:cs="Times New Roman"/>
                      <w:lang w:val="en-GB"/>
                    </w:rPr>
                  </w:pPr>
                  <w:r>
                    <w:rPr>
                      <w:rFonts w:hint="default" w:ascii="Times New Roman" w:hAnsi="Times New Roman" w:cs="Times New Roman"/>
                      <w:lang w:val="en-GB"/>
                    </w:rPr>
                    <w:t>第一部分  危险性概述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5"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危险性类别：</w:t>
                  </w:r>
                </w:p>
              </w:tc>
              <w:tc>
                <w:tcPr>
                  <w:tcW w:w="2920"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第3.3类高闪点 易燃液体</w:t>
                  </w:r>
                </w:p>
              </w:tc>
              <w:tc>
                <w:tcPr>
                  <w:tcW w:w="2132"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燃爆危险：</w:t>
                  </w:r>
                </w:p>
              </w:tc>
              <w:tc>
                <w:tcPr>
                  <w:tcW w:w="2420"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易燃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5"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侵入途径：</w:t>
                  </w:r>
                </w:p>
              </w:tc>
              <w:tc>
                <w:tcPr>
                  <w:tcW w:w="2920"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吸入、食入、经皮吸收</w:t>
                  </w:r>
                </w:p>
              </w:tc>
              <w:tc>
                <w:tcPr>
                  <w:tcW w:w="2132"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有害燃烧产物：</w:t>
                  </w:r>
                </w:p>
              </w:tc>
              <w:tc>
                <w:tcPr>
                  <w:tcW w:w="2420"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5"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环境危害：</w:t>
                  </w:r>
                </w:p>
              </w:tc>
              <w:tc>
                <w:tcPr>
                  <w:tcW w:w="7472" w:type="dxa"/>
                  <w:gridSpan w:val="3"/>
                  <w:vAlign w:val="center"/>
                </w:tcPr>
                <w:p>
                  <w:pPr>
                    <w:pStyle w:val="141"/>
                    <w:rPr>
                      <w:rFonts w:hint="default" w:ascii="Times New Roman" w:hAnsi="Times New Roman" w:cs="Times New Roman"/>
                      <w:lang w:val="en-GB"/>
                    </w:rPr>
                  </w:pPr>
                  <w:r>
                    <w:rPr>
                      <w:rFonts w:hint="default" w:ascii="Times New Roman" w:hAnsi="Times New Roman" w:cs="Times New Roman"/>
                      <w:lang w:val="en-GB"/>
                    </w:rPr>
                    <w:t>该物质对环境有危害，应特别注意对地表水、土壤、大气和饮用水的污染。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7" w:type="dxa"/>
                  <w:gridSpan w:val="4"/>
                  <w:vAlign w:val="center"/>
                </w:tcPr>
                <w:p>
                  <w:pPr>
                    <w:pStyle w:val="141"/>
                    <w:rPr>
                      <w:rFonts w:hint="default" w:ascii="Times New Roman" w:hAnsi="Times New Roman" w:cs="Times New Roman"/>
                      <w:lang w:val="en-GB"/>
                    </w:rPr>
                  </w:pPr>
                  <w:r>
                    <w:rPr>
                      <w:rFonts w:hint="default" w:ascii="Times New Roman" w:hAnsi="Times New Roman" w:cs="Times New Roman"/>
                      <w:lang w:val="en-GB"/>
                    </w:rPr>
                    <w:t>第二部分   理化特性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5"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外观及性状：</w:t>
                  </w:r>
                </w:p>
              </w:tc>
              <w:tc>
                <w:tcPr>
                  <w:tcW w:w="2920"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稍有粘性的棕色液体。</w:t>
                  </w:r>
                </w:p>
              </w:tc>
              <w:tc>
                <w:tcPr>
                  <w:tcW w:w="2132"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主要用途：</w:t>
                  </w:r>
                </w:p>
              </w:tc>
              <w:tc>
                <w:tcPr>
                  <w:tcW w:w="2420"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用作柴油机的燃料等。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5"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闪点（℃）：</w:t>
                  </w:r>
                </w:p>
              </w:tc>
              <w:tc>
                <w:tcPr>
                  <w:tcW w:w="2920"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45～55℃</w:t>
                  </w:r>
                </w:p>
              </w:tc>
              <w:tc>
                <w:tcPr>
                  <w:tcW w:w="2132"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相对密度（水＝1）：</w:t>
                  </w:r>
                </w:p>
              </w:tc>
              <w:tc>
                <w:tcPr>
                  <w:tcW w:w="2420"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0.87～0.9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5"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沸点（℃）：</w:t>
                  </w:r>
                </w:p>
              </w:tc>
              <w:tc>
                <w:tcPr>
                  <w:tcW w:w="2920"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200～350℃</w:t>
                  </w:r>
                </w:p>
              </w:tc>
              <w:tc>
                <w:tcPr>
                  <w:tcW w:w="2132"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爆炸上限％（V/V）：</w:t>
                  </w:r>
                </w:p>
              </w:tc>
              <w:tc>
                <w:tcPr>
                  <w:tcW w:w="2420"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5"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自然点（℃）：</w:t>
                  </w:r>
                </w:p>
              </w:tc>
              <w:tc>
                <w:tcPr>
                  <w:tcW w:w="2920"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257</w:t>
                  </w:r>
                </w:p>
              </w:tc>
              <w:tc>
                <w:tcPr>
                  <w:tcW w:w="2132"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爆炸下限％（V/V）：</w:t>
                  </w:r>
                </w:p>
              </w:tc>
              <w:tc>
                <w:tcPr>
                  <w:tcW w:w="2420"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5"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溶解性：</w:t>
                  </w:r>
                </w:p>
              </w:tc>
              <w:tc>
                <w:tcPr>
                  <w:tcW w:w="7472" w:type="dxa"/>
                  <w:gridSpan w:val="3"/>
                  <w:vAlign w:val="center"/>
                </w:tcPr>
                <w:p>
                  <w:pPr>
                    <w:pStyle w:val="141"/>
                    <w:rPr>
                      <w:rFonts w:hint="default" w:ascii="Times New Roman" w:hAnsi="Times New Roman" w:cs="Times New Roman"/>
                      <w:lang w:val="en-GB"/>
                    </w:rPr>
                  </w:pPr>
                  <w:r>
                    <w:rPr>
                      <w:rFonts w:hint="default" w:ascii="Times New Roman" w:hAnsi="Times New Roman" w:cs="Times New Roman"/>
                      <w:lang w:val="en-GB"/>
                    </w:rPr>
                    <w:t>不溶于水，易溶于苯、二硫化碳、醇，易溶于脂肪。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7" w:type="dxa"/>
                  <w:gridSpan w:val="4"/>
                  <w:vAlign w:val="center"/>
                </w:tcPr>
                <w:p>
                  <w:pPr>
                    <w:pStyle w:val="141"/>
                    <w:rPr>
                      <w:rFonts w:hint="default" w:ascii="Times New Roman" w:hAnsi="Times New Roman" w:cs="Times New Roman"/>
                      <w:lang w:val="en-GB"/>
                    </w:rPr>
                  </w:pPr>
                  <w:r>
                    <w:rPr>
                      <w:rFonts w:hint="default" w:ascii="Times New Roman" w:hAnsi="Times New Roman" w:cs="Times New Roman"/>
                      <w:lang w:val="en-GB"/>
                    </w:rPr>
                    <w:t>第三部分   稳定性及化学活性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5"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稳定性：</w:t>
                  </w:r>
                </w:p>
              </w:tc>
              <w:tc>
                <w:tcPr>
                  <w:tcW w:w="2920"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稳定</w:t>
                  </w:r>
                </w:p>
              </w:tc>
              <w:tc>
                <w:tcPr>
                  <w:tcW w:w="2132"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避免接触的条件：</w:t>
                  </w:r>
                </w:p>
              </w:tc>
              <w:tc>
                <w:tcPr>
                  <w:tcW w:w="2420"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明火、高热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5"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禁配物：</w:t>
                  </w:r>
                </w:p>
              </w:tc>
              <w:tc>
                <w:tcPr>
                  <w:tcW w:w="2920"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强氧化剂、卤素</w:t>
                  </w:r>
                </w:p>
              </w:tc>
              <w:tc>
                <w:tcPr>
                  <w:tcW w:w="2132"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聚合危害：</w:t>
                  </w:r>
                </w:p>
              </w:tc>
              <w:tc>
                <w:tcPr>
                  <w:tcW w:w="2420"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不聚合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5"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分解产物：</w:t>
                  </w:r>
                </w:p>
              </w:tc>
              <w:tc>
                <w:tcPr>
                  <w:tcW w:w="7472" w:type="dxa"/>
                  <w:gridSpan w:val="3"/>
                  <w:vAlign w:val="center"/>
                </w:tcPr>
                <w:p>
                  <w:pPr>
                    <w:pStyle w:val="141"/>
                    <w:rPr>
                      <w:rFonts w:hint="default" w:ascii="Times New Roman" w:hAnsi="Times New Roman" w:cs="Times New Roman"/>
                      <w:lang w:val="en-GB"/>
                    </w:rPr>
                  </w:pPr>
                  <w:r>
                    <w:rPr>
                      <w:rFonts w:hint="default" w:ascii="Times New Roman" w:hAnsi="Times New Roman" w:cs="Times New Roman"/>
                      <w:lang w:val="en-GB"/>
                    </w:rPr>
                    <w:t>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87" w:type="dxa"/>
                  <w:gridSpan w:val="4"/>
                  <w:vAlign w:val="center"/>
                </w:tcPr>
                <w:p>
                  <w:pPr>
                    <w:pStyle w:val="141"/>
                    <w:rPr>
                      <w:rFonts w:hint="default" w:ascii="Times New Roman" w:hAnsi="Times New Roman" w:cs="Times New Roman"/>
                      <w:lang w:val="en-GB"/>
                    </w:rPr>
                  </w:pPr>
                  <w:r>
                    <w:rPr>
                      <w:rFonts w:hint="default" w:ascii="Times New Roman" w:hAnsi="Times New Roman" w:cs="Times New Roman"/>
                      <w:lang w:val="en-GB"/>
                    </w:rPr>
                    <w:t>第四部分   毒理学资料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5"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急性毒性：</w:t>
                  </w:r>
                </w:p>
              </w:tc>
              <w:tc>
                <w:tcPr>
                  <w:tcW w:w="7472" w:type="dxa"/>
                  <w:gridSpan w:val="3"/>
                  <w:vAlign w:val="center"/>
                </w:tcPr>
                <w:p>
                  <w:pPr>
                    <w:pStyle w:val="141"/>
                    <w:rPr>
                      <w:rFonts w:hint="default" w:ascii="Times New Roman" w:hAnsi="Times New Roman" w:cs="Times New Roman"/>
                      <w:lang w:val="en-GB"/>
                    </w:rPr>
                  </w:pPr>
                  <w:r>
                    <w:rPr>
                      <w:rFonts w:hint="default" w:ascii="Times New Roman" w:hAnsi="Times New Roman" w:cs="Times New Roman"/>
                      <w:lang w:val="en-GB"/>
                    </w:rPr>
                    <w:t>LD</w:t>
                  </w:r>
                  <w:r>
                    <w:rPr>
                      <w:rFonts w:hint="default" w:ascii="Times New Roman" w:hAnsi="Times New Roman" w:cs="Times New Roman"/>
                      <w:vertAlign w:val="subscript"/>
                      <w:lang w:val="en-GB"/>
                    </w:rPr>
                    <w:t>50</w:t>
                  </w:r>
                  <w:r>
                    <w:rPr>
                      <w:rFonts w:hint="default" w:ascii="Times New Roman" w:hAnsi="Times New Roman" w:cs="Times New Roman"/>
                      <w:lang w:val="en-GB"/>
                    </w:rPr>
                    <w:t>:无资料  LC</w:t>
                  </w:r>
                  <w:r>
                    <w:rPr>
                      <w:rFonts w:hint="default" w:ascii="Times New Roman" w:hAnsi="Times New Roman" w:cs="Times New Roman"/>
                      <w:vertAlign w:val="subscript"/>
                      <w:lang w:val="en-GB"/>
                    </w:rPr>
                    <w:t>50</w:t>
                  </w:r>
                  <w:r>
                    <w:rPr>
                      <w:rFonts w:hint="default" w:ascii="Times New Roman" w:hAnsi="Times New Roman" w:cs="Times New Roman"/>
                      <w:lang w:val="en-GB"/>
                    </w:rPr>
                    <w:t xml:space="preserve">：无资料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5"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急性中毒：</w:t>
                  </w:r>
                </w:p>
              </w:tc>
              <w:tc>
                <w:tcPr>
                  <w:tcW w:w="7472" w:type="dxa"/>
                  <w:gridSpan w:val="3"/>
                  <w:vAlign w:val="center"/>
                </w:tcPr>
                <w:p>
                  <w:pPr>
                    <w:pStyle w:val="141"/>
                    <w:rPr>
                      <w:rFonts w:hint="default" w:ascii="Times New Roman" w:hAnsi="Times New Roman" w:cs="Times New Roman"/>
                      <w:lang w:val="en-GB"/>
                    </w:rPr>
                  </w:pPr>
                  <w:r>
                    <w:rPr>
                      <w:rFonts w:hint="default" w:ascii="Times New Roman" w:hAnsi="Times New Roman" w:cs="Times New Roman"/>
                      <w:lang w:val="en-GB"/>
                    </w:rPr>
                    <w:t>皮肤接触柴油可引起接触性皮炎、油性痤疮，吸入可引起吸入性肺炎，能经胎盘进入胎儿血中。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5"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慢性中毒：</w:t>
                  </w:r>
                </w:p>
              </w:tc>
              <w:tc>
                <w:tcPr>
                  <w:tcW w:w="7472" w:type="dxa"/>
                  <w:gridSpan w:val="3"/>
                  <w:vAlign w:val="center"/>
                </w:tcPr>
                <w:p>
                  <w:pPr>
                    <w:pStyle w:val="141"/>
                    <w:rPr>
                      <w:rFonts w:hint="default" w:ascii="Times New Roman" w:hAnsi="Times New Roman" w:cs="Times New Roman"/>
                      <w:lang w:val="en-GB"/>
                    </w:rPr>
                  </w:pPr>
                  <w:r>
                    <w:rPr>
                      <w:rFonts w:hint="default" w:ascii="Times New Roman" w:hAnsi="Times New Roman" w:cs="Times New Roman"/>
                      <w:lang w:val="en-GB"/>
                    </w:rPr>
                    <w:t>柴油废气可引起眼、鼻刺激症状，头痛。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5"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刺激性：</w:t>
                  </w:r>
                </w:p>
              </w:tc>
              <w:tc>
                <w:tcPr>
                  <w:tcW w:w="7472" w:type="dxa"/>
                  <w:gridSpan w:val="3"/>
                  <w:vAlign w:val="center"/>
                </w:tcPr>
                <w:p>
                  <w:pPr>
                    <w:pStyle w:val="141"/>
                    <w:rPr>
                      <w:rFonts w:hint="default" w:ascii="Times New Roman" w:hAnsi="Times New Roman" w:cs="Times New Roman"/>
                      <w:lang w:val="en-GB"/>
                    </w:rPr>
                  </w:pPr>
                  <w:r>
                    <w:rPr>
                      <w:rFonts w:hint="default" w:ascii="Times New Roman" w:hAnsi="Times New Roman" w:cs="Times New Roman"/>
                      <w:lang w:val="en-GB"/>
                    </w:rPr>
                    <w:t>具有刺激作用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15" w:type="dxa"/>
                  <w:vAlign w:val="center"/>
                </w:tcPr>
                <w:p>
                  <w:pPr>
                    <w:pStyle w:val="141"/>
                    <w:rPr>
                      <w:rFonts w:hint="default" w:ascii="Times New Roman" w:hAnsi="Times New Roman" w:cs="Times New Roman"/>
                      <w:lang w:val="en-GB"/>
                    </w:rPr>
                  </w:pPr>
                  <w:r>
                    <w:rPr>
                      <w:rFonts w:hint="default" w:ascii="Times New Roman" w:hAnsi="Times New Roman" w:cs="Times New Roman"/>
                      <w:lang w:val="en-GB"/>
                    </w:rPr>
                    <w:t>最高容许浓度</w:t>
                  </w:r>
                </w:p>
              </w:tc>
              <w:tc>
                <w:tcPr>
                  <w:tcW w:w="7472" w:type="dxa"/>
                  <w:gridSpan w:val="3"/>
                  <w:vAlign w:val="center"/>
                </w:tcPr>
                <w:p>
                  <w:pPr>
                    <w:pStyle w:val="141"/>
                    <w:rPr>
                      <w:rFonts w:hint="default" w:ascii="Times New Roman" w:hAnsi="Times New Roman" w:cs="Times New Roman"/>
                      <w:lang w:val="en-GB"/>
                    </w:rPr>
                  </w:pPr>
                  <w:r>
                    <w:rPr>
                      <w:rFonts w:hint="default" w:ascii="Times New Roman" w:hAnsi="Times New Roman" w:cs="Times New Roman"/>
                      <w:lang w:val="en-GB"/>
                    </w:rPr>
                    <w:t>目前无标准</w:t>
                  </w:r>
                </w:p>
              </w:tc>
            </w:tr>
          </w:tbl>
          <w:p>
            <w:pPr>
              <w:pStyle w:val="137"/>
              <w:ind w:firstLine="480"/>
              <w:rPr>
                <w:rFonts w:hint="default" w:ascii="Times New Roman" w:hAnsi="Times New Roman" w:cs="Times New Roman"/>
              </w:rPr>
            </w:pPr>
          </w:p>
          <w:p>
            <w:pPr>
              <w:pStyle w:val="137"/>
              <w:ind w:firstLine="480"/>
              <w:rPr>
                <w:rFonts w:hint="default" w:ascii="Times New Roman" w:hAnsi="Times New Roman" w:cs="Times New Roman"/>
              </w:rPr>
            </w:pPr>
            <w:r>
              <w:rPr>
                <w:rFonts w:hint="default" w:ascii="Times New Roman" w:hAnsi="Times New Roman" w:cs="Times New Roman"/>
              </w:rPr>
              <w:t>（2）营运期潜在风险因素识别</w:t>
            </w:r>
          </w:p>
          <w:p>
            <w:pPr>
              <w:pStyle w:val="137"/>
              <w:ind w:firstLine="480"/>
              <w:rPr>
                <w:rFonts w:hint="default" w:ascii="Times New Roman" w:hAnsi="Times New Roman" w:cs="Times New Roman"/>
              </w:rPr>
            </w:pPr>
            <w:r>
              <w:rPr>
                <w:rFonts w:hint="default" w:ascii="Times New Roman" w:hAnsi="Times New Roman" w:cs="Times New Roman"/>
              </w:rPr>
              <w:t>①泄露、溢出</w:t>
            </w:r>
          </w:p>
          <w:p>
            <w:pPr>
              <w:pStyle w:val="137"/>
              <w:ind w:firstLine="480"/>
              <w:rPr>
                <w:rFonts w:hint="default" w:ascii="Times New Roman" w:hAnsi="Times New Roman" w:cs="Times New Roman"/>
              </w:rPr>
            </w:pPr>
            <w:r>
              <w:rPr>
                <w:rFonts w:hint="default" w:ascii="Times New Roman" w:hAnsi="Times New Roman" w:cs="Times New Roman"/>
              </w:rPr>
              <w:t>本项目在卸油、储存和加油过程中，因容器、管道破裂及操作失误，造成油品泄露，油品泄露可造成作业场所有害物质浓度超标，如果缺少个体防护设施或个人防护设施使用不当，存在操作人员中毒和窒息的危险。</w:t>
            </w:r>
          </w:p>
          <w:p>
            <w:pPr>
              <w:pStyle w:val="137"/>
              <w:ind w:firstLine="480"/>
              <w:rPr>
                <w:rFonts w:hint="default" w:ascii="Times New Roman" w:hAnsi="Times New Roman" w:cs="Times New Roman"/>
              </w:rPr>
            </w:pPr>
            <w:r>
              <w:rPr>
                <w:rFonts w:hint="default" w:ascii="Times New Roman" w:hAnsi="Times New Roman" w:cs="Times New Roman"/>
              </w:rPr>
              <w:t>引起汽油/柴油泄露事故主要有以下几种情况：</w:t>
            </w:r>
          </w:p>
          <w:p>
            <w:pPr>
              <w:pStyle w:val="137"/>
              <w:ind w:firstLine="480"/>
              <w:rPr>
                <w:rFonts w:hint="default" w:ascii="Times New Roman" w:hAnsi="Times New Roman" w:cs="Times New Roman"/>
              </w:rPr>
            </w:pPr>
            <w:r>
              <w:rPr>
                <w:rFonts w:hint="default" w:ascii="Times New Roman" w:hAnsi="Times New Roman" w:cs="Times New Roman"/>
              </w:rPr>
              <w:t xml:space="preserve">a.油罐计量仪表失灵，致使油罐加油过程中灌满溢出； </w:t>
            </w:r>
          </w:p>
          <w:p>
            <w:pPr>
              <w:pStyle w:val="137"/>
              <w:ind w:firstLine="480"/>
              <w:rPr>
                <w:rFonts w:hint="default" w:ascii="Times New Roman" w:hAnsi="Times New Roman" w:cs="Times New Roman"/>
              </w:rPr>
            </w:pPr>
            <w:r>
              <w:rPr>
                <w:rFonts w:hint="default" w:ascii="Times New Roman" w:hAnsi="Times New Roman" w:cs="Times New Roman"/>
              </w:rPr>
              <w:t>b.在为储罐加油过程中，由于存在气障气阻，致使油类溢出； c.输油管道腐蚀致使油类泄露；</w:t>
            </w:r>
          </w:p>
          <w:p>
            <w:pPr>
              <w:pStyle w:val="137"/>
              <w:ind w:firstLine="480"/>
              <w:rPr>
                <w:rFonts w:hint="default" w:ascii="Times New Roman" w:hAnsi="Times New Roman" w:cs="Times New Roman"/>
              </w:rPr>
            </w:pPr>
            <w:r>
              <w:rPr>
                <w:rFonts w:hint="default" w:ascii="Times New Roman" w:hAnsi="Times New Roman" w:cs="Times New Roman"/>
              </w:rPr>
              <w:t>d.在加油过程中，由于接口不同，衔接不严密，致使油类溢出。</w:t>
            </w:r>
          </w:p>
          <w:p>
            <w:pPr>
              <w:pStyle w:val="137"/>
              <w:ind w:firstLine="480"/>
              <w:rPr>
                <w:rFonts w:hint="default" w:ascii="Times New Roman" w:hAnsi="Times New Roman" w:cs="Times New Roman"/>
              </w:rPr>
            </w:pPr>
            <w:r>
              <w:rPr>
                <w:rFonts w:hint="default" w:ascii="Times New Roman" w:hAnsi="Times New Roman" w:cs="Times New Roman"/>
              </w:rPr>
              <w:t>②火灾、爆炸</w:t>
            </w:r>
          </w:p>
          <w:p>
            <w:pPr>
              <w:pStyle w:val="137"/>
              <w:ind w:firstLine="480"/>
              <w:rPr>
                <w:rFonts w:hint="default" w:ascii="Times New Roman" w:hAnsi="Times New Roman" w:cs="Times New Roman"/>
              </w:rPr>
            </w:pPr>
            <w:r>
              <w:rPr>
                <w:rFonts w:hint="default" w:ascii="Times New Roman" w:hAnsi="Times New Roman" w:cs="Times New Roman"/>
              </w:rPr>
              <w:t>引起火灾、爆炸的事故的条件：油类泄漏或油气蒸发；有足够的空气助燃；油气必须与空气混和，并达到一定的密度；现场明火；有以上四个条件同时具备时才可能发生火灾和爆炸。根据全国统计，储罐火灾及爆炸事故发生的概率远远低于 3.1×10 -5 次/年，并随着今年来防灾技术水平的提高，呈下降趋势。</w:t>
            </w:r>
          </w:p>
          <w:p>
            <w:pPr>
              <w:pStyle w:val="137"/>
              <w:ind w:firstLine="480"/>
              <w:rPr>
                <w:rFonts w:hint="default" w:ascii="Times New Roman" w:hAnsi="Times New Roman" w:cs="Times New Roman"/>
              </w:rPr>
            </w:pPr>
            <w:r>
              <w:rPr>
                <w:rFonts w:hint="default" w:ascii="Times New Roman" w:hAnsi="Times New Roman" w:cs="Times New Roman"/>
              </w:rPr>
              <w:t>3、源项分析</w:t>
            </w:r>
          </w:p>
          <w:p>
            <w:pPr>
              <w:pStyle w:val="137"/>
              <w:ind w:firstLine="480"/>
              <w:rPr>
                <w:rFonts w:hint="default" w:ascii="Times New Roman" w:hAnsi="Times New Roman" w:cs="Times New Roman"/>
              </w:rPr>
            </w:pPr>
            <w:r>
              <w:rPr>
                <w:rFonts w:hint="default" w:ascii="Times New Roman" w:hAnsi="Times New Roman" w:cs="Times New Roman"/>
              </w:rPr>
              <w:t>风险事故的特征及其对环境的影响包括火灾、爆炸、油品泄漏等几个方面，对本项目来说，事故可能发生的概率是非常重要的数据，利用相关类型装置发生事故的统计资料，确定事故发生的概率。</w:t>
            </w:r>
          </w:p>
          <w:p>
            <w:pPr>
              <w:pStyle w:val="137"/>
              <w:ind w:firstLine="480"/>
              <w:rPr>
                <w:rFonts w:hint="default" w:ascii="Times New Roman" w:hAnsi="Times New Roman" w:cs="Times New Roman"/>
              </w:rPr>
            </w:pPr>
            <w:r>
              <w:rPr>
                <w:rFonts w:hint="default" w:ascii="Times New Roman" w:hAnsi="Times New Roman" w:cs="Times New Roman"/>
              </w:rPr>
              <w:t>根据查阅相关资料，本项目不同程度事故的发生概率和对策见</w:t>
            </w:r>
            <w:r>
              <w:rPr>
                <w:rFonts w:hint="default" w:ascii="Times New Roman" w:hAnsi="Times New Roman" w:cs="Times New Roman"/>
              </w:rPr>
              <w:fldChar w:fldCharType="begin"/>
            </w:r>
            <w:r>
              <w:rPr>
                <w:rFonts w:hint="default" w:ascii="Times New Roman" w:hAnsi="Times New Roman" w:cs="Times New Roman"/>
              </w:rPr>
              <w:instrText xml:space="preserve"> REF _Ref45542604 \h </w:instrText>
            </w:r>
            <w:r>
              <w:rPr>
                <w:rFonts w:hint="default" w:ascii="Times New Roman" w:hAnsi="Times New Roman" w:cs="Times New Roman"/>
              </w:rPr>
              <w:fldChar w:fldCharType="separate"/>
            </w:r>
            <w:r>
              <w:rPr>
                <w:rFonts w:hint="default" w:ascii="Times New Roman" w:hAnsi="Times New Roman" w:cs="Times New Roman"/>
              </w:rPr>
              <w:t>表 50</w:t>
            </w:r>
            <w:r>
              <w:rPr>
                <w:rFonts w:hint="default" w:ascii="Times New Roman" w:hAnsi="Times New Roman" w:cs="Times New Roman"/>
              </w:rPr>
              <w:fldChar w:fldCharType="end"/>
            </w:r>
            <w:r>
              <w:rPr>
                <w:rFonts w:hint="default" w:ascii="Times New Roman" w:hAnsi="Times New Roman" w:cs="Times New Roman"/>
              </w:rPr>
              <w:t>。</w:t>
            </w:r>
          </w:p>
          <w:p>
            <w:pPr>
              <w:pStyle w:val="143"/>
              <w:spacing w:before="156"/>
              <w:rPr>
                <w:rFonts w:hint="default" w:ascii="Times New Roman" w:hAnsi="Times New Roman" w:cs="Times New Roman"/>
              </w:rPr>
            </w:pPr>
            <w:bookmarkStart w:id="49" w:name="_Ref45542604"/>
            <w:r>
              <w:rPr>
                <w:rFonts w:hint="default" w:ascii="Times New Roman" w:hAnsi="Times New Roman" w:cs="Times New Roman"/>
              </w:rPr>
              <w:t xml:space="preserve">表 </w:t>
            </w:r>
            <w:bookmarkEnd w:id="49"/>
            <w:r>
              <w:rPr>
                <w:rFonts w:hint="eastAsia" w:cs="Times New Roman"/>
                <w:lang w:val="en-US" w:eastAsia="zh-CN"/>
              </w:rPr>
              <w:t>7-23</w:t>
            </w:r>
            <w:r>
              <w:rPr>
                <w:rFonts w:hint="default" w:ascii="Times New Roman" w:hAnsi="Times New Roman" w:cs="Times New Roman"/>
              </w:rPr>
              <w:t xml:space="preserve">   不同程度事故发生的概率与对策措施</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Layout w:type="fixed"/>
              <w:tblCellMar>
                <w:top w:w="0" w:type="dxa"/>
                <w:left w:w="108" w:type="dxa"/>
                <w:bottom w:w="0" w:type="dxa"/>
                <w:right w:w="108" w:type="dxa"/>
              </w:tblCellMar>
            </w:tblPr>
            <w:tblGrid>
              <w:gridCol w:w="4215"/>
              <w:gridCol w:w="2062"/>
              <w:gridCol w:w="1113"/>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jc w:val="center"/>
              </w:trPr>
              <w:tc>
                <w:tcPr>
                  <w:tcW w:w="2355"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事故名称</w:t>
                  </w:r>
                </w:p>
              </w:tc>
              <w:tc>
                <w:tcPr>
                  <w:tcW w:w="1152"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发生概率（次/年）</w:t>
                  </w:r>
                </w:p>
              </w:tc>
              <w:tc>
                <w:tcPr>
                  <w:tcW w:w="622"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发生频率</w:t>
                  </w:r>
                </w:p>
              </w:tc>
              <w:tc>
                <w:tcPr>
                  <w:tcW w:w="870"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对策反应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管道、输送泵、槽车等损坏小型泄漏事故</w:t>
                  </w:r>
                </w:p>
              </w:tc>
              <w:tc>
                <w:tcPr>
                  <w:tcW w:w="1152" w:type="pct"/>
                  <w:shd w:val="clear" w:color="000000"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10月1日</w:t>
                  </w:r>
                </w:p>
              </w:tc>
              <w:tc>
                <w:tcPr>
                  <w:tcW w:w="622"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可能发生</w:t>
                  </w:r>
                </w:p>
              </w:tc>
              <w:tc>
                <w:tcPr>
                  <w:tcW w:w="870"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必须采取措施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管线、储罐等破裂泄漏事故</w:t>
                  </w:r>
                </w:p>
              </w:tc>
              <w:tc>
                <w:tcPr>
                  <w:tcW w:w="1152" w:type="pct"/>
                  <w:shd w:val="clear" w:color="000000"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10月2日</w:t>
                  </w:r>
                </w:p>
              </w:tc>
              <w:tc>
                <w:tcPr>
                  <w:tcW w:w="622"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偶尔发生</w:t>
                  </w:r>
                </w:p>
              </w:tc>
              <w:tc>
                <w:tcPr>
                  <w:tcW w:w="870"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需要采取措施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管线、阀门、储罐等严重泄漏事故</w:t>
                  </w:r>
                </w:p>
              </w:tc>
              <w:tc>
                <w:tcPr>
                  <w:tcW w:w="1152" w:type="pct"/>
                  <w:shd w:val="clear" w:color="000000"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10月3日</w:t>
                  </w:r>
                </w:p>
              </w:tc>
              <w:tc>
                <w:tcPr>
                  <w:tcW w:w="622"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偶尔发生</w:t>
                  </w:r>
                </w:p>
              </w:tc>
              <w:tc>
                <w:tcPr>
                  <w:tcW w:w="870"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采取对策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储罐等出现重大爆炸、爆裂事故</w:t>
                  </w:r>
                </w:p>
              </w:tc>
              <w:tc>
                <w:tcPr>
                  <w:tcW w:w="1152" w:type="pct"/>
                  <w:shd w:val="clear" w:color="000000"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10月4日</w:t>
                  </w:r>
                </w:p>
              </w:tc>
              <w:tc>
                <w:tcPr>
                  <w:tcW w:w="622"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极少发生</w:t>
                  </w:r>
                </w:p>
              </w:tc>
              <w:tc>
                <w:tcPr>
                  <w:tcW w:w="870"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关心和防范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55"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重大自然灾害引起事故</w:t>
                  </w:r>
                </w:p>
              </w:tc>
              <w:tc>
                <w:tcPr>
                  <w:tcW w:w="1152" w:type="pct"/>
                  <w:shd w:val="clear" w:color="000000"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10</w:t>
                  </w:r>
                  <w:r>
                    <w:rPr>
                      <w:rFonts w:hint="default" w:ascii="Times New Roman" w:hAnsi="Times New Roman" w:eastAsia="等线" w:cs="Times New Roman"/>
                      <w:sz w:val="14"/>
                      <w:szCs w:val="14"/>
                    </w:rPr>
                    <w:t>-5</w:t>
                  </w:r>
                  <w:r>
                    <w:rPr>
                      <w:rFonts w:hint="default" w:ascii="Times New Roman" w:hAnsi="Times New Roman" w:eastAsia="等线" w:cs="Times New Roman"/>
                    </w:rPr>
                    <w:t>~10</w:t>
                  </w:r>
                  <w:r>
                    <w:rPr>
                      <w:rFonts w:hint="default" w:ascii="Times New Roman" w:hAnsi="Times New Roman" w:eastAsia="等线" w:cs="Times New Roman"/>
                      <w:sz w:val="14"/>
                      <w:szCs w:val="14"/>
                    </w:rPr>
                    <w:t>-6</w:t>
                  </w:r>
                </w:p>
              </w:tc>
              <w:tc>
                <w:tcPr>
                  <w:tcW w:w="622"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很难发生</w:t>
                  </w:r>
                </w:p>
              </w:tc>
              <w:tc>
                <w:tcPr>
                  <w:tcW w:w="870"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注意关心</w:t>
                  </w:r>
                </w:p>
              </w:tc>
            </w:tr>
          </w:tbl>
          <w:p>
            <w:pPr>
              <w:pStyle w:val="137"/>
              <w:ind w:firstLine="480"/>
              <w:rPr>
                <w:rFonts w:hint="default" w:ascii="Times New Roman" w:hAnsi="Times New Roman" w:cs="Times New Roman"/>
              </w:rPr>
            </w:pPr>
            <w:r>
              <w:rPr>
                <w:rFonts w:hint="default" w:ascii="Times New Roman" w:hAnsi="Times New Roman" w:cs="Times New Roman"/>
              </w:rPr>
              <w:t>可见，管线、阀门、储罐等发生重大事故的概率为10</w:t>
            </w:r>
            <w:r>
              <w:rPr>
                <w:rFonts w:hint="default" w:ascii="Times New Roman" w:hAnsi="Times New Roman" w:cs="Times New Roman"/>
                <w:sz w:val="18"/>
                <w:vertAlign w:val="superscript"/>
              </w:rPr>
              <w:t>-3</w:t>
            </w:r>
            <w:r>
              <w:rPr>
                <w:rFonts w:hint="default" w:ascii="Times New Roman" w:hAnsi="Times New Roman" w:cs="Times New Roman"/>
              </w:rPr>
              <w:t>级。</w:t>
            </w:r>
          </w:p>
          <w:p>
            <w:pPr>
              <w:pStyle w:val="137"/>
              <w:ind w:firstLine="480"/>
              <w:rPr>
                <w:rFonts w:hint="default" w:ascii="Times New Roman" w:hAnsi="Times New Roman" w:cs="Times New Roman"/>
                <w:sz w:val="24"/>
                <w:szCs w:val="24"/>
              </w:rPr>
            </w:pPr>
            <w:r>
              <w:rPr>
                <w:rFonts w:hint="default" w:ascii="Times New Roman" w:hAnsi="Times New Roman" w:cs="Times New Roman"/>
                <w:sz w:val="24"/>
                <w:szCs w:val="24"/>
              </w:rPr>
              <w:t>根据统计，国内储罐的重大爆炸、爆裂事故概率在0.5×10</w:t>
            </w:r>
            <w:r>
              <w:rPr>
                <w:rFonts w:hint="default" w:ascii="Times New Roman" w:hAnsi="Times New Roman" w:cs="Times New Roman"/>
                <w:sz w:val="24"/>
                <w:szCs w:val="24"/>
                <w:vertAlign w:val="superscript"/>
              </w:rPr>
              <w:t>-4</w:t>
            </w:r>
            <w:r>
              <w:rPr>
                <w:rFonts w:hint="default" w:ascii="Times New Roman" w:hAnsi="Times New Roman" w:cs="Times New Roman"/>
                <w:sz w:val="24"/>
                <w:szCs w:val="24"/>
              </w:rPr>
              <w:t>~1×10</w:t>
            </w:r>
            <w:r>
              <w:rPr>
                <w:rFonts w:hint="default" w:ascii="Times New Roman" w:hAnsi="Times New Roman" w:cs="Times New Roman"/>
                <w:sz w:val="24"/>
                <w:szCs w:val="24"/>
                <w:vertAlign w:val="superscript"/>
              </w:rPr>
              <w:t>-4</w:t>
            </w:r>
            <w:r>
              <w:rPr>
                <w:rFonts w:hint="default" w:ascii="Times New Roman" w:hAnsi="Times New Roman" w:cs="Times New Roman"/>
                <w:sz w:val="24"/>
                <w:szCs w:val="24"/>
              </w:rPr>
              <w:t>。该项目加油站储油罐全部为地埋式，管理规范和完善的安全防范措施，抗事故风险能力较高。因此，最大可信事故概率确定为</w:t>
            </w:r>
            <w:r>
              <w:rPr>
                <w:rFonts w:hint="default" w:ascii="Times New Roman" w:hAnsi="Times New Roman" w:eastAsia="Times New Roman" w:cs="Times New Roman"/>
                <w:sz w:val="24"/>
                <w:szCs w:val="24"/>
              </w:rPr>
              <w:t>5×10</w:t>
            </w:r>
            <w:r>
              <w:rPr>
                <w:rFonts w:hint="default" w:ascii="Times New Roman" w:hAnsi="Times New Roman" w:eastAsia="Times New Roman" w:cs="Times New Roman"/>
                <w:sz w:val="24"/>
                <w:szCs w:val="24"/>
                <w:vertAlign w:val="superscript"/>
              </w:rPr>
              <w:t>-5</w:t>
            </w:r>
            <w:r>
              <w:rPr>
                <w:rFonts w:hint="default" w:ascii="Times New Roman" w:hAnsi="Times New Roman" w:cs="Times New Roman"/>
                <w:sz w:val="24"/>
                <w:szCs w:val="24"/>
              </w:rPr>
              <w:t>。</w:t>
            </w:r>
          </w:p>
          <w:p>
            <w:pPr>
              <w:pStyle w:val="137"/>
              <w:ind w:firstLine="480"/>
              <w:rPr>
                <w:rFonts w:hint="default" w:ascii="Times New Roman" w:hAnsi="Times New Roman" w:cs="Times New Roman"/>
              </w:rPr>
            </w:pPr>
            <w:r>
              <w:rPr>
                <w:rFonts w:hint="default" w:ascii="Times New Roman" w:hAnsi="Times New Roman" w:cs="Times New Roman"/>
              </w:rPr>
              <w:t>4、环境风险分析</w:t>
            </w:r>
          </w:p>
          <w:p>
            <w:pPr>
              <w:pStyle w:val="137"/>
              <w:ind w:firstLine="480"/>
              <w:rPr>
                <w:rFonts w:hint="default" w:ascii="Times New Roman" w:hAnsi="Times New Roman" w:cs="Times New Roman"/>
              </w:rPr>
            </w:pPr>
            <w:r>
              <w:rPr>
                <w:rFonts w:hint="default" w:ascii="Times New Roman" w:hAnsi="Times New Roman" w:cs="Times New Roman"/>
              </w:rPr>
              <w:t>（1）火灾、爆炸危险性分析</w:t>
            </w:r>
          </w:p>
          <w:p>
            <w:pPr>
              <w:pStyle w:val="137"/>
              <w:ind w:firstLine="480"/>
              <w:rPr>
                <w:rFonts w:hint="default" w:ascii="Times New Roman" w:hAnsi="Times New Roman" w:cs="Times New Roman"/>
              </w:rPr>
            </w:pPr>
            <w:r>
              <w:rPr>
                <w:rFonts w:hint="default" w:ascii="Times New Roman" w:hAnsi="Times New Roman" w:cs="Times New Roman"/>
              </w:rPr>
              <w:t>加油站属一级防火单位，油罐的燃烧或爆炸引起的后果相当严重，不单会造成人员伤亡和财产损失，大量成品油的泄漏和燃烧，也将给大气环境和地表水及土壤环境造成严重污染，尤其是对地表水和土壤的污染影响将是一个相当长的时间，被污染的水土和土壤中的各种生物及植物将全部死亡，被污染的水体和土壤得到完全净化，恢复其原有的功能，需要十几年甚至上百年的时间。</w:t>
            </w:r>
          </w:p>
          <w:p>
            <w:pPr>
              <w:pStyle w:val="137"/>
              <w:ind w:firstLine="480"/>
              <w:rPr>
                <w:rFonts w:hint="default" w:ascii="Times New Roman" w:hAnsi="Times New Roman" w:cs="Times New Roman"/>
              </w:rPr>
            </w:pPr>
            <w:r>
              <w:rPr>
                <w:rFonts w:hint="default" w:ascii="Times New Roman" w:hAnsi="Times New Roman" w:cs="Times New Roman"/>
              </w:rPr>
              <w:t>本项目加油站储油罐采用卧式双层罐，埋地设置，根据《汽车加油加气站设计与施工规范》（GB50156-2012），采用卧式油罐埋地设置比较安全。从国内外的有关调查资料统计来看，油罐埋地设置发生火灾的几率很少。即使油罐发生着火，也容易扑救。广州、天津也曾发生过加油站埋地罐口着火情况，也都用干粉灭火器很快被扑灭，均未造成灾害。</w:t>
            </w:r>
          </w:p>
          <w:p>
            <w:pPr>
              <w:pStyle w:val="137"/>
              <w:ind w:firstLine="480"/>
              <w:rPr>
                <w:rFonts w:hint="default" w:ascii="Times New Roman" w:hAnsi="Times New Roman" w:cs="Times New Roman"/>
              </w:rPr>
            </w:pPr>
            <w:r>
              <w:rPr>
                <w:rFonts w:hint="default" w:ascii="Times New Roman" w:hAnsi="Times New Roman" w:cs="Times New Roman"/>
              </w:rPr>
              <w:t>（2）储油罐事故泄漏风险分析</w:t>
            </w:r>
          </w:p>
          <w:p>
            <w:pPr>
              <w:pStyle w:val="137"/>
              <w:ind w:firstLine="480"/>
              <w:rPr>
                <w:rFonts w:hint="default" w:ascii="Times New Roman" w:hAnsi="Times New Roman" w:cs="Times New Roman"/>
              </w:rPr>
            </w:pPr>
            <w:r>
              <w:rPr>
                <w:rFonts w:hint="default" w:ascii="Times New Roman" w:hAnsi="Times New Roman" w:cs="Times New Roman"/>
              </w:rPr>
              <w:t>泄漏事故的发生频率相对于油罐火灾爆炸要高一些，其发生带有明显的随机性和偶然性。泄漏事故的出现对环境的影响将会持续一定的时间，带来的后果也较为严重。</w:t>
            </w:r>
          </w:p>
          <w:p>
            <w:pPr>
              <w:pStyle w:val="137"/>
              <w:ind w:firstLine="480"/>
              <w:rPr>
                <w:rFonts w:hint="default" w:ascii="Times New Roman" w:hAnsi="Times New Roman" w:cs="Times New Roman"/>
              </w:rPr>
            </w:pPr>
            <w:r>
              <w:rPr>
                <w:rFonts w:hint="default" w:ascii="Times New Roman" w:hAnsi="Times New Roman" w:cs="Times New Roman"/>
              </w:rPr>
              <w:t>本项目各输油管道与油罐都按照有关规范进行了设计与施工，并采取了有效的检测渗漏的设施，且项目储油罐为双层罐，只要加强管理，按照行业操作规范作业，产生该类事故的几率也很小。由于本项目采用玻璃钢防腐防渗技术，对储油罐内外表面、防油堤的内表面、油罐区地面、输油管线外表面均做了防渗防腐处理；采用了电子式液位计等渗漏溢出检测设施，可及时发现储油罐渗漏；储油区表面采用了混凝土硬化，较为密闭，油品泄漏后主要通过储油区通气管及人孔井非密封处挥发；因此项目储油罐发生泄漏后也将大部分滞留在油罐区，不会造成扩散，油气（非甲烷总烃）通过储油区通气管及人孔井非密封处挥发，挥发量较小，故本环评将主要就泄漏事故对环境的影响进行定性分析。</w:t>
            </w:r>
          </w:p>
          <w:p>
            <w:pPr>
              <w:pStyle w:val="137"/>
              <w:ind w:firstLine="480"/>
              <w:rPr>
                <w:rFonts w:hint="default" w:ascii="Times New Roman" w:hAnsi="Times New Roman" w:cs="Times New Roman"/>
              </w:rPr>
            </w:pPr>
            <w:r>
              <w:rPr>
                <w:rFonts w:hint="default" w:ascii="Times New Roman" w:hAnsi="Times New Roman" w:cs="Times New Roman"/>
              </w:rPr>
              <w:t>①对地表水的污染</w:t>
            </w:r>
          </w:p>
          <w:p>
            <w:pPr>
              <w:pStyle w:val="137"/>
              <w:ind w:firstLine="480"/>
              <w:rPr>
                <w:rFonts w:hint="default" w:ascii="Times New Roman" w:hAnsi="Times New Roman" w:cs="Times New Roman"/>
              </w:rPr>
            </w:pPr>
            <w:r>
              <w:rPr>
                <w:rFonts w:hint="default" w:ascii="Times New Roman" w:hAnsi="Times New Roman" w:cs="Times New Roman"/>
              </w:rPr>
              <w:t>泄漏或渗漏的成品油一旦进入地表河流，将造成地表河流的污染，影响范围小到几公里大到几十公里。污染首先将造成地表河流的景观破坏，产生严重的刺鼻气味； 其次，由于有机烃类物质难溶于水，大部分上浮在水层表面，形成一层油膜使空气与水隔离，造成水中溶解氧浓度降低，逐渐形成死水，致使水中生物死亡；再次，成品油的主要成分是C4～C9的烃类、芳烃类、醇酮类以及卤代烃类有机物，一旦进入水环境，由于可生化性较差，造成被污染水体长时间得不到净化，完全恢复则需十几年、甚至几十年的时间。</w:t>
            </w:r>
          </w:p>
          <w:p>
            <w:pPr>
              <w:pStyle w:val="137"/>
              <w:ind w:firstLine="480"/>
              <w:rPr>
                <w:rFonts w:hint="default" w:ascii="Times New Roman" w:hAnsi="Times New Roman" w:cs="Times New Roman"/>
              </w:rPr>
            </w:pPr>
            <w:r>
              <w:rPr>
                <w:rFonts w:hint="default" w:ascii="Times New Roman" w:hAnsi="Times New Roman" w:cs="Times New Roman"/>
              </w:rPr>
              <w:t>本项目加油站库容较小，油罐总容积为</w:t>
            </w:r>
            <w:r>
              <w:rPr>
                <w:rFonts w:hint="eastAsia" w:cs="Times New Roman"/>
                <w:lang w:val="en-US" w:eastAsia="zh-CN"/>
              </w:rPr>
              <w:t>9</w:t>
            </w:r>
            <w:r>
              <w:rPr>
                <w:rFonts w:hint="default" w:ascii="Times New Roman" w:hAnsi="Times New Roman" w:cs="Times New Roman"/>
              </w:rPr>
              <w:t>0m</w:t>
            </w:r>
            <w:r>
              <w:rPr>
                <w:rFonts w:hint="default" w:ascii="Times New Roman" w:hAnsi="Times New Roman" w:cs="Times New Roman"/>
                <w:vertAlign w:val="superscript"/>
              </w:rPr>
              <w:t>3</w:t>
            </w:r>
            <w:r>
              <w:rPr>
                <w:rFonts w:hint="default" w:ascii="Times New Roman" w:hAnsi="Times New Roman" w:cs="Times New Roman"/>
              </w:rPr>
              <w:t>，储油罐内外表面、防油堤的内表面、油罐区地面、输油管线外表面均做了防渗防腐处理，当油罐发生泄漏事故时，大部分滞留在油罐区，不会造成扩散，对地表水影响较小。</w:t>
            </w:r>
          </w:p>
          <w:p>
            <w:pPr>
              <w:pStyle w:val="137"/>
              <w:ind w:firstLine="480"/>
              <w:rPr>
                <w:rFonts w:hint="default" w:ascii="Times New Roman" w:hAnsi="Times New Roman" w:cs="Times New Roman"/>
              </w:rPr>
            </w:pPr>
            <w:r>
              <w:rPr>
                <w:rFonts w:hint="default" w:ascii="Times New Roman" w:hAnsi="Times New Roman" w:cs="Times New Roman"/>
              </w:rPr>
              <w:t>②对地下水的污染</w:t>
            </w:r>
          </w:p>
          <w:p>
            <w:pPr>
              <w:pStyle w:val="137"/>
              <w:ind w:firstLine="480"/>
              <w:rPr>
                <w:rFonts w:hint="default" w:ascii="Times New Roman" w:hAnsi="Times New Roman" w:cs="Times New Roman"/>
              </w:rPr>
            </w:pPr>
            <w:r>
              <w:rPr>
                <w:rFonts w:hint="default" w:ascii="Times New Roman" w:hAnsi="Times New Roman" w:cs="Times New Roman"/>
              </w:rPr>
              <w:t>储油罐和输油管线的泄漏或渗漏对地下水的污染较为严重，地下水一旦遭到成品油的污染，将使地下水产生严重异味，并具有较强的致畸致癌性，根本无法饮用。又由于这种渗漏必然穿过较厚的土壤层，使土壤层中吸附了大量的燃料油，土壤层吸附的燃料油不仅会造成植物生物的死亡，而且土壤层吸附的燃料油还会随着地表水的下渗对土壤层的冲刷作用补充到地下水，这样即便污染源得到及时控制，地下水要完全恢复也需几十年甚至上百年的时间。本项目采用防腐防渗技术将油品积聚在储油区，对地下水不会造成影响。</w:t>
            </w:r>
          </w:p>
          <w:p>
            <w:pPr>
              <w:pStyle w:val="137"/>
              <w:ind w:firstLine="480"/>
              <w:rPr>
                <w:rFonts w:hint="default" w:ascii="Times New Roman" w:hAnsi="Times New Roman" w:cs="Times New Roman"/>
              </w:rPr>
            </w:pPr>
            <w:r>
              <w:rPr>
                <w:rFonts w:hint="default" w:ascii="Times New Roman" w:hAnsi="Times New Roman" w:cs="Times New Roman"/>
              </w:rPr>
              <w:t>③对大气环境的污染</w:t>
            </w:r>
          </w:p>
          <w:p>
            <w:pPr>
              <w:pStyle w:val="137"/>
              <w:ind w:firstLine="480"/>
              <w:rPr>
                <w:rFonts w:hint="default" w:ascii="Times New Roman" w:hAnsi="Times New Roman" w:cs="Times New Roman"/>
              </w:rPr>
            </w:pPr>
            <w:r>
              <w:rPr>
                <w:rFonts w:hint="default" w:ascii="Times New Roman" w:hAnsi="Times New Roman" w:cs="Times New Roman"/>
              </w:rPr>
              <w:t>根据国内外的研究，对于突发性的事故溢油，油品溢出后在地面呈不规则的面源分布，油品的挥发速度重要影响因素为油品蒸汽压、现场风速、油品溢出面积、油品蒸汽分子平均重度。</w:t>
            </w:r>
          </w:p>
          <w:p>
            <w:pPr>
              <w:pStyle w:val="137"/>
              <w:ind w:firstLine="480"/>
              <w:rPr>
                <w:rFonts w:hint="default" w:ascii="Times New Roman" w:hAnsi="Times New Roman" w:cs="Times New Roman"/>
              </w:rPr>
            </w:pPr>
            <w:r>
              <w:rPr>
                <w:rFonts w:hint="default" w:ascii="Times New Roman" w:hAnsi="Times New Roman" w:cs="Times New Roman"/>
              </w:rPr>
              <w:t>本项目储油罐设置在地下，加油站一旦发生渗漏与溢出事故时，由于本项目采取了电子式液位计等渗漏溢出检测设施，因此可及时发现储油罐渗漏，油品渗漏量较小， 再由于受储油罐罐基及防渗层的保护，渗漏出的成品油将积聚在储油区，且储油区表面采用了混凝土硬化，较为密闭，油品将主要通过储油区通气管及人孔井非密封处挥发，不会造成大面积的扩散，对大气环境影响较小。</w:t>
            </w:r>
          </w:p>
          <w:p>
            <w:pPr>
              <w:pStyle w:val="137"/>
              <w:ind w:firstLine="480"/>
              <w:rPr>
                <w:rFonts w:hint="default" w:ascii="Times New Roman" w:hAnsi="Times New Roman" w:cs="Times New Roman"/>
              </w:rPr>
            </w:pPr>
            <w:r>
              <w:rPr>
                <w:rFonts w:hint="default" w:ascii="Times New Roman" w:hAnsi="Times New Roman" w:cs="Times New Roman"/>
              </w:rPr>
              <w:t>5、 风险防范措施</w:t>
            </w:r>
          </w:p>
          <w:p>
            <w:pPr>
              <w:pStyle w:val="137"/>
              <w:ind w:firstLine="480"/>
              <w:rPr>
                <w:rFonts w:hint="default" w:ascii="Times New Roman" w:hAnsi="Times New Roman" w:cs="Times New Roman"/>
              </w:rPr>
            </w:pPr>
            <w:r>
              <w:rPr>
                <w:rFonts w:hint="default" w:ascii="Times New Roman" w:hAnsi="Times New Roman" w:cs="Times New Roman"/>
              </w:rPr>
              <w:t>（1）罐区风险防范措施：</w:t>
            </w:r>
          </w:p>
          <w:p>
            <w:pPr>
              <w:pStyle w:val="137"/>
              <w:ind w:firstLine="480"/>
              <w:rPr>
                <w:rFonts w:hint="default" w:ascii="Times New Roman" w:hAnsi="Times New Roman" w:cs="Times New Roman"/>
              </w:rPr>
            </w:pPr>
            <w:r>
              <w:rPr>
                <w:rFonts w:hint="default" w:ascii="Times New Roman" w:hAnsi="Times New Roman" w:cs="Times New Roman"/>
              </w:rPr>
              <w:t>①储油罐采用卧式双层钢制罐，所有油罐均进行埋地设置。</w:t>
            </w:r>
          </w:p>
          <w:p>
            <w:pPr>
              <w:pStyle w:val="137"/>
              <w:ind w:firstLine="480"/>
              <w:rPr>
                <w:rFonts w:hint="default" w:ascii="Times New Roman" w:hAnsi="Times New Roman" w:cs="Times New Roman"/>
              </w:rPr>
            </w:pPr>
            <w:r>
              <w:rPr>
                <w:rFonts w:hint="default" w:ascii="Times New Roman" w:hAnsi="Times New Roman" w:cs="Times New Roman"/>
              </w:rPr>
              <w:t>②油罐外表面采用符合标准的防腐设计。</w:t>
            </w:r>
          </w:p>
          <w:p>
            <w:pPr>
              <w:pStyle w:val="137"/>
              <w:ind w:firstLine="480"/>
              <w:rPr>
                <w:rFonts w:hint="default" w:ascii="Times New Roman" w:hAnsi="Times New Roman" w:cs="Times New Roman"/>
              </w:rPr>
            </w:pPr>
            <w:r>
              <w:rPr>
                <w:rFonts w:hint="default" w:ascii="Times New Roman" w:hAnsi="Times New Roman" w:cs="Times New Roman"/>
              </w:rPr>
              <w:t>③油罐间距满足规范要求。</w:t>
            </w:r>
          </w:p>
          <w:p>
            <w:pPr>
              <w:pStyle w:val="137"/>
              <w:ind w:firstLine="480"/>
              <w:rPr>
                <w:rFonts w:hint="default" w:ascii="Times New Roman" w:hAnsi="Times New Roman" w:cs="Times New Roman"/>
              </w:rPr>
            </w:pPr>
            <w:r>
              <w:rPr>
                <w:rFonts w:hint="default" w:ascii="Times New Roman" w:hAnsi="Times New Roman" w:cs="Times New Roman"/>
              </w:rPr>
              <w:t>④油罐的各接合管均设在油罐的顶部。</w:t>
            </w:r>
          </w:p>
          <w:p>
            <w:pPr>
              <w:pStyle w:val="137"/>
              <w:ind w:firstLine="480"/>
              <w:rPr>
                <w:rFonts w:hint="default" w:ascii="Times New Roman" w:hAnsi="Times New Roman" w:cs="Times New Roman"/>
              </w:rPr>
            </w:pPr>
            <w:r>
              <w:rPr>
                <w:rFonts w:hint="default" w:ascii="Times New Roman" w:hAnsi="Times New Roman" w:cs="Times New Roman"/>
              </w:rPr>
              <w:t>⑤油罐的进油管向下伸至罐内距罐底0.2m处，出油管的底端设置底阀。</w:t>
            </w:r>
          </w:p>
          <w:p>
            <w:pPr>
              <w:pStyle w:val="137"/>
              <w:ind w:firstLine="480"/>
              <w:rPr>
                <w:rFonts w:hint="default" w:ascii="Times New Roman" w:hAnsi="Times New Roman" w:cs="Times New Roman"/>
              </w:rPr>
            </w:pPr>
            <w:r>
              <w:rPr>
                <w:rFonts w:hint="default" w:ascii="Times New Roman" w:hAnsi="Times New Roman" w:cs="Times New Roman"/>
              </w:rPr>
              <w:t>⑥各油罐均设带有高液位报警功能的液位计，采用符合规定的溢油控制措施。</w:t>
            </w:r>
          </w:p>
          <w:p>
            <w:pPr>
              <w:pStyle w:val="137"/>
              <w:ind w:firstLine="480"/>
              <w:rPr>
                <w:rFonts w:hint="default" w:ascii="Times New Roman" w:hAnsi="Times New Roman" w:cs="Times New Roman"/>
              </w:rPr>
            </w:pPr>
            <w:r>
              <w:rPr>
                <w:rFonts w:hint="default" w:ascii="Times New Roman" w:hAnsi="Times New Roman" w:cs="Times New Roman"/>
              </w:rPr>
              <w:t>⑦油罐进行防雷、防静电设置。</w:t>
            </w:r>
          </w:p>
          <w:p>
            <w:pPr>
              <w:pStyle w:val="137"/>
              <w:ind w:firstLine="480"/>
              <w:rPr>
                <w:rFonts w:hint="default" w:ascii="Times New Roman" w:hAnsi="Times New Roman" w:cs="Times New Roman"/>
              </w:rPr>
            </w:pPr>
            <w:r>
              <w:rPr>
                <w:rFonts w:hint="default" w:ascii="Times New Roman" w:hAnsi="Times New Roman" w:cs="Times New Roman"/>
              </w:rPr>
              <w:t>⑧各油罐均采用独立的通气管，通气管高出地面10m，通气管管口安装阻火器。</w:t>
            </w:r>
          </w:p>
          <w:p>
            <w:pPr>
              <w:pStyle w:val="137"/>
              <w:ind w:firstLine="480"/>
              <w:rPr>
                <w:rFonts w:hint="default" w:ascii="Times New Roman" w:hAnsi="Times New Roman" w:cs="Times New Roman"/>
              </w:rPr>
            </w:pPr>
            <w:r>
              <w:rPr>
                <w:rFonts w:hint="default" w:ascii="Times New Roman" w:hAnsi="Times New Roman" w:cs="Times New Roman"/>
              </w:rPr>
              <w:t>⑨罐区和加油区设置灭火器具。</w:t>
            </w:r>
          </w:p>
          <w:p>
            <w:pPr>
              <w:pStyle w:val="137"/>
              <w:ind w:firstLine="480"/>
              <w:rPr>
                <w:rFonts w:hint="default" w:ascii="Times New Roman" w:hAnsi="Times New Roman" w:cs="Times New Roman"/>
              </w:rPr>
            </w:pPr>
            <w:r>
              <w:rPr>
                <w:rFonts w:hint="default" w:ascii="Times New Roman" w:hAnsi="Times New Roman" w:cs="Times New Roman"/>
              </w:rPr>
              <w:t>（2）卸油作业风险防范措施</w:t>
            </w:r>
          </w:p>
          <w:p>
            <w:pPr>
              <w:pStyle w:val="137"/>
              <w:ind w:firstLine="480"/>
              <w:rPr>
                <w:rFonts w:hint="default" w:ascii="Times New Roman" w:hAnsi="Times New Roman" w:cs="Times New Roman"/>
              </w:rPr>
            </w:pPr>
            <w:r>
              <w:rPr>
                <w:rFonts w:hint="default" w:ascii="Times New Roman" w:hAnsi="Times New Roman" w:cs="Times New Roman"/>
              </w:rPr>
              <w:t>①制定卸油作业规范，对员工进行培训，要求员工严格按照卸油作业规范卸油。</w:t>
            </w:r>
          </w:p>
          <w:p>
            <w:pPr>
              <w:pStyle w:val="137"/>
              <w:ind w:firstLine="480"/>
              <w:rPr>
                <w:rFonts w:hint="default" w:ascii="Times New Roman" w:hAnsi="Times New Roman" w:cs="Times New Roman"/>
              </w:rPr>
            </w:pPr>
            <w:r>
              <w:rPr>
                <w:rFonts w:hint="default" w:ascii="Times New Roman" w:hAnsi="Times New Roman" w:cs="Times New Roman"/>
              </w:rPr>
              <w:t>②卸油作业采用油气回收系统，将挥发出来的油气通过回气管返回罐车。</w:t>
            </w:r>
          </w:p>
          <w:p>
            <w:pPr>
              <w:pStyle w:val="137"/>
              <w:ind w:firstLine="480"/>
              <w:rPr>
                <w:rFonts w:hint="default" w:ascii="Times New Roman" w:hAnsi="Times New Roman" w:cs="Times New Roman"/>
              </w:rPr>
            </w:pPr>
            <w:r>
              <w:rPr>
                <w:rFonts w:hint="default" w:ascii="Times New Roman" w:hAnsi="Times New Roman" w:cs="Times New Roman"/>
              </w:rPr>
              <w:t>③控制卸油速度，防止卸油过程静电产生。</w:t>
            </w:r>
          </w:p>
          <w:p>
            <w:pPr>
              <w:pStyle w:val="137"/>
              <w:ind w:firstLine="480"/>
              <w:rPr>
                <w:rFonts w:hint="default" w:ascii="Times New Roman" w:hAnsi="Times New Roman" w:cs="Times New Roman"/>
              </w:rPr>
            </w:pPr>
            <w:r>
              <w:rPr>
                <w:rFonts w:hint="default" w:ascii="Times New Roman" w:hAnsi="Times New Roman" w:cs="Times New Roman"/>
              </w:rPr>
              <w:t>④卸油前做好罐车静电接地，停止加油作业。</w:t>
            </w:r>
          </w:p>
          <w:p>
            <w:pPr>
              <w:pStyle w:val="137"/>
              <w:ind w:firstLine="480"/>
              <w:rPr>
                <w:rFonts w:hint="default" w:ascii="Times New Roman" w:hAnsi="Times New Roman" w:cs="Times New Roman"/>
              </w:rPr>
            </w:pPr>
            <w:r>
              <w:rPr>
                <w:rFonts w:hint="default" w:ascii="Times New Roman" w:hAnsi="Times New Roman" w:cs="Times New Roman"/>
              </w:rPr>
              <w:t>⑤卸油油气回收系统严格按照《加油站大气污染物综合排放标准》（GB20952-2007）和《汽车加油加气站设计与施工规范》（GB50156-2012）（2014年版）的要求进行。</w:t>
            </w:r>
          </w:p>
          <w:p>
            <w:pPr>
              <w:pStyle w:val="137"/>
              <w:ind w:firstLine="480"/>
              <w:rPr>
                <w:rFonts w:hint="default" w:ascii="Times New Roman" w:hAnsi="Times New Roman" w:cs="Times New Roman"/>
              </w:rPr>
            </w:pPr>
            <w:r>
              <w:rPr>
                <w:rFonts w:hint="default" w:ascii="Times New Roman" w:hAnsi="Times New Roman" w:cs="Times New Roman"/>
              </w:rPr>
              <w:t>（3）加油作业风险防范措施</w:t>
            </w:r>
          </w:p>
          <w:p>
            <w:pPr>
              <w:pStyle w:val="137"/>
              <w:ind w:firstLine="480"/>
              <w:rPr>
                <w:rFonts w:hint="default" w:ascii="Times New Roman" w:hAnsi="Times New Roman" w:cs="Times New Roman"/>
              </w:rPr>
            </w:pPr>
            <w:r>
              <w:rPr>
                <w:rFonts w:hint="default" w:ascii="Times New Roman" w:hAnsi="Times New Roman" w:cs="Times New Roman"/>
              </w:rPr>
              <w:t>①制定加油作业规范，对员工进行培训，要求员工严格按照规范加油。</w:t>
            </w:r>
          </w:p>
          <w:p>
            <w:pPr>
              <w:pStyle w:val="137"/>
              <w:ind w:firstLine="480"/>
              <w:rPr>
                <w:rFonts w:hint="default" w:ascii="Times New Roman" w:hAnsi="Times New Roman" w:cs="Times New Roman"/>
              </w:rPr>
            </w:pPr>
            <w:r>
              <w:rPr>
                <w:rFonts w:hint="default" w:ascii="Times New Roman" w:hAnsi="Times New Roman" w:cs="Times New Roman"/>
              </w:rPr>
              <w:t>②加油作业过程采用油气回收系统，控制加油油气回收系统气液比，并定期进行检测。</w:t>
            </w:r>
          </w:p>
          <w:p>
            <w:pPr>
              <w:pStyle w:val="137"/>
              <w:ind w:firstLine="480"/>
              <w:rPr>
                <w:rFonts w:hint="default" w:ascii="Times New Roman" w:hAnsi="Times New Roman" w:cs="Times New Roman"/>
              </w:rPr>
            </w:pPr>
            <w:r>
              <w:rPr>
                <w:rFonts w:hint="default" w:ascii="Times New Roman" w:hAnsi="Times New Roman" w:cs="Times New Roman"/>
              </w:rPr>
              <w:t>③控制加油速度，避免加油过程中静电发生。</w:t>
            </w:r>
          </w:p>
          <w:p>
            <w:pPr>
              <w:pStyle w:val="137"/>
              <w:ind w:firstLine="480"/>
              <w:rPr>
                <w:rFonts w:hint="default" w:ascii="Times New Roman" w:hAnsi="Times New Roman" w:cs="Times New Roman"/>
              </w:rPr>
            </w:pPr>
            <w:r>
              <w:rPr>
                <w:rFonts w:hint="default" w:ascii="Times New Roman" w:hAnsi="Times New Roman" w:cs="Times New Roman"/>
              </w:rPr>
              <w:t>④加油软管配备拉断截止阀，防止加油时溢油和滴油。</w:t>
            </w:r>
          </w:p>
          <w:p>
            <w:pPr>
              <w:pStyle w:val="137"/>
              <w:ind w:firstLine="480"/>
              <w:rPr>
                <w:rFonts w:hint="default" w:ascii="Times New Roman" w:hAnsi="Times New Roman" w:cs="Times New Roman"/>
              </w:rPr>
            </w:pPr>
            <w:r>
              <w:rPr>
                <w:rFonts w:hint="default" w:ascii="Times New Roman" w:hAnsi="Times New Roman" w:cs="Times New Roman"/>
              </w:rPr>
              <w:t>⑤严格按照规程操作和管理油气回收设施，定期检查、维护并记录备查。</w:t>
            </w:r>
          </w:p>
          <w:p>
            <w:pPr>
              <w:pStyle w:val="137"/>
              <w:ind w:firstLine="480"/>
              <w:rPr>
                <w:rFonts w:hint="default" w:ascii="Times New Roman" w:hAnsi="Times New Roman" w:cs="Times New Roman"/>
              </w:rPr>
            </w:pPr>
            <w:r>
              <w:rPr>
                <w:rFonts w:hint="default" w:ascii="Times New Roman" w:hAnsi="Times New Roman" w:cs="Times New Roman"/>
              </w:rPr>
              <w:t>⑥在储油罐和加油站入口设立警告牌（严禁烟火）。</w:t>
            </w:r>
          </w:p>
          <w:p>
            <w:pPr>
              <w:pStyle w:val="137"/>
              <w:ind w:firstLine="480"/>
              <w:rPr>
                <w:rFonts w:hint="default" w:ascii="Times New Roman" w:hAnsi="Times New Roman" w:cs="Times New Roman"/>
              </w:rPr>
            </w:pPr>
            <w:r>
              <w:rPr>
                <w:rFonts w:hint="default" w:ascii="Times New Roman" w:hAnsi="Times New Roman" w:cs="Times New Roman"/>
              </w:rPr>
              <w:t>（4）其它风险防范措施</w:t>
            </w:r>
          </w:p>
          <w:p>
            <w:pPr>
              <w:pStyle w:val="137"/>
              <w:ind w:firstLine="480"/>
              <w:rPr>
                <w:rFonts w:hint="default" w:ascii="Times New Roman" w:hAnsi="Times New Roman" w:cs="Times New Roman"/>
              </w:rPr>
            </w:pPr>
            <w:r>
              <w:rPr>
                <w:rFonts w:hint="default" w:ascii="Times New Roman" w:hAnsi="Times New Roman" w:cs="Times New Roman"/>
              </w:rPr>
              <w:t>①加油站的建设严格按照《汽车加油加气站设计与施工规范》（GB50156-2012）（2014年版）进行设计、施工，加油站的布局和设施等必须符合防火要求，埋地油罐的安装、防静电接地装置以及敷设电器设施等必须经公安消防部门审核、验收合格后方可投入使用。</w:t>
            </w:r>
          </w:p>
          <w:p>
            <w:pPr>
              <w:pStyle w:val="137"/>
              <w:ind w:firstLine="480"/>
              <w:rPr>
                <w:rFonts w:hint="default" w:ascii="Times New Roman" w:hAnsi="Times New Roman" w:cs="Times New Roman"/>
              </w:rPr>
            </w:pPr>
            <w:r>
              <w:rPr>
                <w:rFonts w:hint="default" w:ascii="Times New Roman" w:hAnsi="Times New Roman" w:cs="Times New Roman"/>
              </w:rPr>
              <w:t>②加油站的排水口按照规范要求设置水封井，水封井的水封高度不应小于0.25m，水封井设置沉泥段，沉泥段高度不应小于0.25m。</w:t>
            </w:r>
          </w:p>
          <w:p>
            <w:pPr>
              <w:pStyle w:val="137"/>
              <w:ind w:firstLine="480"/>
              <w:rPr>
                <w:rFonts w:hint="default" w:ascii="Times New Roman" w:hAnsi="Times New Roman" w:cs="Times New Roman"/>
              </w:rPr>
            </w:pPr>
            <w:r>
              <w:rPr>
                <w:rFonts w:hint="default" w:ascii="Times New Roman" w:hAnsi="Times New Roman" w:cs="Times New Roman"/>
              </w:rPr>
              <w:t>③输油管线采用无缝钢管，管线的连接方式采用焊接。管线采用直接埋地敷设，管线的始端、末端、分支处及直线段，每隔100m应设防静电和防感应雷的接地装置。</w:t>
            </w:r>
          </w:p>
          <w:p>
            <w:pPr>
              <w:pStyle w:val="137"/>
              <w:ind w:firstLine="480"/>
              <w:rPr>
                <w:rFonts w:hint="default" w:ascii="Times New Roman" w:hAnsi="Times New Roman" w:cs="Times New Roman"/>
              </w:rPr>
            </w:pPr>
            <w:r>
              <w:rPr>
                <w:rFonts w:hint="default" w:ascii="Times New Roman" w:hAnsi="Times New Roman" w:cs="Times New Roman"/>
              </w:rPr>
              <w:t>④修理加油机时，特别是拆油泵、油气分离器和进油管时，一定要防止油品流出。在修理电气设备时，一定要在配电间切断电源并挂上不许合闸的标志牌。在修理电气设备之前，必须把油气清除干净，防止电火花点燃油气。</w:t>
            </w:r>
          </w:p>
          <w:p>
            <w:pPr>
              <w:pStyle w:val="137"/>
              <w:ind w:firstLine="480"/>
              <w:rPr>
                <w:rFonts w:hint="default" w:ascii="Times New Roman" w:hAnsi="Times New Roman" w:cs="Times New Roman"/>
              </w:rPr>
            </w:pPr>
            <w:r>
              <w:rPr>
                <w:rFonts w:hint="default" w:ascii="Times New Roman" w:hAnsi="Times New Roman" w:cs="Times New Roman"/>
              </w:rPr>
              <w:t>⑤在危险区域的入口处应设立手握金属接地体，工作人员应先以手触摸接地金属器件等方法导除人体所带静电后，方可进入。必须穿着防静电鞋、防静电服或棉制工作服，使用符合安全规定的防静电工具，要避免穿化纤衣物和导电性能低的胶底鞋，工作人员穿着防静电服时，内衣严禁有两件以上涤纶、腈纶、尼龙等材料制成的服装，以预防静电引发火灾。</w:t>
            </w:r>
          </w:p>
          <w:p>
            <w:pPr>
              <w:pStyle w:val="137"/>
              <w:ind w:firstLine="480"/>
              <w:rPr>
                <w:rFonts w:hint="default" w:ascii="Times New Roman" w:hAnsi="Times New Roman" w:cs="Times New Roman"/>
              </w:rPr>
            </w:pPr>
            <w:r>
              <w:rPr>
                <w:rFonts w:hint="default" w:ascii="Times New Roman" w:hAnsi="Times New Roman" w:cs="Times New Roman"/>
              </w:rPr>
              <w:t>⑥加油站中应禁止使用手机等非防爆无线通讯工具。</w:t>
            </w:r>
          </w:p>
          <w:p>
            <w:pPr>
              <w:pStyle w:val="137"/>
              <w:ind w:firstLine="480"/>
              <w:rPr>
                <w:rFonts w:hint="default" w:ascii="Times New Roman" w:hAnsi="Times New Roman" w:cs="Times New Roman"/>
              </w:rPr>
            </w:pPr>
            <w:r>
              <w:rPr>
                <w:rFonts w:hint="default" w:ascii="Times New Roman" w:hAnsi="Times New Roman" w:cs="Times New Roman"/>
              </w:rPr>
              <w:t>⑦加油区、储存区域应设置安全警示标志，灌装时应控制流速，且有接地装置， 防止静电积聚，搬运时要轻装轻卸，防止包装及容器损坏。配备相应品种和数量的消防器材及泄露应急处理设施。</w:t>
            </w:r>
          </w:p>
          <w:p>
            <w:pPr>
              <w:pStyle w:val="137"/>
              <w:ind w:firstLine="480"/>
              <w:rPr>
                <w:rFonts w:hint="default" w:ascii="Times New Roman" w:hAnsi="Times New Roman" w:cs="Times New Roman"/>
              </w:rPr>
            </w:pPr>
            <w:r>
              <w:rPr>
                <w:rFonts w:hint="default" w:ascii="Times New Roman" w:hAnsi="Times New Roman" w:cs="Times New Roman"/>
              </w:rPr>
              <w:t>⑧本项目站区设置有消防水池，为了避免发生火灾爆炸事故时消防废水进入附近地表水体，本评价要求企业设置事故池，事故池的容量应能满足消防废水的暂存需要， 待事故结束后，对消防废水进行处理后排放，避免对环境造成污染。</w:t>
            </w:r>
          </w:p>
          <w:p>
            <w:pPr>
              <w:pStyle w:val="137"/>
              <w:ind w:firstLine="480"/>
              <w:rPr>
                <w:rFonts w:hint="default" w:ascii="Times New Roman" w:hAnsi="Times New Roman" w:cs="Times New Roman"/>
              </w:rPr>
            </w:pPr>
            <w:r>
              <w:rPr>
                <w:rFonts w:hint="default" w:ascii="Times New Roman" w:hAnsi="Times New Roman" w:cs="Times New Roman"/>
              </w:rPr>
              <w:t>（5）风险应急预案</w:t>
            </w:r>
          </w:p>
          <w:p>
            <w:pPr>
              <w:pStyle w:val="137"/>
              <w:ind w:firstLine="480"/>
              <w:rPr>
                <w:rFonts w:hint="default" w:ascii="Times New Roman" w:hAnsi="Times New Roman" w:cs="Times New Roman"/>
              </w:rPr>
            </w:pPr>
            <w:r>
              <w:rPr>
                <w:rFonts w:hint="default" w:ascii="Times New Roman" w:hAnsi="Times New Roman" w:cs="Times New Roman"/>
              </w:rPr>
              <w:t>本项目突发性事故应急预案见</w:t>
            </w:r>
            <w:r>
              <w:rPr>
                <w:rFonts w:hint="eastAsia" w:cs="Times New Roman"/>
                <w:lang w:val="en-US" w:eastAsia="zh-CN"/>
              </w:rPr>
              <w:t>表7-24</w:t>
            </w:r>
            <w:r>
              <w:rPr>
                <w:rFonts w:hint="default" w:ascii="Times New Roman" w:hAnsi="Times New Roman" w:cs="Times New Roman"/>
              </w:rPr>
              <w:t>。</w:t>
            </w:r>
          </w:p>
          <w:p>
            <w:pPr>
              <w:pStyle w:val="143"/>
              <w:keepNext w:val="0"/>
              <w:keepLines w:val="0"/>
              <w:pageBreakBefore w:val="0"/>
              <w:widowControl w:val="0"/>
              <w:kinsoku/>
              <w:wordWrap/>
              <w:overflowPunct/>
              <w:topLinePunct w:val="0"/>
              <w:autoSpaceDE/>
              <w:autoSpaceDN/>
              <w:bidi w:val="0"/>
              <w:adjustRightInd/>
              <w:snapToGrid/>
              <w:spacing w:beforeLines="0"/>
              <w:textAlignment w:val="auto"/>
              <w:rPr>
                <w:rFonts w:hint="default" w:ascii="Times New Roman" w:hAnsi="Times New Roman" w:cs="Times New Roman"/>
              </w:rPr>
            </w:pPr>
            <w:bookmarkStart w:id="50" w:name="_Ref45542635"/>
            <w:r>
              <w:rPr>
                <w:rFonts w:hint="default" w:ascii="Times New Roman" w:hAnsi="Times New Roman" w:cs="Times New Roman"/>
              </w:rPr>
              <w:t xml:space="preserve">表 </w:t>
            </w:r>
            <w:bookmarkEnd w:id="50"/>
            <w:r>
              <w:rPr>
                <w:rFonts w:hint="eastAsia" w:cs="Times New Roman"/>
                <w:lang w:val="en-US" w:eastAsia="zh-CN"/>
              </w:rPr>
              <w:t>7-24</w:t>
            </w:r>
            <w:r>
              <w:rPr>
                <w:rFonts w:hint="default" w:ascii="Times New Roman" w:hAnsi="Times New Roman" w:cs="Times New Roman"/>
              </w:rPr>
              <w:t xml:space="preserve"> 环境风险的突发性事故应急预案</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Layout w:type="fixed"/>
              <w:tblCellMar>
                <w:top w:w="0" w:type="dxa"/>
                <w:left w:w="108" w:type="dxa"/>
                <w:bottom w:w="0" w:type="dxa"/>
                <w:right w:w="108" w:type="dxa"/>
              </w:tblCellMar>
            </w:tblPr>
            <w:tblGrid>
              <w:gridCol w:w="703"/>
              <w:gridCol w:w="1561"/>
              <w:gridCol w:w="6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jc w:val="center"/>
              </w:trPr>
              <w:tc>
                <w:tcPr>
                  <w:tcW w:w="393"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序号</w:t>
                  </w:r>
                </w:p>
              </w:tc>
              <w:tc>
                <w:tcPr>
                  <w:tcW w:w="872"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项目</w:t>
                  </w:r>
                </w:p>
              </w:tc>
              <w:tc>
                <w:tcPr>
                  <w:tcW w:w="3735"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pct"/>
                  <w:shd w:val="clear" w:color="000000"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1</w:t>
                  </w:r>
                </w:p>
              </w:tc>
              <w:tc>
                <w:tcPr>
                  <w:tcW w:w="872"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总则</w:t>
                  </w:r>
                </w:p>
              </w:tc>
              <w:tc>
                <w:tcPr>
                  <w:tcW w:w="3735"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简述工艺过程及物料性质，可能发生的突发事故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pct"/>
                  <w:shd w:val="clear" w:color="000000"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2</w:t>
                  </w:r>
                </w:p>
              </w:tc>
              <w:tc>
                <w:tcPr>
                  <w:tcW w:w="872"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危险源识别</w:t>
                  </w:r>
                </w:p>
              </w:tc>
              <w:tc>
                <w:tcPr>
                  <w:tcW w:w="3735"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详细说明危险源类型、数量、分布及其对环境的风险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pct"/>
                  <w:shd w:val="clear" w:color="000000"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3</w:t>
                  </w:r>
                </w:p>
              </w:tc>
              <w:tc>
                <w:tcPr>
                  <w:tcW w:w="872"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应急计划区</w:t>
                  </w:r>
                </w:p>
              </w:tc>
              <w:tc>
                <w:tcPr>
                  <w:tcW w:w="3735"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说明加油区、储存区、临近地区敏感点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pct"/>
                  <w:vMerge w:val="restart"/>
                  <w:shd w:val="clear" w:color="000000"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4</w:t>
                  </w:r>
                </w:p>
              </w:tc>
              <w:tc>
                <w:tcPr>
                  <w:tcW w:w="872" w:type="pct"/>
                  <w:vMerge w:val="restar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应急组织</w:t>
                  </w:r>
                </w:p>
              </w:tc>
              <w:tc>
                <w:tcPr>
                  <w:tcW w:w="3735"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加油加气站：站由专人负责—负责现场全面指挥，专业救援队伍—负责事故控制、救援和善后处理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pct"/>
                  <w:vMerge w:val="continue"/>
                  <w:shd w:val="clear" w:color="000000" w:fill="auto"/>
                  <w:vAlign w:val="center"/>
                </w:tcPr>
                <w:p>
                  <w:pPr>
                    <w:pStyle w:val="141"/>
                    <w:rPr>
                      <w:rFonts w:hint="default" w:ascii="Times New Roman" w:hAnsi="Times New Roman" w:eastAsia="等线" w:cs="Times New Roman"/>
                    </w:rPr>
                  </w:pPr>
                </w:p>
              </w:tc>
              <w:tc>
                <w:tcPr>
                  <w:tcW w:w="872" w:type="pct"/>
                  <w:vMerge w:val="continue"/>
                  <w:shd w:val="clear" w:color="000000" w:fill="auto"/>
                  <w:vAlign w:val="center"/>
                </w:tcPr>
                <w:p>
                  <w:pPr>
                    <w:pStyle w:val="141"/>
                    <w:rPr>
                      <w:rFonts w:hint="default" w:ascii="Times New Roman" w:hAnsi="Times New Roman" w:cs="Times New Roman"/>
                    </w:rPr>
                  </w:pPr>
                </w:p>
              </w:tc>
              <w:tc>
                <w:tcPr>
                  <w:tcW w:w="3735"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临近地区：由街道办事处、区政府和加气站内专人负责——负责加油加气站附近地区全面指挥，救援、管制和疏散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pct"/>
                  <w:tcBorders>
                    <w:bottom w:val="single" w:color="auto" w:sz="4" w:space="0"/>
                  </w:tcBorders>
                  <w:shd w:val="clear" w:color="000000"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5</w:t>
                  </w:r>
                </w:p>
              </w:tc>
              <w:tc>
                <w:tcPr>
                  <w:tcW w:w="872" w:type="pct"/>
                  <w:tcBorders>
                    <w:bottom w:val="single" w:color="auto" w:sz="4" w:space="0"/>
                  </w:tcBorders>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应急状态分类应急响应程序</w:t>
                  </w:r>
                </w:p>
              </w:tc>
              <w:tc>
                <w:tcPr>
                  <w:tcW w:w="3735" w:type="pct"/>
                  <w:tcBorders>
                    <w:bottom w:val="single" w:color="auto" w:sz="4" w:space="0"/>
                  </w:tcBorders>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规定环境风险事故的级别及相应的应急状态分类，以此制定相应的分级响应程序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pct"/>
                  <w:tcBorders>
                    <w:top w:val="single" w:color="auto" w:sz="4" w:space="0"/>
                    <w:left w:val="single" w:color="auto" w:sz="4" w:space="0"/>
                    <w:bottom w:val="single" w:color="auto" w:sz="4" w:space="0"/>
                    <w:right w:val="single" w:color="auto" w:sz="4" w:space="0"/>
                  </w:tcBorders>
                  <w:shd w:val="clear" w:color="000000"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6</w:t>
                  </w:r>
                </w:p>
              </w:tc>
              <w:tc>
                <w:tcPr>
                  <w:tcW w:w="872" w:type="pct"/>
                  <w:tcBorders>
                    <w:top w:val="single" w:color="auto" w:sz="4" w:space="0"/>
                    <w:left w:val="single" w:color="auto" w:sz="4" w:space="0"/>
                    <w:bottom w:val="single" w:color="auto" w:sz="4" w:space="0"/>
                    <w:right w:val="single" w:color="auto" w:sz="4" w:space="0"/>
                  </w:tcBorders>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应急设施设备与材料</w:t>
                  </w:r>
                </w:p>
              </w:tc>
              <w:tc>
                <w:tcPr>
                  <w:tcW w:w="3735" w:type="pct"/>
                  <w:tcBorders>
                    <w:top w:val="single" w:color="auto" w:sz="4" w:space="0"/>
                    <w:left w:val="single" w:color="auto" w:sz="4" w:space="0"/>
                    <w:bottom w:val="single" w:color="auto" w:sz="4" w:space="0"/>
                    <w:right w:val="single" w:color="auto" w:sz="4" w:space="0"/>
                  </w:tcBorders>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加油区：防火灾事故的应急设施、设备与材料，主要为消防器材、消防服等；防有有害物质外溢、扩散，主要是水或低压蒸汽幕、喷淋设备、防毒服和中毒人员急救所的一些药品、器材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pct"/>
                  <w:tcBorders>
                    <w:top w:val="single" w:color="auto" w:sz="4" w:space="0"/>
                    <w:left w:val="single" w:color="auto" w:sz="4" w:space="0"/>
                    <w:bottom w:val="single" w:color="auto" w:sz="4" w:space="0"/>
                    <w:right w:val="single" w:color="auto" w:sz="4" w:space="0"/>
                  </w:tcBorders>
                  <w:shd w:val="clear" w:color="000000" w:fill="auto"/>
                  <w:noWrap/>
                  <w:vAlign w:val="center"/>
                </w:tcPr>
                <w:p>
                  <w:pPr>
                    <w:pStyle w:val="141"/>
                    <w:rPr>
                      <w:rFonts w:hint="default" w:ascii="Times New Roman" w:hAnsi="Times New Roman" w:cs="Times New Roman"/>
                    </w:rPr>
                  </w:pPr>
                </w:p>
              </w:tc>
              <w:tc>
                <w:tcPr>
                  <w:tcW w:w="872" w:type="pct"/>
                  <w:tcBorders>
                    <w:top w:val="single" w:color="auto" w:sz="4" w:space="0"/>
                    <w:left w:val="single" w:color="auto" w:sz="4" w:space="0"/>
                    <w:bottom w:val="single" w:color="auto" w:sz="4" w:space="0"/>
                    <w:right w:val="single" w:color="auto" w:sz="4" w:space="0"/>
                  </w:tcBorders>
                  <w:shd w:val="clear" w:color="000000" w:fill="auto"/>
                  <w:noWrap/>
                  <w:vAlign w:val="center"/>
                </w:tcPr>
                <w:p>
                  <w:pPr>
                    <w:pStyle w:val="141"/>
                    <w:rPr>
                      <w:rFonts w:hint="default" w:ascii="Times New Roman" w:hAnsi="Times New Roman" w:eastAsia="Times New Roman" w:cs="Times New Roman"/>
                      <w:sz w:val="20"/>
                    </w:rPr>
                  </w:pPr>
                </w:p>
              </w:tc>
              <w:tc>
                <w:tcPr>
                  <w:tcW w:w="3735" w:type="pct"/>
                  <w:tcBorders>
                    <w:top w:val="single" w:color="auto" w:sz="4" w:space="0"/>
                    <w:left w:val="single" w:color="auto" w:sz="4" w:space="0"/>
                    <w:bottom w:val="single" w:color="auto" w:sz="4" w:space="0"/>
                    <w:right w:val="single" w:color="auto" w:sz="4" w:space="0"/>
                  </w:tcBorders>
                  <w:shd w:val="clear" w:color="000000" w:fill="auto"/>
                  <w:noWrap/>
                  <w:vAlign w:val="center"/>
                </w:tcPr>
                <w:p>
                  <w:pPr>
                    <w:pStyle w:val="141"/>
                    <w:rPr>
                      <w:rFonts w:hint="default" w:ascii="Times New Roman" w:hAnsi="Times New Roman" w:eastAsia="Times New Roman" w:cs="Times New Roman"/>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pct"/>
                  <w:tcBorders>
                    <w:top w:val="single" w:color="auto" w:sz="4" w:space="0"/>
                    <w:left w:val="single" w:color="auto" w:sz="4" w:space="0"/>
                    <w:bottom w:val="single" w:color="auto" w:sz="4" w:space="0"/>
                    <w:right w:val="single" w:color="auto" w:sz="4" w:space="0"/>
                  </w:tcBorders>
                  <w:shd w:val="clear" w:color="000000"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7</w:t>
                  </w:r>
                </w:p>
              </w:tc>
              <w:tc>
                <w:tcPr>
                  <w:tcW w:w="872" w:type="pct"/>
                  <w:tcBorders>
                    <w:top w:val="single" w:color="auto" w:sz="4" w:space="0"/>
                    <w:left w:val="single" w:color="auto" w:sz="4" w:space="0"/>
                    <w:bottom w:val="single" w:color="auto" w:sz="4" w:space="0"/>
                    <w:right w:val="single" w:color="auto" w:sz="4" w:space="0"/>
                  </w:tcBorders>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应急通讯通告与交通</w:t>
                  </w:r>
                </w:p>
              </w:tc>
              <w:tc>
                <w:tcPr>
                  <w:tcW w:w="3735" w:type="pct"/>
                  <w:tcBorders>
                    <w:top w:val="single" w:color="auto" w:sz="4" w:space="0"/>
                    <w:left w:val="single" w:color="auto" w:sz="4" w:space="0"/>
                    <w:bottom w:val="single" w:color="auto" w:sz="4" w:space="0"/>
                    <w:right w:val="single" w:color="auto" w:sz="4" w:space="0"/>
                  </w:tcBorders>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规定应急状态下的通讯、通告方式和交通保障、管制等事项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pct"/>
                  <w:tcBorders>
                    <w:top w:val="single" w:color="auto" w:sz="4" w:space="0"/>
                  </w:tcBorders>
                  <w:shd w:val="clear" w:color="000000"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8</w:t>
                  </w:r>
                </w:p>
              </w:tc>
              <w:tc>
                <w:tcPr>
                  <w:tcW w:w="872" w:type="pct"/>
                  <w:tcBorders>
                    <w:top w:val="single" w:color="auto" w:sz="4" w:space="0"/>
                  </w:tcBorders>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应急环境监测及事故后评估</w:t>
                  </w:r>
                </w:p>
              </w:tc>
              <w:tc>
                <w:tcPr>
                  <w:tcW w:w="3735" w:type="pct"/>
                  <w:tcBorders>
                    <w:top w:val="single" w:color="auto" w:sz="4" w:space="0"/>
                  </w:tcBorders>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由专业人员对环境风险事故现场进行应急监测，对事故性质、严重程度等所造成的环境危害后果进行评估，吸取经验教训免再次发生事故，为指挥部门提供决策依据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pct"/>
                  <w:vMerge w:val="restart"/>
                  <w:shd w:val="clear" w:color="000000"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9</w:t>
                  </w:r>
                </w:p>
              </w:tc>
              <w:tc>
                <w:tcPr>
                  <w:tcW w:w="872" w:type="pct"/>
                  <w:vMerge w:val="restar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应急防护措施消除泄漏措施及需使用器材</w:t>
                  </w:r>
                </w:p>
              </w:tc>
              <w:tc>
                <w:tcPr>
                  <w:tcW w:w="3735"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事故现场：控制事故发展，防止扩大、蔓延及连锁反应；清除现场泄漏物，降低危害；相应的设施器材配备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pct"/>
                  <w:vMerge w:val="continue"/>
                  <w:shd w:val="clear" w:color="000000" w:fill="auto"/>
                  <w:vAlign w:val="center"/>
                </w:tcPr>
                <w:p>
                  <w:pPr>
                    <w:pStyle w:val="141"/>
                    <w:rPr>
                      <w:rFonts w:hint="default" w:ascii="Times New Roman" w:hAnsi="Times New Roman" w:eastAsia="等线" w:cs="Times New Roman"/>
                    </w:rPr>
                  </w:pPr>
                </w:p>
              </w:tc>
              <w:tc>
                <w:tcPr>
                  <w:tcW w:w="872" w:type="pct"/>
                  <w:vMerge w:val="continue"/>
                  <w:shd w:val="clear" w:color="000000" w:fill="auto"/>
                  <w:vAlign w:val="center"/>
                </w:tcPr>
                <w:p>
                  <w:pPr>
                    <w:pStyle w:val="141"/>
                    <w:rPr>
                      <w:rFonts w:hint="default" w:ascii="Times New Roman" w:hAnsi="Times New Roman" w:cs="Times New Roman"/>
                    </w:rPr>
                  </w:pPr>
                </w:p>
              </w:tc>
              <w:tc>
                <w:tcPr>
                  <w:tcW w:w="3735"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临近地区：划分区域，控制和消除环境污染的措施及相应的设备配备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pct"/>
                  <w:vMerge w:val="restart"/>
                  <w:shd w:val="clear" w:color="000000"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10</w:t>
                  </w:r>
                </w:p>
              </w:tc>
              <w:tc>
                <w:tcPr>
                  <w:tcW w:w="872" w:type="pct"/>
                  <w:vMerge w:val="restar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应急剂量控制撤离组织计划医疗救护与保护公众健康</w:t>
                  </w:r>
                </w:p>
              </w:tc>
              <w:tc>
                <w:tcPr>
                  <w:tcW w:w="3735"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事故现场：事故处理人员制定毒物的应急剂量、现场及临近装置人员的撤离组织计划和紧急救护方案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pct"/>
                  <w:vMerge w:val="continue"/>
                  <w:shd w:val="clear" w:color="000000" w:fill="auto"/>
                  <w:vAlign w:val="center"/>
                </w:tcPr>
                <w:p>
                  <w:pPr>
                    <w:pStyle w:val="141"/>
                    <w:rPr>
                      <w:rFonts w:hint="default" w:ascii="Times New Roman" w:hAnsi="Times New Roman" w:eastAsia="等线" w:cs="Times New Roman"/>
                    </w:rPr>
                  </w:pPr>
                </w:p>
              </w:tc>
              <w:tc>
                <w:tcPr>
                  <w:tcW w:w="872" w:type="pct"/>
                  <w:vMerge w:val="continue"/>
                  <w:shd w:val="clear" w:color="000000" w:fill="auto"/>
                  <w:vAlign w:val="center"/>
                </w:tcPr>
                <w:p>
                  <w:pPr>
                    <w:pStyle w:val="141"/>
                    <w:rPr>
                      <w:rFonts w:hint="default" w:ascii="Times New Roman" w:hAnsi="Times New Roman" w:cs="Times New Roman"/>
                    </w:rPr>
                  </w:pPr>
                </w:p>
              </w:tc>
              <w:tc>
                <w:tcPr>
                  <w:tcW w:w="3735"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临近地区：制定受事故影响的临近地区内人员对毒物的应急剂量、公众的疏散组织计划和紧急救护方案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pct"/>
                  <w:shd w:val="clear" w:color="000000"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11</w:t>
                  </w:r>
                </w:p>
              </w:tc>
              <w:tc>
                <w:tcPr>
                  <w:tcW w:w="872"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应急状态中止恢复措施</w:t>
                  </w:r>
                </w:p>
              </w:tc>
              <w:tc>
                <w:tcPr>
                  <w:tcW w:w="3735"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事故现场：规定应急状态终止秩序：事故现场善后处理，恢复运营措施；临近地区：除事故警戒、公众返回和善后恢复措施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pct"/>
                  <w:shd w:val="clear" w:color="000000"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12</w:t>
                  </w:r>
                </w:p>
              </w:tc>
              <w:tc>
                <w:tcPr>
                  <w:tcW w:w="872"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人员培训与演习</w:t>
                  </w:r>
                </w:p>
              </w:tc>
              <w:tc>
                <w:tcPr>
                  <w:tcW w:w="3735"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应急计划制定后，平时安排事故处理人员进行相关知识培训进行事故应急处理演习；对加气站内工人进行安全卫生教育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pct"/>
                  <w:shd w:val="clear" w:color="000000"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13</w:t>
                  </w:r>
                </w:p>
              </w:tc>
              <w:tc>
                <w:tcPr>
                  <w:tcW w:w="872"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公众教育信息发布</w:t>
                  </w:r>
                </w:p>
              </w:tc>
              <w:tc>
                <w:tcPr>
                  <w:tcW w:w="3735"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对加气站临近地区公众开展环境风险事故预防教育、应急知识培训并定期发布相关信息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pct"/>
                  <w:shd w:val="clear" w:color="000000"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14</w:t>
                  </w:r>
                </w:p>
              </w:tc>
              <w:tc>
                <w:tcPr>
                  <w:tcW w:w="872"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记录和报告</w:t>
                  </w:r>
                </w:p>
              </w:tc>
              <w:tc>
                <w:tcPr>
                  <w:tcW w:w="3735"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设应急事故专门记录，建立档案和报告制度，设专门部门负责管理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pct"/>
                  <w:shd w:val="clear" w:color="000000"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15</w:t>
                  </w:r>
                </w:p>
              </w:tc>
              <w:tc>
                <w:tcPr>
                  <w:tcW w:w="872"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附件</w:t>
                  </w:r>
                </w:p>
              </w:tc>
              <w:tc>
                <w:tcPr>
                  <w:tcW w:w="3735" w:type="pct"/>
                  <w:shd w:val="clear" w:color="000000" w:fill="auto"/>
                  <w:vAlign w:val="center"/>
                </w:tcPr>
                <w:p>
                  <w:pPr>
                    <w:pStyle w:val="141"/>
                    <w:rPr>
                      <w:rFonts w:hint="default" w:ascii="Times New Roman" w:hAnsi="Times New Roman" w:cs="Times New Roman"/>
                    </w:rPr>
                  </w:pPr>
                  <w:r>
                    <w:rPr>
                      <w:rFonts w:hint="default" w:ascii="Times New Roman" w:hAnsi="Times New Roman" w:cs="Times New Roman"/>
                    </w:rPr>
                    <w:t>准备并形成环境风险事故应急处理有关的附件材料</w:t>
                  </w:r>
                </w:p>
              </w:tc>
            </w:tr>
          </w:tbl>
          <w:p>
            <w:pPr>
              <w:pStyle w:val="143"/>
              <w:spacing w:before="156"/>
              <w:rPr>
                <w:rFonts w:hint="default" w:ascii="Times New Roman" w:hAnsi="Times New Roman" w:cs="Times New Roman"/>
              </w:rPr>
            </w:pPr>
            <w:r>
              <w:rPr>
                <w:rFonts w:hint="default" w:ascii="Times New Roman" w:hAnsi="Times New Roman" w:cs="Times New Roman"/>
              </w:rPr>
              <w:t>表</w:t>
            </w:r>
            <w:r>
              <w:rPr>
                <w:rFonts w:hint="eastAsia" w:cs="Times New Roman"/>
                <w:lang w:val="en-US" w:eastAsia="zh-CN"/>
              </w:rPr>
              <w:t xml:space="preserve">7-25  </w:t>
            </w:r>
            <w:r>
              <w:rPr>
                <w:rFonts w:hint="default" w:ascii="Times New Roman" w:hAnsi="Times New Roman" w:cs="Times New Roman"/>
              </w:rPr>
              <w:t xml:space="preserve"> 环境风险评价自查表</w:t>
            </w:r>
          </w:p>
          <w:tbl>
            <w:tblPr>
              <w:tblStyle w:val="31"/>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
              <w:gridCol w:w="1049"/>
              <w:gridCol w:w="1271"/>
              <w:gridCol w:w="1598"/>
              <w:gridCol w:w="864"/>
              <w:gridCol w:w="639"/>
              <w:gridCol w:w="29"/>
              <w:gridCol w:w="744"/>
              <w:gridCol w:w="766"/>
              <w:gridCol w:w="15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jc w:val="center"/>
              </w:trPr>
              <w:tc>
                <w:tcPr>
                  <w:tcW w:w="1534" w:type="pct"/>
                  <w:gridSpan w:val="3"/>
                  <w:vAlign w:val="center"/>
                </w:tcPr>
                <w:p>
                  <w:pPr>
                    <w:pStyle w:val="141"/>
                    <w:jc w:val="center"/>
                    <w:rPr>
                      <w:rFonts w:hint="default" w:ascii="Times New Roman" w:hAnsi="Times New Roman" w:cs="Times New Roman"/>
                    </w:rPr>
                  </w:pPr>
                  <w:r>
                    <w:rPr>
                      <w:rFonts w:hint="default" w:ascii="Times New Roman" w:hAnsi="Times New Roman" w:cs="Times New Roman"/>
                    </w:rPr>
                    <w:t>工作内容</w:t>
                  </w:r>
                </w:p>
              </w:tc>
              <w:tc>
                <w:tcPr>
                  <w:tcW w:w="3466" w:type="pct"/>
                  <w:gridSpan w:val="7"/>
                  <w:vAlign w:val="center"/>
                </w:tcPr>
                <w:p>
                  <w:pPr>
                    <w:pStyle w:val="141"/>
                    <w:jc w:val="center"/>
                    <w:rPr>
                      <w:rFonts w:hint="default" w:ascii="Times New Roman" w:hAnsi="Times New Roman" w:cs="Times New Roman"/>
                    </w:rPr>
                  </w:pPr>
                  <w:r>
                    <w:rPr>
                      <w:rFonts w:hint="default" w:ascii="Times New Roman" w:hAnsi="Times New Roman" w:cs="Times New Roman"/>
                    </w:rPr>
                    <w:t>完成情况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238" w:type="pct"/>
                  <w:vMerge w:val="restart"/>
                  <w:vAlign w:val="center"/>
                </w:tcPr>
                <w:p>
                  <w:pPr>
                    <w:pStyle w:val="141"/>
                    <w:jc w:val="center"/>
                    <w:rPr>
                      <w:rFonts w:hint="default" w:ascii="Times New Roman" w:hAnsi="Times New Roman" w:cs="Times New Roman"/>
                    </w:rPr>
                  </w:pPr>
                  <w:r>
                    <w:rPr>
                      <w:rFonts w:hint="default" w:ascii="Times New Roman" w:hAnsi="Times New Roman" w:cs="Times New Roman"/>
                    </w:rPr>
                    <w:t>风险调查</w:t>
                  </w:r>
                </w:p>
              </w:tc>
              <w:tc>
                <w:tcPr>
                  <w:tcW w:w="586" w:type="pct"/>
                  <w:vMerge w:val="restart"/>
                  <w:vAlign w:val="center"/>
                </w:tcPr>
                <w:p>
                  <w:pPr>
                    <w:pStyle w:val="141"/>
                    <w:jc w:val="center"/>
                    <w:rPr>
                      <w:rFonts w:hint="default" w:ascii="Times New Roman" w:hAnsi="Times New Roman" w:cs="Times New Roman"/>
                    </w:rPr>
                  </w:pPr>
                  <w:r>
                    <w:rPr>
                      <w:rFonts w:hint="default" w:ascii="Times New Roman" w:hAnsi="Times New Roman" w:cs="Times New Roman"/>
                    </w:rPr>
                    <w:t>危险物质</w:t>
                  </w:r>
                </w:p>
              </w:tc>
              <w:tc>
                <w:tcPr>
                  <w:tcW w:w="710" w:type="pct"/>
                  <w:vAlign w:val="center"/>
                </w:tcPr>
                <w:p>
                  <w:pPr>
                    <w:pStyle w:val="141"/>
                    <w:jc w:val="center"/>
                    <w:rPr>
                      <w:rFonts w:hint="default" w:ascii="Times New Roman" w:hAnsi="Times New Roman" w:cs="Times New Roman"/>
                    </w:rPr>
                  </w:pPr>
                  <w:r>
                    <w:rPr>
                      <w:rFonts w:hint="default" w:ascii="Times New Roman" w:hAnsi="Times New Roman" w:cs="Times New Roman"/>
                    </w:rPr>
                    <w:t>名称</w:t>
                  </w:r>
                </w:p>
              </w:tc>
              <w:tc>
                <w:tcPr>
                  <w:tcW w:w="1733" w:type="pct"/>
                  <w:gridSpan w:val="3"/>
                  <w:vAlign w:val="center"/>
                </w:tcPr>
                <w:p>
                  <w:pPr>
                    <w:pStyle w:val="141"/>
                    <w:jc w:val="center"/>
                    <w:rPr>
                      <w:rFonts w:hint="default" w:ascii="Times New Roman" w:hAnsi="Times New Roman" w:cs="Times New Roman"/>
                    </w:rPr>
                  </w:pPr>
                  <w:r>
                    <w:rPr>
                      <w:rFonts w:hint="default" w:ascii="Times New Roman" w:hAnsi="Times New Roman" w:cs="Times New Roman"/>
                    </w:rPr>
                    <w:t>汽油</w:t>
                  </w:r>
                </w:p>
              </w:tc>
              <w:tc>
                <w:tcPr>
                  <w:tcW w:w="1733" w:type="pct"/>
                  <w:gridSpan w:val="4"/>
                  <w:vAlign w:val="center"/>
                </w:tcPr>
                <w:p>
                  <w:pPr>
                    <w:pStyle w:val="141"/>
                    <w:jc w:val="center"/>
                    <w:rPr>
                      <w:rFonts w:hint="default" w:ascii="Times New Roman" w:hAnsi="Times New Roman" w:cs="Times New Roman"/>
                    </w:rPr>
                  </w:pPr>
                  <w:r>
                    <w:rPr>
                      <w:rFonts w:hint="default" w:ascii="Times New Roman" w:hAnsi="Times New Roman" w:cs="Times New Roman"/>
                    </w:rPr>
                    <w:t>柴油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2" w:hRule="atLeast"/>
                <w:jc w:val="center"/>
              </w:trPr>
              <w:tc>
                <w:tcPr>
                  <w:tcW w:w="238" w:type="pct"/>
                  <w:vMerge w:val="continue"/>
                  <w:vAlign w:val="center"/>
                </w:tcPr>
                <w:p>
                  <w:pPr>
                    <w:pStyle w:val="141"/>
                    <w:jc w:val="center"/>
                    <w:rPr>
                      <w:rFonts w:hint="default" w:ascii="Times New Roman" w:hAnsi="Times New Roman" w:cs="Times New Roman"/>
                    </w:rPr>
                  </w:pPr>
                </w:p>
              </w:tc>
              <w:tc>
                <w:tcPr>
                  <w:tcW w:w="586" w:type="pct"/>
                  <w:vMerge w:val="continue"/>
                  <w:vAlign w:val="center"/>
                </w:tcPr>
                <w:p>
                  <w:pPr>
                    <w:pStyle w:val="141"/>
                    <w:jc w:val="center"/>
                    <w:rPr>
                      <w:rFonts w:hint="default" w:ascii="Times New Roman" w:hAnsi="Times New Roman" w:cs="Times New Roman"/>
                    </w:rPr>
                  </w:pPr>
                </w:p>
              </w:tc>
              <w:tc>
                <w:tcPr>
                  <w:tcW w:w="710" w:type="pct"/>
                  <w:vAlign w:val="center"/>
                </w:tcPr>
                <w:p>
                  <w:pPr>
                    <w:pStyle w:val="141"/>
                    <w:jc w:val="center"/>
                    <w:rPr>
                      <w:rFonts w:hint="default" w:ascii="Times New Roman" w:hAnsi="Times New Roman" w:cs="Times New Roman"/>
                    </w:rPr>
                  </w:pPr>
                  <w:r>
                    <w:rPr>
                      <w:rFonts w:hint="default" w:ascii="Times New Roman" w:hAnsi="Times New Roman" w:cs="Times New Roman"/>
                    </w:rPr>
                    <w:t>存在总量/t</w:t>
                  </w:r>
                </w:p>
              </w:tc>
              <w:tc>
                <w:tcPr>
                  <w:tcW w:w="1733" w:type="pct"/>
                  <w:gridSpan w:val="3"/>
                  <w:vAlign w:val="center"/>
                </w:tcPr>
                <w:p>
                  <w:pPr>
                    <w:pStyle w:val="141"/>
                    <w:jc w:val="center"/>
                    <w:rPr>
                      <w:rFonts w:hint="default" w:ascii="Times New Roman" w:hAnsi="Times New Roman" w:cs="Times New Roman"/>
                    </w:rPr>
                  </w:pPr>
                  <w:r>
                    <w:rPr>
                      <w:rFonts w:hint="default" w:ascii="Times New Roman" w:hAnsi="Times New Roman" w:cs="Times New Roman"/>
                    </w:rPr>
                    <w:t>48.6</w:t>
                  </w:r>
                </w:p>
              </w:tc>
              <w:tc>
                <w:tcPr>
                  <w:tcW w:w="1733" w:type="pct"/>
                  <w:gridSpan w:val="4"/>
                  <w:vAlign w:val="center"/>
                </w:tcPr>
                <w:p>
                  <w:pPr>
                    <w:pStyle w:val="141"/>
                    <w:jc w:val="center"/>
                    <w:rPr>
                      <w:rFonts w:hint="default" w:ascii="Times New Roman" w:hAnsi="Times New Roman" w:cs="Times New Roman"/>
                    </w:rPr>
                  </w:pPr>
                  <w:r>
                    <w:rPr>
                      <w:rFonts w:hint="default" w:ascii="Times New Roman" w:hAnsi="Times New Roman" w:cs="Times New Roman"/>
                    </w:rPr>
                    <w:t>23.09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2" w:hRule="atLeast"/>
                <w:jc w:val="center"/>
              </w:trPr>
              <w:tc>
                <w:tcPr>
                  <w:tcW w:w="238" w:type="pct"/>
                  <w:vMerge w:val="continue"/>
                  <w:vAlign w:val="center"/>
                </w:tcPr>
                <w:p>
                  <w:pPr>
                    <w:pStyle w:val="141"/>
                    <w:jc w:val="center"/>
                    <w:rPr>
                      <w:rFonts w:hint="default" w:ascii="Times New Roman" w:hAnsi="Times New Roman" w:cs="Times New Roman"/>
                    </w:rPr>
                  </w:pPr>
                </w:p>
              </w:tc>
              <w:tc>
                <w:tcPr>
                  <w:tcW w:w="586" w:type="pct"/>
                  <w:vMerge w:val="restart"/>
                  <w:vAlign w:val="center"/>
                </w:tcPr>
                <w:p>
                  <w:pPr>
                    <w:pStyle w:val="141"/>
                    <w:jc w:val="center"/>
                    <w:rPr>
                      <w:rFonts w:hint="default" w:ascii="Times New Roman" w:hAnsi="Times New Roman" w:cs="Times New Roman"/>
                    </w:rPr>
                  </w:pPr>
                  <w:r>
                    <w:rPr>
                      <w:rFonts w:hint="default" w:ascii="Times New Roman" w:hAnsi="Times New Roman" w:cs="Times New Roman"/>
                    </w:rPr>
                    <w:t>环境敏感性</w:t>
                  </w:r>
                </w:p>
              </w:tc>
              <w:tc>
                <w:tcPr>
                  <w:tcW w:w="710" w:type="pct"/>
                  <w:vMerge w:val="restart"/>
                  <w:vAlign w:val="center"/>
                </w:tcPr>
                <w:p>
                  <w:pPr>
                    <w:pStyle w:val="141"/>
                    <w:jc w:val="center"/>
                    <w:rPr>
                      <w:rFonts w:hint="default" w:ascii="Times New Roman" w:hAnsi="Times New Roman" w:cs="Times New Roman"/>
                    </w:rPr>
                  </w:pPr>
                  <w:r>
                    <w:rPr>
                      <w:rFonts w:hint="default" w:ascii="Times New Roman" w:hAnsi="Times New Roman" w:cs="Times New Roman"/>
                    </w:rPr>
                    <w:t>大气</w:t>
                  </w:r>
                </w:p>
              </w:tc>
              <w:tc>
                <w:tcPr>
                  <w:tcW w:w="1733" w:type="pct"/>
                  <w:gridSpan w:val="3"/>
                  <w:vAlign w:val="center"/>
                </w:tcPr>
                <w:p>
                  <w:pPr>
                    <w:pStyle w:val="141"/>
                    <w:jc w:val="center"/>
                    <w:rPr>
                      <w:rFonts w:hint="default" w:ascii="Times New Roman" w:hAnsi="Times New Roman" w:cs="Times New Roman"/>
                    </w:rPr>
                  </w:pPr>
                  <w:r>
                    <w:rPr>
                      <w:rFonts w:hint="default" w:ascii="Times New Roman" w:hAnsi="Times New Roman" w:cs="Times New Roman"/>
                    </w:rPr>
                    <w:t>500m范围内人口数</w:t>
                  </w:r>
                  <w:r>
                    <w:rPr>
                      <w:rFonts w:hint="default" w:ascii="Times New Roman" w:hAnsi="Times New Roman" w:cs="Times New Roman"/>
                      <w:u w:val="single"/>
                    </w:rPr>
                    <w:t xml:space="preserve">  /      </w:t>
                  </w:r>
                  <w:r>
                    <w:rPr>
                      <w:rFonts w:hint="default" w:ascii="Times New Roman" w:hAnsi="Times New Roman" w:cs="Times New Roman"/>
                    </w:rPr>
                    <w:t>人</w:t>
                  </w:r>
                </w:p>
              </w:tc>
              <w:tc>
                <w:tcPr>
                  <w:tcW w:w="1733" w:type="pct"/>
                  <w:gridSpan w:val="4"/>
                  <w:vAlign w:val="center"/>
                </w:tcPr>
                <w:p>
                  <w:pPr>
                    <w:pStyle w:val="141"/>
                    <w:jc w:val="center"/>
                    <w:rPr>
                      <w:rFonts w:hint="default" w:ascii="Times New Roman" w:hAnsi="Times New Roman" w:cs="Times New Roman"/>
                    </w:rPr>
                  </w:pPr>
                  <w:r>
                    <w:rPr>
                      <w:rFonts w:hint="default" w:ascii="Times New Roman" w:hAnsi="Times New Roman" w:cs="Times New Roman"/>
                    </w:rPr>
                    <w:t>5km范围内人口数</w:t>
                  </w:r>
                  <w:r>
                    <w:rPr>
                      <w:rFonts w:hint="default" w:ascii="Times New Roman" w:hAnsi="Times New Roman" w:cs="Times New Roman"/>
                      <w:u w:val="single"/>
                    </w:rPr>
                    <w:t xml:space="preserve">   /    </w:t>
                  </w:r>
                  <w:r>
                    <w:rPr>
                      <w:rFonts w:hint="default" w:ascii="Times New Roman" w:hAnsi="Times New Roman" w:cs="Times New Roman"/>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jc w:val="center"/>
              </w:trPr>
              <w:tc>
                <w:tcPr>
                  <w:tcW w:w="238" w:type="pct"/>
                  <w:vMerge w:val="continue"/>
                  <w:vAlign w:val="center"/>
                </w:tcPr>
                <w:p>
                  <w:pPr>
                    <w:pStyle w:val="141"/>
                    <w:jc w:val="center"/>
                    <w:rPr>
                      <w:rFonts w:hint="default" w:ascii="Times New Roman" w:hAnsi="Times New Roman" w:cs="Times New Roman"/>
                    </w:rPr>
                  </w:pPr>
                </w:p>
              </w:tc>
              <w:tc>
                <w:tcPr>
                  <w:tcW w:w="586" w:type="pct"/>
                  <w:vMerge w:val="continue"/>
                  <w:vAlign w:val="center"/>
                </w:tcPr>
                <w:p>
                  <w:pPr>
                    <w:pStyle w:val="141"/>
                    <w:jc w:val="center"/>
                    <w:rPr>
                      <w:rFonts w:hint="default" w:ascii="Times New Roman" w:hAnsi="Times New Roman" w:cs="Times New Roman"/>
                    </w:rPr>
                  </w:pPr>
                </w:p>
              </w:tc>
              <w:tc>
                <w:tcPr>
                  <w:tcW w:w="710" w:type="pct"/>
                  <w:vMerge w:val="continue"/>
                  <w:vAlign w:val="center"/>
                </w:tcPr>
                <w:p>
                  <w:pPr>
                    <w:pStyle w:val="141"/>
                    <w:jc w:val="center"/>
                    <w:rPr>
                      <w:rFonts w:hint="default" w:ascii="Times New Roman" w:hAnsi="Times New Roman" w:cs="Times New Roman"/>
                    </w:rPr>
                  </w:pPr>
                </w:p>
              </w:tc>
              <w:tc>
                <w:tcPr>
                  <w:tcW w:w="2593" w:type="pct"/>
                  <w:gridSpan w:val="6"/>
                  <w:vAlign w:val="center"/>
                </w:tcPr>
                <w:p>
                  <w:pPr>
                    <w:pStyle w:val="141"/>
                    <w:jc w:val="center"/>
                    <w:rPr>
                      <w:rFonts w:hint="default" w:ascii="Times New Roman" w:hAnsi="Times New Roman" w:cs="Times New Roman"/>
                    </w:rPr>
                  </w:pPr>
                  <w:r>
                    <w:rPr>
                      <w:rFonts w:hint="default" w:ascii="Times New Roman" w:hAnsi="Times New Roman" w:cs="Times New Roman"/>
                    </w:rPr>
                    <w:t>每公里管段周边200m范围内人口数（最大）</w:t>
                  </w:r>
                </w:p>
              </w:tc>
              <w:tc>
                <w:tcPr>
                  <w:tcW w:w="873" w:type="pct"/>
                  <w:vAlign w:val="center"/>
                </w:tcPr>
                <w:p>
                  <w:pPr>
                    <w:pStyle w:val="141"/>
                    <w:jc w:val="center"/>
                    <w:rPr>
                      <w:rFonts w:hint="default" w:ascii="Times New Roman" w:hAnsi="Times New Roman" w:cs="Times New Roman"/>
                    </w:rPr>
                  </w:pPr>
                  <w:r>
                    <w:rPr>
                      <w:rFonts w:hint="default" w:ascii="Times New Roman" w:hAnsi="Times New Roman" w:cs="Times New Roman"/>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 w:hRule="atLeast"/>
                <w:jc w:val="center"/>
              </w:trPr>
              <w:tc>
                <w:tcPr>
                  <w:tcW w:w="238" w:type="pct"/>
                  <w:vMerge w:val="continue"/>
                  <w:vAlign w:val="center"/>
                </w:tcPr>
                <w:p>
                  <w:pPr>
                    <w:pStyle w:val="141"/>
                    <w:jc w:val="center"/>
                    <w:rPr>
                      <w:rFonts w:hint="default" w:ascii="Times New Roman" w:hAnsi="Times New Roman" w:cs="Times New Roman"/>
                    </w:rPr>
                  </w:pPr>
                </w:p>
              </w:tc>
              <w:tc>
                <w:tcPr>
                  <w:tcW w:w="586" w:type="pct"/>
                  <w:vMerge w:val="continue"/>
                  <w:vAlign w:val="center"/>
                </w:tcPr>
                <w:p>
                  <w:pPr>
                    <w:pStyle w:val="141"/>
                    <w:jc w:val="center"/>
                    <w:rPr>
                      <w:rFonts w:hint="default" w:ascii="Times New Roman" w:hAnsi="Times New Roman" w:cs="Times New Roman"/>
                    </w:rPr>
                  </w:pPr>
                </w:p>
              </w:tc>
              <w:tc>
                <w:tcPr>
                  <w:tcW w:w="710" w:type="pct"/>
                  <w:vMerge w:val="restart"/>
                  <w:vAlign w:val="center"/>
                </w:tcPr>
                <w:p>
                  <w:pPr>
                    <w:pStyle w:val="141"/>
                    <w:jc w:val="center"/>
                    <w:rPr>
                      <w:rFonts w:hint="default" w:ascii="Times New Roman" w:hAnsi="Times New Roman" w:cs="Times New Roman"/>
                    </w:rPr>
                  </w:pPr>
                  <w:r>
                    <w:rPr>
                      <w:rFonts w:hint="default" w:ascii="Times New Roman" w:hAnsi="Times New Roman" w:cs="Times New Roman"/>
                    </w:rPr>
                    <w:t>地表水</w:t>
                  </w:r>
                </w:p>
              </w:tc>
              <w:tc>
                <w:tcPr>
                  <w:tcW w:w="893" w:type="pct"/>
                  <w:vAlign w:val="center"/>
                </w:tcPr>
                <w:p>
                  <w:pPr>
                    <w:pStyle w:val="141"/>
                    <w:jc w:val="center"/>
                    <w:rPr>
                      <w:rFonts w:hint="default" w:ascii="Times New Roman" w:hAnsi="Times New Roman" w:cs="Times New Roman"/>
                    </w:rPr>
                  </w:pPr>
                  <w:r>
                    <w:rPr>
                      <w:rFonts w:hint="default" w:ascii="Times New Roman" w:hAnsi="Times New Roman" w:cs="Times New Roman"/>
                    </w:rPr>
                    <w:t>地表水功能敏感性</w:t>
                  </w:r>
                </w:p>
              </w:tc>
              <w:tc>
                <w:tcPr>
                  <w:tcW w:w="856" w:type="pct"/>
                  <w:gridSpan w:val="3"/>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F1 </w:t>
                  </w:r>
                  <w:r>
                    <w:rPr>
                      <w:rFonts w:hint="default" w:ascii="Times New Roman" w:hAnsi="Times New Roman" w:cs="Times New Roman"/>
                    </w:rPr>
                    <w:sym w:font="Wingdings 2" w:char="00A3"/>
                  </w:r>
                </w:p>
              </w:tc>
              <w:tc>
                <w:tcPr>
                  <w:tcW w:w="844" w:type="pct"/>
                  <w:gridSpan w:val="2"/>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F2 </w:t>
                  </w:r>
                  <w:r>
                    <w:rPr>
                      <w:rFonts w:hint="default" w:ascii="Times New Roman" w:hAnsi="Times New Roman" w:cs="Times New Roman"/>
                    </w:rPr>
                    <w:sym w:font="Wingdings 2" w:char="00A3"/>
                  </w:r>
                </w:p>
              </w:tc>
              <w:tc>
                <w:tcPr>
                  <w:tcW w:w="873" w:type="pct"/>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F3 </w:t>
                  </w:r>
                  <w:r>
                    <w:rPr>
                      <w:rFonts w:hint="default" w:ascii="Times New Roman" w:hAnsi="Times New Roman" w:cs="Times New Roman"/>
                    </w:rPr>
                    <w:sym w:font="Wingdings 2" w:char="00A3"/>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6" w:hRule="atLeast"/>
                <w:jc w:val="center"/>
              </w:trPr>
              <w:tc>
                <w:tcPr>
                  <w:tcW w:w="238" w:type="pct"/>
                  <w:vMerge w:val="continue"/>
                  <w:vAlign w:val="center"/>
                </w:tcPr>
                <w:p>
                  <w:pPr>
                    <w:jc w:val="center"/>
                    <w:rPr>
                      <w:rFonts w:hint="default" w:ascii="Times New Roman" w:hAnsi="Times New Roman" w:cs="Times New Roman"/>
                      <w:sz w:val="18"/>
                      <w:szCs w:val="18"/>
                    </w:rPr>
                  </w:pPr>
                </w:p>
              </w:tc>
              <w:tc>
                <w:tcPr>
                  <w:tcW w:w="586" w:type="pct"/>
                  <w:vMerge w:val="continue"/>
                  <w:vAlign w:val="center"/>
                </w:tcPr>
                <w:p>
                  <w:pPr>
                    <w:jc w:val="center"/>
                    <w:rPr>
                      <w:rFonts w:hint="default" w:ascii="Times New Roman" w:hAnsi="Times New Roman" w:cs="Times New Roman"/>
                      <w:sz w:val="18"/>
                      <w:szCs w:val="18"/>
                    </w:rPr>
                  </w:pPr>
                </w:p>
              </w:tc>
              <w:tc>
                <w:tcPr>
                  <w:tcW w:w="710" w:type="pct"/>
                  <w:vMerge w:val="continue"/>
                  <w:vAlign w:val="center"/>
                </w:tcPr>
                <w:p>
                  <w:pPr>
                    <w:jc w:val="center"/>
                    <w:rPr>
                      <w:rFonts w:hint="default" w:ascii="Times New Roman" w:hAnsi="Times New Roman" w:cs="Times New Roman"/>
                      <w:sz w:val="18"/>
                      <w:szCs w:val="18"/>
                    </w:rPr>
                  </w:pPr>
                </w:p>
              </w:tc>
              <w:tc>
                <w:tcPr>
                  <w:tcW w:w="893" w:type="pct"/>
                  <w:vAlign w:val="center"/>
                </w:tcPr>
                <w:p>
                  <w:pPr>
                    <w:pStyle w:val="141"/>
                    <w:jc w:val="center"/>
                    <w:rPr>
                      <w:rFonts w:hint="default" w:ascii="Times New Roman" w:hAnsi="Times New Roman" w:cs="Times New Roman"/>
                    </w:rPr>
                  </w:pPr>
                  <w:r>
                    <w:rPr>
                      <w:rFonts w:hint="default" w:ascii="Times New Roman" w:hAnsi="Times New Roman" w:cs="Times New Roman"/>
                    </w:rPr>
                    <w:t>环境敏感目标分级</w:t>
                  </w:r>
                </w:p>
              </w:tc>
              <w:tc>
                <w:tcPr>
                  <w:tcW w:w="856" w:type="pct"/>
                  <w:gridSpan w:val="3"/>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S1 </w:t>
                  </w:r>
                  <w:r>
                    <w:rPr>
                      <w:rFonts w:hint="default" w:ascii="Times New Roman" w:hAnsi="Times New Roman" w:cs="Times New Roman"/>
                    </w:rPr>
                    <w:sym w:font="Wingdings 2" w:char="00A3"/>
                  </w:r>
                </w:p>
              </w:tc>
              <w:tc>
                <w:tcPr>
                  <w:tcW w:w="844" w:type="pct"/>
                  <w:gridSpan w:val="2"/>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S2 </w:t>
                  </w:r>
                  <w:r>
                    <w:rPr>
                      <w:rFonts w:hint="default" w:ascii="Times New Roman" w:hAnsi="Times New Roman" w:cs="Times New Roman"/>
                    </w:rPr>
                    <w:sym w:font="Wingdings 2" w:char="00A3"/>
                  </w:r>
                </w:p>
              </w:tc>
              <w:tc>
                <w:tcPr>
                  <w:tcW w:w="873" w:type="pct"/>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S3 </w:t>
                  </w:r>
                  <w:r>
                    <w:rPr>
                      <w:rFonts w:hint="default" w:ascii="Times New Roman" w:hAnsi="Times New Roman" w:cs="Times New Roman"/>
                    </w:rPr>
                    <w:sym w:font="Wingdings 2" w:char="00A3"/>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 w:hRule="atLeast"/>
                <w:jc w:val="center"/>
              </w:trPr>
              <w:tc>
                <w:tcPr>
                  <w:tcW w:w="238" w:type="pct"/>
                  <w:vMerge w:val="continue"/>
                  <w:vAlign w:val="center"/>
                </w:tcPr>
                <w:p>
                  <w:pPr>
                    <w:jc w:val="center"/>
                    <w:rPr>
                      <w:rFonts w:hint="default" w:ascii="Times New Roman" w:hAnsi="Times New Roman" w:cs="Times New Roman"/>
                      <w:sz w:val="18"/>
                      <w:szCs w:val="18"/>
                    </w:rPr>
                  </w:pPr>
                </w:p>
              </w:tc>
              <w:tc>
                <w:tcPr>
                  <w:tcW w:w="586" w:type="pct"/>
                  <w:vMerge w:val="continue"/>
                  <w:vAlign w:val="center"/>
                </w:tcPr>
                <w:p>
                  <w:pPr>
                    <w:jc w:val="center"/>
                    <w:rPr>
                      <w:rFonts w:hint="default" w:ascii="Times New Roman" w:hAnsi="Times New Roman" w:cs="Times New Roman"/>
                      <w:sz w:val="18"/>
                      <w:szCs w:val="18"/>
                    </w:rPr>
                  </w:pPr>
                </w:p>
              </w:tc>
              <w:tc>
                <w:tcPr>
                  <w:tcW w:w="710" w:type="pct"/>
                  <w:vMerge w:val="restart"/>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地下水</w:t>
                  </w:r>
                </w:p>
              </w:tc>
              <w:tc>
                <w:tcPr>
                  <w:tcW w:w="893" w:type="pct"/>
                  <w:vAlign w:val="center"/>
                </w:tcPr>
                <w:p>
                  <w:pPr>
                    <w:pStyle w:val="141"/>
                    <w:jc w:val="center"/>
                    <w:rPr>
                      <w:rFonts w:hint="default" w:ascii="Times New Roman" w:hAnsi="Times New Roman" w:cs="Times New Roman"/>
                    </w:rPr>
                  </w:pPr>
                  <w:r>
                    <w:rPr>
                      <w:rFonts w:hint="default" w:ascii="Times New Roman" w:hAnsi="Times New Roman" w:cs="Times New Roman"/>
                    </w:rPr>
                    <w:t>地下水功能敏感性</w:t>
                  </w:r>
                </w:p>
              </w:tc>
              <w:tc>
                <w:tcPr>
                  <w:tcW w:w="856" w:type="pct"/>
                  <w:gridSpan w:val="3"/>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G1 </w:t>
                  </w:r>
                  <w:r>
                    <w:rPr>
                      <w:rFonts w:hint="default" w:ascii="Times New Roman" w:hAnsi="Times New Roman" w:cs="Times New Roman"/>
                    </w:rPr>
                    <w:sym w:font="Wingdings 2" w:char="00A3"/>
                  </w:r>
                </w:p>
              </w:tc>
              <w:tc>
                <w:tcPr>
                  <w:tcW w:w="844" w:type="pct"/>
                  <w:gridSpan w:val="2"/>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G2 </w:t>
                  </w:r>
                  <w:r>
                    <w:rPr>
                      <w:rFonts w:hint="default" w:ascii="Times New Roman" w:hAnsi="Times New Roman" w:cs="Times New Roman"/>
                    </w:rPr>
                    <w:sym w:font="Wingdings 2" w:char="00A3"/>
                  </w:r>
                </w:p>
              </w:tc>
              <w:tc>
                <w:tcPr>
                  <w:tcW w:w="873" w:type="pct"/>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G3 </w:t>
                  </w:r>
                  <w:r>
                    <w:rPr>
                      <w:rFonts w:hint="default" w:ascii="Times New Roman" w:hAnsi="Times New Roman" w:cs="Times New Roman"/>
                    </w:rPr>
                    <w:sym w:font="Wingdings 2" w:char="00A3"/>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 w:hRule="atLeast"/>
                <w:jc w:val="center"/>
              </w:trPr>
              <w:tc>
                <w:tcPr>
                  <w:tcW w:w="238" w:type="pct"/>
                  <w:vMerge w:val="continue"/>
                  <w:vAlign w:val="center"/>
                </w:tcPr>
                <w:p>
                  <w:pPr>
                    <w:jc w:val="center"/>
                    <w:rPr>
                      <w:rFonts w:hint="default" w:ascii="Times New Roman" w:hAnsi="Times New Roman" w:cs="Times New Roman"/>
                      <w:sz w:val="18"/>
                      <w:szCs w:val="18"/>
                    </w:rPr>
                  </w:pPr>
                </w:p>
              </w:tc>
              <w:tc>
                <w:tcPr>
                  <w:tcW w:w="586" w:type="pct"/>
                  <w:vMerge w:val="continue"/>
                  <w:vAlign w:val="center"/>
                </w:tcPr>
                <w:p>
                  <w:pPr>
                    <w:jc w:val="center"/>
                    <w:rPr>
                      <w:rFonts w:hint="default" w:ascii="Times New Roman" w:hAnsi="Times New Roman" w:cs="Times New Roman"/>
                      <w:sz w:val="18"/>
                      <w:szCs w:val="18"/>
                    </w:rPr>
                  </w:pPr>
                </w:p>
              </w:tc>
              <w:tc>
                <w:tcPr>
                  <w:tcW w:w="710" w:type="pct"/>
                  <w:vMerge w:val="continue"/>
                  <w:vAlign w:val="center"/>
                </w:tcPr>
                <w:p>
                  <w:pPr>
                    <w:jc w:val="center"/>
                    <w:rPr>
                      <w:rFonts w:hint="default" w:ascii="Times New Roman" w:hAnsi="Times New Roman" w:cs="Times New Roman"/>
                      <w:sz w:val="18"/>
                      <w:szCs w:val="18"/>
                    </w:rPr>
                  </w:pPr>
                </w:p>
              </w:tc>
              <w:tc>
                <w:tcPr>
                  <w:tcW w:w="893" w:type="pct"/>
                  <w:vAlign w:val="center"/>
                </w:tcPr>
                <w:p>
                  <w:pPr>
                    <w:pStyle w:val="141"/>
                    <w:jc w:val="center"/>
                    <w:rPr>
                      <w:rFonts w:hint="default" w:ascii="Times New Roman" w:hAnsi="Times New Roman" w:cs="Times New Roman"/>
                    </w:rPr>
                  </w:pPr>
                  <w:r>
                    <w:rPr>
                      <w:rFonts w:hint="default" w:ascii="Times New Roman" w:hAnsi="Times New Roman" w:cs="Times New Roman"/>
                    </w:rPr>
                    <w:t>包气带防污性能</w:t>
                  </w:r>
                </w:p>
              </w:tc>
              <w:tc>
                <w:tcPr>
                  <w:tcW w:w="856" w:type="pct"/>
                  <w:gridSpan w:val="3"/>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D1 </w:t>
                  </w:r>
                  <w:r>
                    <w:rPr>
                      <w:rFonts w:hint="default" w:ascii="Times New Roman" w:hAnsi="Times New Roman" w:cs="Times New Roman"/>
                    </w:rPr>
                    <w:sym w:font="Wingdings 2" w:char="00A3"/>
                  </w:r>
                </w:p>
              </w:tc>
              <w:tc>
                <w:tcPr>
                  <w:tcW w:w="844" w:type="pct"/>
                  <w:gridSpan w:val="2"/>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D2 </w:t>
                  </w:r>
                  <w:r>
                    <w:rPr>
                      <w:rFonts w:hint="default" w:ascii="Times New Roman" w:hAnsi="Times New Roman" w:cs="Times New Roman"/>
                    </w:rPr>
                    <w:sym w:font="Wingdings 2" w:char="00A3"/>
                  </w:r>
                </w:p>
              </w:tc>
              <w:tc>
                <w:tcPr>
                  <w:tcW w:w="873" w:type="pct"/>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D3 </w:t>
                  </w:r>
                  <w:r>
                    <w:rPr>
                      <w:rFonts w:hint="default" w:ascii="Times New Roman" w:hAnsi="Times New Roman" w:cs="Times New Roman"/>
                    </w:rPr>
                    <w:sym w:font="Wingdings 2" w:char="00A3"/>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7" w:hRule="atLeast"/>
                <w:jc w:val="center"/>
              </w:trPr>
              <w:tc>
                <w:tcPr>
                  <w:tcW w:w="824" w:type="pct"/>
                  <w:gridSpan w:val="2"/>
                  <w:vMerge w:val="restart"/>
                  <w:vAlign w:val="center"/>
                </w:tcPr>
                <w:p>
                  <w:pPr>
                    <w:pStyle w:val="141"/>
                    <w:jc w:val="center"/>
                    <w:rPr>
                      <w:rFonts w:hint="default" w:ascii="Times New Roman" w:hAnsi="Times New Roman" w:cs="Times New Roman"/>
                    </w:rPr>
                  </w:pPr>
                  <w:r>
                    <w:rPr>
                      <w:rFonts w:hint="default" w:ascii="Times New Roman" w:hAnsi="Times New Roman" w:cs="Times New Roman"/>
                    </w:rPr>
                    <w:t>物质及工艺系统危险性</w:t>
                  </w:r>
                </w:p>
              </w:tc>
              <w:tc>
                <w:tcPr>
                  <w:tcW w:w="710" w:type="pct"/>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Q值</w:t>
                  </w:r>
                </w:p>
              </w:tc>
              <w:tc>
                <w:tcPr>
                  <w:tcW w:w="893" w:type="pct"/>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Q&lt;1 </w:t>
                  </w:r>
                  <w:r>
                    <w:rPr>
                      <w:rFonts w:hint="default" w:ascii="Times New Roman" w:hAnsi="Times New Roman" w:cs="Times New Roman"/>
                    </w:rPr>
                    <w:sym w:font="Wingdings 2" w:char="0052"/>
                  </w:r>
                </w:p>
              </w:tc>
              <w:tc>
                <w:tcPr>
                  <w:tcW w:w="856" w:type="pct"/>
                  <w:gridSpan w:val="3"/>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1≤Q&lt;10 </w:t>
                  </w:r>
                  <w:r>
                    <w:rPr>
                      <w:rFonts w:hint="default" w:ascii="Times New Roman" w:hAnsi="Times New Roman" w:cs="Times New Roman"/>
                    </w:rPr>
                    <w:sym w:font="Wingdings 2" w:char="00A3"/>
                  </w:r>
                </w:p>
              </w:tc>
              <w:tc>
                <w:tcPr>
                  <w:tcW w:w="844" w:type="pct"/>
                  <w:gridSpan w:val="2"/>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10≤Q&lt;100 </w:t>
                  </w:r>
                  <w:r>
                    <w:rPr>
                      <w:rFonts w:hint="default" w:ascii="Times New Roman" w:hAnsi="Times New Roman" w:cs="Times New Roman"/>
                    </w:rPr>
                    <w:sym w:font="Wingdings 2" w:char="00A3"/>
                  </w:r>
                </w:p>
              </w:tc>
              <w:tc>
                <w:tcPr>
                  <w:tcW w:w="873" w:type="pct"/>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Q&gt;100 </w:t>
                  </w:r>
                  <w:r>
                    <w:rPr>
                      <w:rFonts w:hint="default" w:ascii="Times New Roman" w:hAnsi="Times New Roman" w:cs="Times New Roman"/>
                    </w:rPr>
                    <w:sym w:font="Wingdings 2" w:char="00A3"/>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 w:hRule="atLeast"/>
                <w:jc w:val="center"/>
              </w:trPr>
              <w:tc>
                <w:tcPr>
                  <w:tcW w:w="824" w:type="pct"/>
                  <w:gridSpan w:val="2"/>
                  <w:vMerge w:val="continue"/>
                  <w:vAlign w:val="center"/>
                </w:tcPr>
                <w:p>
                  <w:pPr>
                    <w:pStyle w:val="141"/>
                    <w:jc w:val="center"/>
                    <w:rPr>
                      <w:rFonts w:hint="default" w:ascii="Times New Roman" w:hAnsi="Times New Roman" w:cs="Times New Roman"/>
                    </w:rPr>
                  </w:pPr>
                </w:p>
              </w:tc>
              <w:tc>
                <w:tcPr>
                  <w:tcW w:w="710" w:type="pct"/>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M值</w:t>
                  </w:r>
                </w:p>
              </w:tc>
              <w:tc>
                <w:tcPr>
                  <w:tcW w:w="893" w:type="pct"/>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M1 </w:t>
                  </w:r>
                  <w:r>
                    <w:rPr>
                      <w:rFonts w:hint="default" w:ascii="Times New Roman" w:hAnsi="Times New Roman" w:cs="Times New Roman"/>
                    </w:rPr>
                    <w:sym w:font="Wingdings 2" w:char="00A3"/>
                  </w:r>
                </w:p>
              </w:tc>
              <w:tc>
                <w:tcPr>
                  <w:tcW w:w="856" w:type="pct"/>
                  <w:gridSpan w:val="3"/>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M2  </w:t>
                  </w:r>
                  <w:r>
                    <w:rPr>
                      <w:rFonts w:hint="default" w:ascii="Times New Roman" w:hAnsi="Times New Roman" w:cs="Times New Roman"/>
                    </w:rPr>
                    <w:sym w:font="Wingdings 2" w:char="00A3"/>
                  </w:r>
                </w:p>
              </w:tc>
              <w:tc>
                <w:tcPr>
                  <w:tcW w:w="844" w:type="pct"/>
                  <w:gridSpan w:val="2"/>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M3 </w:t>
                  </w:r>
                  <w:r>
                    <w:rPr>
                      <w:rFonts w:hint="default" w:ascii="Times New Roman" w:hAnsi="Times New Roman" w:cs="Times New Roman"/>
                    </w:rPr>
                    <w:sym w:font="Wingdings 2" w:char="00A3"/>
                  </w:r>
                </w:p>
              </w:tc>
              <w:tc>
                <w:tcPr>
                  <w:tcW w:w="873" w:type="pct"/>
                  <w:vAlign w:val="center"/>
                </w:tcPr>
                <w:p>
                  <w:pPr>
                    <w:pStyle w:val="141"/>
                    <w:jc w:val="center"/>
                    <w:rPr>
                      <w:rFonts w:hint="default" w:ascii="Times New Roman" w:hAnsi="Times New Roman" w:cs="Times New Roman"/>
                    </w:rPr>
                  </w:pPr>
                  <w:r>
                    <w:rPr>
                      <w:rFonts w:hint="default" w:ascii="Times New Roman" w:hAnsi="Times New Roman" w:cs="Times New Roman"/>
                    </w:rPr>
                    <w:t>M4</w:t>
                  </w:r>
                  <w:r>
                    <w:rPr>
                      <w:rFonts w:hint="default" w:ascii="Times New Roman" w:hAnsi="Times New Roman" w:cs="Times New Roman"/>
                    </w:rPr>
                    <w:sym w:font="Wingdings 2" w:char="00A3"/>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1" w:hRule="atLeast"/>
                <w:jc w:val="center"/>
              </w:trPr>
              <w:tc>
                <w:tcPr>
                  <w:tcW w:w="824" w:type="pct"/>
                  <w:gridSpan w:val="2"/>
                  <w:vMerge w:val="continue"/>
                  <w:vAlign w:val="center"/>
                </w:tcPr>
                <w:p>
                  <w:pPr>
                    <w:pStyle w:val="141"/>
                    <w:jc w:val="center"/>
                    <w:rPr>
                      <w:rFonts w:hint="default" w:ascii="Times New Roman" w:hAnsi="Times New Roman" w:cs="Times New Roman"/>
                    </w:rPr>
                  </w:pPr>
                </w:p>
              </w:tc>
              <w:tc>
                <w:tcPr>
                  <w:tcW w:w="710" w:type="pct"/>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P值</w:t>
                  </w:r>
                </w:p>
              </w:tc>
              <w:tc>
                <w:tcPr>
                  <w:tcW w:w="893" w:type="pct"/>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P1 </w:t>
                  </w:r>
                  <w:r>
                    <w:rPr>
                      <w:rFonts w:hint="default" w:ascii="Times New Roman" w:hAnsi="Times New Roman" w:cs="Times New Roman"/>
                    </w:rPr>
                    <w:sym w:font="Wingdings 2" w:char="00A3"/>
                  </w:r>
                </w:p>
              </w:tc>
              <w:tc>
                <w:tcPr>
                  <w:tcW w:w="856" w:type="pct"/>
                  <w:gridSpan w:val="3"/>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P2 </w:t>
                  </w:r>
                  <w:r>
                    <w:rPr>
                      <w:rFonts w:hint="default" w:ascii="Times New Roman" w:hAnsi="Times New Roman" w:cs="Times New Roman"/>
                    </w:rPr>
                    <w:sym w:font="Wingdings 2" w:char="00A3"/>
                  </w:r>
                </w:p>
              </w:tc>
              <w:tc>
                <w:tcPr>
                  <w:tcW w:w="844" w:type="pct"/>
                  <w:gridSpan w:val="2"/>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P3 </w:t>
                  </w:r>
                  <w:r>
                    <w:rPr>
                      <w:rFonts w:hint="default" w:ascii="Times New Roman" w:hAnsi="Times New Roman" w:cs="Times New Roman"/>
                    </w:rPr>
                    <w:sym w:font="Wingdings 2" w:char="00A3"/>
                  </w:r>
                </w:p>
              </w:tc>
              <w:tc>
                <w:tcPr>
                  <w:tcW w:w="873" w:type="pct"/>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P4 </w:t>
                  </w:r>
                  <w:r>
                    <w:rPr>
                      <w:rFonts w:hint="default" w:ascii="Times New Roman" w:hAnsi="Times New Roman" w:cs="Times New Roman"/>
                    </w:rPr>
                    <w:sym w:font="Wingdings 2" w:char="00A3"/>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824" w:type="pct"/>
                  <w:gridSpan w:val="2"/>
                  <w:vMerge w:val="restart"/>
                  <w:vAlign w:val="center"/>
                </w:tcPr>
                <w:p>
                  <w:pPr>
                    <w:pStyle w:val="141"/>
                    <w:jc w:val="center"/>
                    <w:rPr>
                      <w:rFonts w:hint="default" w:ascii="Times New Roman" w:hAnsi="Times New Roman" w:cs="Times New Roman"/>
                    </w:rPr>
                  </w:pPr>
                  <w:r>
                    <w:rPr>
                      <w:rFonts w:hint="default" w:ascii="Times New Roman" w:hAnsi="Times New Roman" w:cs="Times New Roman"/>
                    </w:rPr>
                    <w:t>环境敏感</w:t>
                  </w:r>
                </w:p>
                <w:p>
                  <w:pPr>
                    <w:pStyle w:val="141"/>
                    <w:jc w:val="center"/>
                    <w:rPr>
                      <w:rFonts w:hint="default" w:ascii="Times New Roman" w:hAnsi="Times New Roman" w:cs="Times New Roman"/>
                    </w:rPr>
                  </w:pPr>
                  <w:r>
                    <w:rPr>
                      <w:rFonts w:hint="default" w:ascii="Times New Roman" w:hAnsi="Times New Roman" w:cs="Times New Roman"/>
                    </w:rPr>
                    <w:t>程度</w:t>
                  </w:r>
                </w:p>
              </w:tc>
              <w:tc>
                <w:tcPr>
                  <w:tcW w:w="710" w:type="pct"/>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大气</w:t>
                  </w:r>
                </w:p>
              </w:tc>
              <w:tc>
                <w:tcPr>
                  <w:tcW w:w="893" w:type="pct"/>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E1 </w:t>
                  </w:r>
                  <w:r>
                    <w:rPr>
                      <w:rFonts w:hint="default" w:ascii="Times New Roman" w:hAnsi="Times New Roman" w:cs="Times New Roman"/>
                    </w:rPr>
                    <w:sym w:font="Wingdings 2" w:char="00A3"/>
                  </w:r>
                </w:p>
              </w:tc>
              <w:tc>
                <w:tcPr>
                  <w:tcW w:w="1272" w:type="pct"/>
                  <w:gridSpan w:val="4"/>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E2 </w:t>
                  </w:r>
                  <w:r>
                    <w:rPr>
                      <w:rFonts w:hint="default" w:ascii="Times New Roman" w:hAnsi="Times New Roman" w:cs="Times New Roman"/>
                    </w:rPr>
                    <w:sym w:font="Wingdings 2" w:char="00A3"/>
                  </w:r>
                </w:p>
              </w:tc>
              <w:tc>
                <w:tcPr>
                  <w:tcW w:w="1301" w:type="pct"/>
                  <w:gridSpan w:val="2"/>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E3 </w:t>
                  </w:r>
                  <w:r>
                    <w:rPr>
                      <w:rFonts w:hint="default" w:ascii="Times New Roman" w:hAnsi="Times New Roman" w:cs="Times New Roman"/>
                    </w:rPr>
                    <w:sym w:font="Wingdings 2" w:char="00A3"/>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824" w:type="pct"/>
                  <w:gridSpan w:val="2"/>
                  <w:vMerge w:val="continue"/>
                  <w:vAlign w:val="center"/>
                </w:tcPr>
                <w:p>
                  <w:pPr>
                    <w:pStyle w:val="141"/>
                    <w:jc w:val="center"/>
                    <w:rPr>
                      <w:rFonts w:hint="default" w:ascii="Times New Roman" w:hAnsi="Times New Roman" w:cs="Times New Roman"/>
                    </w:rPr>
                  </w:pPr>
                </w:p>
              </w:tc>
              <w:tc>
                <w:tcPr>
                  <w:tcW w:w="710" w:type="pct"/>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地表水</w:t>
                  </w:r>
                </w:p>
              </w:tc>
              <w:tc>
                <w:tcPr>
                  <w:tcW w:w="893" w:type="pct"/>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E1 </w:t>
                  </w:r>
                  <w:r>
                    <w:rPr>
                      <w:rFonts w:hint="default" w:ascii="Times New Roman" w:hAnsi="Times New Roman" w:cs="Times New Roman"/>
                    </w:rPr>
                    <w:sym w:font="Wingdings 2" w:char="00A3"/>
                  </w:r>
                </w:p>
              </w:tc>
              <w:tc>
                <w:tcPr>
                  <w:tcW w:w="1272" w:type="pct"/>
                  <w:gridSpan w:val="4"/>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E2 </w:t>
                  </w:r>
                  <w:r>
                    <w:rPr>
                      <w:rFonts w:hint="default" w:ascii="Times New Roman" w:hAnsi="Times New Roman" w:cs="Times New Roman"/>
                    </w:rPr>
                    <w:sym w:font="Wingdings 2" w:char="00A3"/>
                  </w:r>
                </w:p>
              </w:tc>
              <w:tc>
                <w:tcPr>
                  <w:tcW w:w="1301" w:type="pct"/>
                  <w:gridSpan w:val="2"/>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E3 </w:t>
                  </w:r>
                  <w:r>
                    <w:rPr>
                      <w:rFonts w:hint="default" w:ascii="Times New Roman" w:hAnsi="Times New Roman" w:cs="Times New Roman"/>
                    </w:rPr>
                    <w:sym w:font="Wingdings 2" w:char="00A3"/>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824" w:type="pct"/>
                  <w:gridSpan w:val="2"/>
                  <w:vMerge w:val="continue"/>
                  <w:vAlign w:val="center"/>
                </w:tcPr>
                <w:p>
                  <w:pPr>
                    <w:pStyle w:val="141"/>
                    <w:jc w:val="center"/>
                    <w:rPr>
                      <w:rFonts w:hint="default" w:ascii="Times New Roman" w:hAnsi="Times New Roman" w:cs="Times New Roman"/>
                    </w:rPr>
                  </w:pPr>
                </w:p>
              </w:tc>
              <w:tc>
                <w:tcPr>
                  <w:tcW w:w="710" w:type="pct"/>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地下水</w:t>
                  </w:r>
                </w:p>
              </w:tc>
              <w:tc>
                <w:tcPr>
                  <w:tcW w:w="893" w:type="pct"/>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E1 </w:t>
                  </w:r>
                  <w:r>
                    <w:rPr>
                      <w:rFonts w:hint="default" w:ascii="Times New Roman" w:hAnsi="Times New Roman" w:cs="Times New Roman"/>
                    </w:rPr>
                    <w:sym w:font="Wingdings 2" w:char="00A3"/>
                  </w:r>
                </w:p>
              </w:tc>
              <w:tc>
                <w:tcPr>
                  <w:tcW w:w="1272" w:type="pct"/>
                  <w:gridSpan w:val="4"/>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E2 </w:t>
                  </w:r>
                  <w:r>
                    <w:rPr>
                      <w:rFonts w:hint="default" w:ascii="Times New Roman" w:hAnsi="Times New Roman" w:cs="Times New Roman"/>
                    </w:rPr>
                    <w:sym w:font="Wingdings 2" w:char="00A3"/>
                  </w:r>
                </w:p>
              </w:tc>
              <w:tc>
                <w:tcPr>
                  <w:tcW w:w="1301" w:type="pct"/>
                  <w:gridSpan w:val="2"/>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E3 </w:t>
                  </w:r>
                  <w:r>
                    <w:rPr>
                      <w:rFonts w:hint="default" w:ascii="Times New Roman" w:hAnsi="Times New Roman" w:cs="Times New Roman"/>
                    </w:rPr>
                    <w:sym w:font="Wingdings 2" w:char="00A3"/>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jc w:val="center"/>
              </w:trPr>
              <w:tc>
                <w:tcPr>
                  <w:tcW w:w="824" w:type="pct"/>
                  <w:gridSpan w:val="2"/>
                  <w:vAlign w:val="center"/>
                </w:tcPr>
                <w:p>
                  <w:pPr>
                    <w:pStyle w:val="141"/>
                    <w:jc w:val="center"/>
                    <w:rPr>
                      <w:rFonts w:hint="default" w:ascii="Times New Roman" w:hAnsi="Times New Roman" w:cs="Times New Roman"/>
                    </w:rPr>
                  </w:pPr>
                  <w:r>
                    <w:rPr>
                      <w:rFonts w:hint="default" w:ascii="Times New Roman" w:hAnsi="Times New Roman" w:cs="Times New Roman"/>
                    </w:rPr>
                    <w:t>环境风险潜势</w:t>
                  </w:r>
                </w:p>
              </w:tc>
              <w:tc>
                <w:tcPr>
                  <w:tcW w:w="710"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Ⅳ</w:t>
                  </w:r>
                  <w:r>
                    <w:rPr>
                      <w:rFonts w:hint="default" w:ascii="Times New Roman" w:hAnsi="Times New Roman" w:cs="Times New Roman"/>
                      <w:sz w:val="21"/>
                      <w:szCs w:val="21"/>
                      <w:vertAlign w:val="superscript"/>
                    </w:rPr>
                    <w:t>+</w:t>
                  </w:r>
                  <w:r>
                    <w:rPr>
                      <w:rFonts w:hint="default" w:ascii="Times New Roman" w:hAnsi="Times New Roman" w:cs="Times New Roman"/>
                      <w:sz w:val="21"/>
                      <w:szCs w:val="21"/>
                    </w:rPr>
                    <w:t xml:space="preserve"> </w:t>
                  </w:r>
                  <w:r>
                    <w:rPr>
                      <w:rFonts w:hint="default" w:ascii="Times New Roman" w:hAnsi="Times New Roman" w:cs="Times New Roman"/>
                      <w:sz w:val="21"/>
                      <w:szCs w:val="21"/>
                    </w:rPr>
                    <w:sym w:font="Wingdings 2" w:char="00A3"/>
                  </w:r>
                </w:p>
              </w:tc>
              <w:tc>
                <w:tcPr>
                  <w:tcW w:w="893" w:type="pct"/>
                  <w:vAlign w:val="center"/>
                </w:tcPr>
                <w:p>
                  <w:pPr>
                    <w:pStyle w:val="141"/>
                    <w:jc w:val="center"/>
                    <w:rPr>
                      <w:rFonts w:hint="default" w:ascii="Times New Roman" w:hAnsi="Times New Roman" w:cs="Times New Roman"/>
                      <w:sz w:val="21"/>
                      <w:szCs w:val="21"/>
                    </w:rPr>
                  </w:pPr>
                  <w:r>
                    <w:rPr>
                      <w:rFonts w:hint="default" w:ascii="Times New Roman" w:hAnsi="Times New Roman" w:cs="Times New Roman"/>
                      <w:sz w:val="21"/>
                      <w:szCs w:val="21"/>
                    </w:rPr>
                    <w:t xml:space="preserve">Ⅳ </w:t>
                  </w:r>
                  <w:r>
                    <w:rPr>
                      <w:rFonts w:hint="default" w:ascii="Times New Roman" w:hAnsi="Times New Roman" w:eastAsia="宋体" w:cs="Times New Roman"/>
                      <w:sz w:val="21"/>
                      <w:szCs w:val="21"/>
                      <w:lang w:val="en-US" w:eastAsia="zh-CN" w:bidi="ar-SA"/>
                    </w:rPr>
                    <w:sym w:font="Wingdings 2" w:char="00A3"/>
                  </w:r>
                </w:p>
              </w:tc>
              <w:tc>
                <w:tcPr>
                  <w:tcW w:w="856" w:type="pct"/>
                  <w:gridSpan w:val="3"/>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Ⅲ </w:t>
                  </w:r>
                  <w:r>
                    <w:rPr>
                      <w:rFonts w:hint="default" w:ascii="Times New Roman" w:hAnsi="Times New Roman" w:cs="Times New Roman"/>
                    </w:rPr>
                    <w:sym w:font="Wingdings 2" w:char="00A3"/>
                  </w:r>
                </w:p>
              </w:tc>
              <w:tc>
                <w:tcPr>
                  <w:tcW w:w="844" w:type="pct"/>
                  <w:gridSpan w:val="2"/>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Ⅱ </w:t>
                  </w:r>
                  <w:r>
                    <w:rPr>
                      <w:rFonts w:hint="default" w:ascii="Times New Roman" w:hAnsi="Times New Roman" w:cs="Times New Roman"/>
                    </w:rPr>
                    <w:sym w:font="Wingdings 2" w:char="00A3"/>
                  </w:r>
                </w:p>
              </w:tc>
              <w:tc>
                <w:tcPr>
                  <w:tcW w:w="873" w:type="pct"/>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Ⅰ </w:t>
                  </w:r>
                  <w:r>
                    <w:rPr>
                      <w:rFonts w:hint="default" w:ascii="Times New Roman" w:hAnsi="Times New Roman" w:cs="Times New Roman"/>
                    </w:rPr>
                    <w:sym w:font="Wingdings 2" w:char="0052"/>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2" w:hRule="atLeast"/>
                <w:jc w:val="center"/>
              </w:trPr>
              <w:tc>
                <w:tcPr>
                  <w:tcW w:w="824" w:type="pct"/>
                  <w:gridSpan w:val="2"/>
                  <w:vAlign w:val="center"/>
                </w:tcPr>
                <w:p>
                  <w:pPr>
                    <w:pStyle w:val="141"/>
                    <w:jc w:val="center"/>
                    <w:rPr>
                      <w:rFonts w:hint="default" w:ascii="Times New Roman" w:hAnsi="Times New Roman" w:cs="Times New Roman"/>
                    </w:rPr>
                  </w:pPr>
                  <w:r>
                    <w:rPr>
                      <w:rFonts w:hint="default" w:ascii="Times New Roman" w:hAnsi="Times New Roman" w:cs="Times New Roman"/>
                    </w:rPr>
                    <w:t>评价等级</w:t>
                  </w:r>
                </w:p>
              </w:tc>
              <w:tc>
                <w:tcPr>
                  <w:tcW w:w="1603" w:type="pct"/>
                  <w:gridSpan w:val="2"/>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一级 </w:t>
                  </w:r>
                  <w:r>
                    <w:rPr>
                      <w:rFonts w:hint="default" w:ascii="Times New Roman" w:hAnsi="Times New Roman" w:cs="Times New Roman"/>
                    </w:rPr>
                    <w:sym w:font="Wingdings 2" w:char="00A3"/>
                  </w:r>
                </w:p>
              </w:tc>
              <w:tc>
                <w:tcPr>
                  <w:tcW w:w="856" w:type="pct"/>
                  <w:gridSpan w:val="3"/>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二级 </w:t>
                  </w:r>
                  <w:r>
                    <w:rPr>
                      <w:rFonts w:hint="default" w:ascii="Times New Roman" w:hAnsi="Times New Roman" w:cs="Times New Roman"/>
                    </w:rPr>
                    <w:sym w:font="Wingdings 2" w:char="00A3"/>
                  </w:r>
                </w:p>
              </w:tc>
              <w:tc>
                <w:tcPr>
                  <w:tcW w:w="844" w:type="pct"/>
                  <w:gridSpan w:val="2"/>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三级 </w:t>
                  </w:r>
                  <w:r>
                    <w:rPr>
                      <w:rFonts w:hint="default" w:ascii="Times New Roman" w:hAnsi="Times New Roman" w:cs="Times New Roman"/>
                    </w:rPr>
                    <w:sym w:font="Wingdings 2" w:char="00A3"/>
                  </w:r>
                </w:p>
              </w:tc>
              <w:tc>
                <w:tcPr>
                  <w:tcW w:w="873" w:type="pct"/>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简单分析 </w:t>
                  </w:r>
                  <w:r>
                    <w:rPr>
                      <w:rFonts w:hint="default" w:ascii="Times New Roman" w:hAnsi="Times New Roman" w:cs="Times New Roman"/>
                    </w:rPr>
                    <w:sym w:font="Wingdings 2" w:char="0052"/>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atLeast"/>
                <w:jc w:val="center"/>
              </w:trPr>
              <w:tc>
                <w:tcPr>
                  <w:tcW w:w="238" w:type="pct"/>
                  <w:vMerge w:val="restart"/>
                  <w:vAlign w:val="center"/>
                </w:tcPr>
                <w:p>
                  <w:pPr>
                    <w:pStyle w:val="141"/>
                    <w:jc w:val="center"/>
                    <w:rPr>
                      <w:rFonts w:hint="default" w:ascii="Times New Roman" w:hAnsi="Times New Roman" w:cs="Times New Roman"/>
                    </w:rPr>
                  </w:pPr>
                  <w:r>
                    <w:rPr>
                      <w:rFonts w:hint="default" w:ascii="Times New Roman" w:hAnsi="Times New Roman" w:cs="Times New Roman"/>
                    </w:rPr>
                    <w:t>风险识别</w:t>
                  </w:r>
                </w:p>
              </w:tc>
              <w:tc>
                <w:tcPr>
                  <w:tcW w:w="586" w:type="pct"/>
                  <w:vAlign w:val="center"/>
                </w:tcPr>
                <w:p>
                  <w:pPr>
                    <w:pStyle w:val="141"/>
                    <w:jc w:val="center"/>
                    <w:rPr>
                      <w:rFonts w:hint="default" w:ascii="Times New Roman" w:hAnsi="Times New Roman" w:cs="Times New Roman"/>
                    </w:rPr>
                  </w:pPr>
                  <w:r>
                    <w:rPr>
                      <w:rFonts w:hint="default" w:ascii="Times New Roman" w:hAnsi="Times New Roman" w:cs="Times New Roman"/>
                    </w:rPr>
                    <w:t>物质危险性</w:t>
                  </w:r>
                </w:p>
              </w:tc>
              <w:tc>
                <w:tcPr>
                  <w:tcW w:w="2086" w:type="pct"/>
                  <w:gridSpan w:val="3"/>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有毒有害 </w:t>
                  </w:r>
                  <w:r>
                    <w:rPr>
                      <w:rFonts w:hint="default" w:ascii="Times New Roman" w:hAnsi="Times New Roman" w:cs="Times New Roman"/>
                    </w:rPr>
                    <w:sym w:font="Wingdings 2" w:char="00A3"/>
                  </w:r>
                </w:p>
              </w:tc>
              <w:tc>
                <w:tcPr>
                  <w:tcW w:w="2090" w:type="pct"/>
                  <w:gridSpan w:val="5"/>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易燃易爆 </w:t>
                  </w:r>
                  <w:r>
                    <w:rPr>
                      <w:rFonts w:hint="default" w:ascii="Times New Roman" w:hAnsi="Times New Roman" w:cs="Times New Roman"/>
                    </w:rPr>
                    <w:sym w:font="Wingdings 2" w:char="0052"/>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4" w:hRule="atLeast"/>
                <w:jc w:val="center"/>
              </w:trPr>
              <w:tc>
                <w:tcPr>
                  <w:tcW w:w="238" w:type="pct"/>
                  <w:vMerge w:val="continue"/>
                  <w:vAlign w:val="center"/>
                </w:tcPr>
                <w:p>
                  <w:pPr>
                    <w:pStyle w:val="141"/>
                    <w:jc w:val="center"/>
                    <w:rPr>
                      <w:rFonts w:hint="default" w:ascii="Times New Roman" w:hAnsi="Times New Roman" w:cs="Times New Roman"/>
                    </w:rPr>
                  </w:pPr>
                </w:p>
              </w:tc>
              <w:tc>
                <w:tcPr>
                  <w:tcW w:w="586" w:type="pct"/>
                  <w:vAlign w:val="center"/>
                </w:tcPr>
                <w:p>
                  <w:pPr>
                    <w:pStyle w:val="141"/>
                    <w:jc w:val="center"/>
                    <w:rPr>
                      <w:rFonts w:hint="default" w:ascii="Times New Roman" w:hAnsi="Times New Roman" w:cs="Times New Roman"/>
                    </w:rPr>
                  </w:pPr>
                  <w:r>
                    <w:rPr>
                      <w:rFonts w:hint="default" w:ascii="Times New Roman" w:hAnsi="Times New Roman" w:cs="Times New Roman"/>
                    </w:rPr>
                    <w:t>环境风险类型</w:t>
                  </w:r>
                </w:p>
              </w:tc>
              <w:tc>
                <w:tcPr>
                  <w:tcW w:w="1603" w:type="pct"/>
                  <w:gridSpan w:val="2"/>
                  <w:vAlign w:val="center"/>
                </w:tcPr>
                <w:p>
                  <w:pPr>
                    <w:pStyle w:val="141"/>
                    <w:keepNext w:val="0"/>
                    <w:keepLines w:val="0"/>
                    <w:pageBreakBefore w:val="0"/>
                    <w:widowControl w:val="0"/>
                    <w:kinsoku/>
                    <w:wordWrap/>
                    <w:overflowPunct/>
                    <w:topLinePunct w:val="0"/>
                    <w:autoSpaceDE w:val="0"/>
                    <w:autoSpaceDN w:val="0"/>
                    <w:bidi w:val="0"/>
                    <w:adjustRightInd w:val="0"/>
                    <w:snapToGrid/>
                    <w:jc w:val="center"/>
                    <w:textAlignment w:val="center"/>
                    <w:rPr>
                      <w:rFonts w:hint="default" w:ascii="Times New Roman" w:hAnsi="Times New Roman" w:cs="Times New Roman"/>
                    </w:rPr>
                  </w:pPr>
                  <w:r>
                    <w:rPr>
                      <w:rFonts w:hint="default" w:ascii="Times New Roman" w:hAnsi="Times New Roman" w:cs="Times New Roman"/>
                    </w:rPr>
                    <w:t xml:space="preserve">泄露 </w:t>
                  </w:r>
                  <w:r>
                    <w:rPr>
                      <w:rFonts w:hint="default" w:ascii="Times New Roman" w:hAnsi="Times New Roman" w:cs="Times New Roman"/>
                    </w:rPr>
                    <w:sym w:font="Wingdings 2" w:char="00A3"/>
                  </w:r>
                </w:p>
              </w:tc>
              <w:tc>
                <w:tcPr>
                  <w:tcW w:w="2573" w:type="pct"/>
                  <w:gridSpan w:val="6"/>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火灾、爆炸引发伴生/次生污染物排放 </w:t>
                  </w:r>
                  <w:r>
                    <w:rPr>
                      <w:rFonts w:hint="default" w:ascii="Times New Roman" w:hAnsi="Times New Roman" w:cs="Times New Roman"/>
                    </w:rPr>
                    <w:sym w:font="Wingdings 2" w:char="0052"/>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238" w:type="pct"/>
                  <w:vMerge w:val="continue"/>
                  <w:vAlign w:val="center"/>
                </w:tcPr>
                <w:p>
                  <w:pPr>
                    <w:pStyle w:val="141"/>
                    <w:jc w:val="center"/>
                    <w:rPr>
                      <w:rFonts w:hint="default" w:ascii="Times New Roman" w:hAnsi="Times New Roman" w:cs="Times New Roman"/>
                    </w:rPr>
                  </w:pPr>
                </w:p>
              </w:tc>
              <w:tc>
                <w:tcPr>
                  <w:tcW w:w="586" w:type="pct"/>
                  <w:vAlign w:val="center"/>
                </w:tcPr>
                <w:p>
                  <w:pPr>
                    <w:pStyle w:val="141"/>
                    <w:jc w:val="center"/>
                    <w:rPr>
                      <w:rFonts w:hint="default" w:ascii="Times New Roman" w:hAnsi="Times New Roman" w:cs="Times New Roman"/>
                    </w:rPr>
                  </w:pPr>
                  <w:r>
                    <w:rPr>
                      <w:rFonts w:hint="default" w:ascii="Times New Roman" w:hAnsi="Times New Roman" w:cs="Times New Roman"/>
                    </w:rPr>
                    <w:t>影响途径</w:t>
                  </w:r>
                </w:p>
              </w:tc>
              <w:tc>
                <w:tcPr>
                  <w:tcW w:w="1603" w:type="pct"/>
                  <w:gridSpan w:val="2"/>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大气 </w:t>
                  </w:r>
                  <w:r>
                    <w:rPr>
                      <w:rFonts w:hint="default" w:ascii="Times New Roman" w:hAnsi="Times New Roman" w:cs="Times New Roman"/>
                    </w:rPr>
                    <w:sym w:font="Wingdings 2" w:char="0052"/>
                  </w:r>
                </w:p>
              </w:tc>
              <w:tc>
                <w:tcPr>
                  <w:tcW w:w="1272" w:type="pct"/>
                  <w:gridSpan w:val="4"/>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地表水 </w:t>
                  </w:r>
                  <w:r>
                    <w:rPr>
                      <w:rFonts w:hint="default" w:ascii="Times New Roman" w:hAnsi="Times New Roman" w:cs="Times New Roman"/>
                    </w:rPr>
                    <w:sym w:font="Wingdings 2" w:char="00A3"/>
                  </w:r>
                </w:p>
              </w:tc>
              <w:tc>
                <w:tcPr>
                  <w:tcW w:w="1301" w:type="pct"/>
                  <w:gridSpan w:val="2"/>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地下水 </w:t>
                  </w:r>
                  <w:r>
                    <w:rPr>
                      <w:rFonts w:hint="default" w:ascii="Times New Roman" w:hAnsi="Times New Roman" w:cs="Times New Roman"/>
                    </w:rPr>
                    <w:sym w:font="Wingdings 2" w:char="0052"/>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4" w:hRule="atLeast"/>
                <w:jc w:val="center"/>
              </w:trPr>
              <w:tc>
                <w:tcPr>
                  <w:tcW w:w="824" w:type="pct"/>
                  <w:gridSpan w:val="2"/>
                  <w:vAlign w:val="center"/>
                </w:tcPr>
                <w:p>
                  <w:pPr>
                    <w:pStyle w:val="141"/>
                    <w:jc w:val="center"/>
                    <w:rPr>
                      <w:rFonts w:hint="default" w:ascii="Times New Roman" w:hAnsi="Times New Roman" w:cs="Times New Roman"/>
                    </w:rPr>
                  </w:pPr>
                  <w:r>
                    <w:rPr>
                      <w:rFonts w:hint="default" w:ascii="Times New Roman" w:hAnsi="Times New Roman" w:cs="Times New Roman"/>
                    </w:rPr>
                    <w:t>事故情形分析</w:t>
                  </w:r>
                </w:p>
              </w:tc>
              <w:tc>
                <w:tcPr>
                  <w:tcW w:w="710" w:type="pct"/>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源强设定方法</w:t>
                  </w:r>
                </w:p>
              </w:tc>
              <w:tc>
                <w:tcPr>
                  <w:tcW w:w="893" w:type="pct"/>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计算法 </w:t>
                  </w:r>
                  <w:r>
                    <w:rPr>
                      <w:rFonts w:hint="default" w:ascii="Times New Roman" w:hAnsi="Times New Roman" w:cs="Times New Roman"/>
                    </w:rPr>
                    <w:sym w:font="Wingdings 2" w:char="00A3"/>
                  </w:r>
                </w:p>
              </w:tc>
              <w:tc>
                <w:tcPr>
                  <w:tcW w:w="1272" w:type="pct"/>
                  <w:gridSpan w:val="4"/>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经验估算法 </w:t>
                  </w:r>
                  <w:r>
                    <w:rPr>
                      <w:rFonts w:hint="default" w:ascii="Times New Roman" w:hAnsi="Times New Roman" w:cs="Times New Roman"/>
                    </w:rPr>
                    <w:sym w:font="Wingdings 2" w:char="00A3"/>
                  </w:r>
                </w:p>
              </w:tc>
              <w:tc>
                <w:tcPr>
                  <w:tcW w:w="1301" w:type="pct"/>
                  <w:gridSpan w:val="2"/>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其他估算法 </w:t>
                  </w:r>
                  <w:r>
                    <w:rPr>
                      <w:rFonts w:hint="default" w:ascii="Times New Roman" w:hAnsi="Times New Roman" w:cs="Times New Roman"/>
                    </w:rPr>
                    <w:sym w:font="Wingdings 2" w:char="00A3"/>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238" w:type="pct"/>
                  <w:vMerge w:val="restart"/>
                  <w:vAlign w:val="center"/>
                </w:tcPr>
                <w:p>
                  <w:pPr>
                    <w:pStyle w:val="141"/>
                    <w:jc w:val="center"/>
                    <w:rPr>
                      <w:rFonts w:hint="default" w:ascii="Times New Roman" w:hAnsi="Times New Roman" w:cs="Times New Roman"/>
                    </w:rPr>
                  </w:pPr>
                  <w:r>
                    <w:rPr>
                      <w:rFonts w:hint="default" w:ascii="Times New Roman" w:hAnsi="Times New Roman" w:cs="Times New Roman"/>
                    </w:rPr>
                    <w:t>风险预测与评价</w:t>
                  </w:r>
                </w:p>
              </w:tc>
              <w:tc>
                <w:tcPr>
                  <w:tcW w:w="586" w:type="pct"/>
                  <w:vMerge w:val="restart"/>
                  <w:vAlign w:val="center"/>
                </w:tcPr>
                <w:p>
                  <w:pPr>
                    <w:pStyle w:val="141"/>
                    <w:jc w:val="center"/>
                    <w:rPr>
                      <w:rFonts w:hint="default" w:ascii="Times New Roman" w:hAnsi="Times New Roman" w:cs="Times New Roman"/>
                    </w:rPr>
                  </w:pPr>
                  <w:r>
                    <w:rPr>
                      <w:rFonts w:hint="default" w:ascii="Times New Roman" w:hAnsi="Times New Roman" w:cs="Times New Roman"/>
                    </w:rPr>
                    <w:t>大气</w:t>
                  </w:r>
                </w:p>
              </w:tc>
              <w:tc>
                <w:tcPr>
                  <w:tcW w:w="710" w:type="pct"/>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预测模型</w:t>
                  </w:r>
                </w:p>
              </w:tc>
              <w:tc>
                <w:tcPr>
                  <w:tcW w:w="893" w:type="pct"/>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SLAB </w:t>
                  </w:r>
                  <w:r>
                    <w:rPr>
                      <w:rFonts w:hint="default" w:ascii="Times New Roman" w:hAnsi="Times New Roman" w:cs="Times New Roman"/>
                    </w:rPr>
                    <w:sym w:font="Wingdings 2" w:char="00A3"/>
                  </w:r>
                </w:p>
              </w:tc>
              <w:tc>
                <w:tcPr>
                  <w:tcW w:w="1272" w:type="pct"/>
                  <w:gridSpan w:val="4"/>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AFTOX </w:t>
                  </w:r>
                  <w:r>
                    <w:rPr>
                      <w:rFonts w:hint="default" w:ascii="Times New Roman" w:hAnsi="Times New Roman" w:cs="Times New Roman"/>
                    </w:rPr>
                    <w:sym w:font="Wingdings 2" w:char="00A3"/>
                  </w:r>
                </w:p>
              </w:tc>
              <w:tc>
                <w:tcPr>
                  <w:tcW w:w="1301" w:type="pct"/>
                  <w:gridSpan w:val="2"/>
                  <w:vAlign w:val="center"/>
                </w:tcPr>
                <w:p>
                  <w:pPr>
                    <w:pStyle w:val="141"/>
                    <w:jc w:val="center"/>
                    <w:rPr>
                      <w:rFonts w:hint="default" w:ascii="Times New Roman" w:hAnsi="Times New Roman" w:cs="Times New Roman"/>
                    </w:rPr>
                  </w:pPr>
                  <w:r>
                    <w:rPr>
                      <w:rFonts w:hint="default" w:ascii="Times New Roman" w:hAnsi="Times New Roman" w:cs="Times New Roman"/>
                    </w:rPr>
                    <w:t xml:space="preserve">其他 </w:t>
                  </w:r>
                  <w:r>
                    <w:rPr>
                      <w:rFonts w:hint="default" w:ascii="Times New Roman" w:hAnsi="Times New Roman" w:cs="Times New Roman"/>
                    </w:rPr>
                    <w:sym w:font="Wingdings 2" w:char="00A3"/>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 w:hRule="atLeast"/>
                <w:jc w:val="center"/>
              </w:trPr>
              <w:tc>
                <w:tcPr>
                  <w:tcW w:w="238" w:type="pct"/>
                  <w:vMerge w:val="continue"/>
                  <w:vAlign w:val="center"/>
                </w:tcPr>
                <w:p>
                  <w:pPr>
                    <w:pStyle w:val="141"/>
                    <w:jc w:val="center"/>
                    <w:rPr>
                      <w:rFonts w:hint="default" w:ascii="Times New Roman" w:hAnsi="Times New Roman" w:cs="Times New Roman"/>
                    </w:rPr>
                  </w:pPr>
                </w:p>
              </w:tc>
              <w:tc>
                <w:tcPr>
                  <w:tcW w:w="586" w:type="pct"/>
                  <w:vMerge w:val="continue"/>
                  <w:vAlign w:val="center"/>
                </w:tcPr>
                <w:p>
                  <w:pPr>
                    <w:pStyle w:val="141"/>
                    <w:jc w:val="center"/>
                    <w:rPr>
                      <w:rFonts w:hint="default" w:ascii="Times New Roman" w:hAnsi="Times New Roman" w:cs="Times New Roman"/>
                    </w:rPr>
                  </w:pPr>
                </w:p>
              </w:tc>
              <w:tc>
                <w:tcPr>
                  <w:tcW w:w="710" w:type="pct"/>
                  <w:vMerge w:val="restart"/>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预测结果</w:t>
                  </w:r>
                </w:p>
              </w:tc>
              <w:tc>
                <w:tcPr>
                  <w:tcW w:w="3466" w:type="pct"/>
                  <w:gridSpan w:val="7"/>
                  <w:vAlign w:val="center"/>
                </w:tcPr>
                <w:p>
                  <w:pPr>
                    <w:pStyle w:val="141"/>
                    <w:jc w:val="center"/>
                    <w:rPr>
                      <w:rFonts w:hint="default" w:ascii="Times New Roman" w:hAnsi="Times New Roman" w:cs="Times New Roman"/>
                    </w:rPr>
                  </w:pPr>
                  <w:r>
                    <w:rPr>
                      <w:rFonts w:hint="default" w:ascii="Times New Roman" w:hAnsi="Times New Roman" w:cs="Times New Roman"/>
                    </w:rPr>
                    <w:t>大气毒性终点浓度-1 最大影响范围</w:t>
                  </w:r>
                  <w:r>
                    <w:rPr>
                      <w:rFonts w:hint="default" w:ascii="Times New Roman" w:hAnsi="Times New Roman" w:cs="Times New Roman"/>
                      <w:u w:val="single"/>
                    </w:rPr>
                    <w:t xml:space="preserve">        </w:t>
                  </w:r>
                  <w:r>
                    <w:rPr>
                      <w:rFonts w:hint="default" w:ascii="Times New Roman" w:hAnsi="Times New Roman" w:cs="Times New Roman"/>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 w:hRule="atLeast"/>
                <w:jc w:val="center"/>
              </w:trPr>
              <w:tc>
                <w:tcPr>
                  <w:tcW w:w="238" w:type="pct"/>
                  <w:vMerge w:val="continue"/>
                  <w:vAlign w:val="center"/>
                </w:tcPr>
                <w:p>
                  <w:pPr>
                    <w:pStyle w:val="141"/>
                    <w:jc w:val="center"/>
                    <w:rPr>
                      <w:rFonts w:hint="default" w:ascii="Times New Roman" w:hAnsi="Times New Roman" w:cs="Times New Roman"/>
                    </w:rPr>
                  </w:pPr>
                </w:p>
              </w:tc>
              <w:tc>
                <w:tcPr>
                  <w:tcW w:w="586" w:type="pct"/>
                  <w:vMerge w:val="continue"/>
                  <w:vAlign w:val="center"/>
                </w:tcPr>
                <w:p>
                  <w:pPr>
                    <w:pStyle w:val="141"/>
                    <w:jc w:val="center"/>
                    <w:rPr>
                      <w:rFonts w:hint="default" w:ascii="Times New Roman" w:hAnsi="Times New Roman" w:cs="Times New Roman"/>
                    </w:rPr>
                  </w:pPr>
                </w:p>
              </w:tc>
              <w:tc>
                <w:tcPr>
                  <w:tcW w:w="710" w:type="pct"/>
                  <w:vMerge w:val="continue"/>
                  <w:vAlign w:val="center"/>
                </w:tcPr>
                <w:p>
                  <w:pPr>
                    <w:jc w:val="center"/>
                    <w:rPr>
                      <w:rFonts w:hint="default" w:ascii="Times New Roman" w:hAnsi="Times New Roman" w:cs="Times New Roman"/>
                      <w:sz w:val="18"/>
                      <w:szCs w:val="18"/>
                    </w:rPr>
                  </w:pPr>
                </w:p>
              </w:tc>
              <w:tc>
                <w:tcPr>
                  <w:tcW w:w="3466" w:type="pct"/>
                  <w:gridSpan w:val="7"/>
                  <w:vAlign w:val="center"/>
                </w:tcPr>
                <w:p>
                  <w:pPr>
                    <w:pStyle w:val="141"/>
                    <w:jc w:val="center"/>
                    <w:rPr>
                      <w:rFonts w:hint="default" w:ascii="Times New Roman" w:hAnsi="Times New Roman" w:cs="Times New Roman"/>
                    </w:rPr>
                  </w:pPr>
                  <w:r>
                    <w:rPr>
                      <w:rFonts w:hint="default" w:ascii="Times New Roman" w:hAnsi="Times New Roman" w:cs="Times New Roman"/>
                    </w:rPr>
                    <w:t>大气毒性终点浓度-2 最大影响范围</w:t>
                  </w:r>
                  <w:r>
                    <w:rPr>
                      <w:rFonts w:hint="default" w:ascii="Times New Roman" w:hAnsi="Times New Roman" w:cs="Times New Roman"/>
                      <w:u w:val="single"/>
                    </w:rPr>
                    <w:t xml:space="preserve">        </w:t>
                  </w:r>
                  <w:r>
                    <w:rPr>
                      <w:rFonts w:hint="default" w:ascii="Times New Roman" w:hAnsi="Times New Roman" w:cs="Times New Roman"/>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238" w:type="pct"/>
                  <w:vMerge w:val="continue"/>
                  <w:vAlign w:val="center"/>
                </w:tcPr>
                <w:p>
                  <w:pPr>
                    <w:pStyle w:val="141"/>
                    <w:jc w:val="center"/>
                    <w:rPr>
                      <w:rFonts w:hint="default" w:ascii="Times New Roman" w:hAnsi="Times New Roman" w:cs="Times New Roman"/>
                    </w:rPr>
                  </w:pPr>
                </w:p>
              </w:tc>
              <w:tc>
                <w:tcPr>
                  <w:tcW w:w="586" w:type="pct"/>
                  <w:vAlign w:val="center"/>
                </w:tcPr>
                <w:p>
                  <w:pPr>
                    <w:pStyle w:val="141"/>
                    <w:jc w:val="center"/>
                    <w:rPr>
                      <w:rFonts w:hint="default" w:ascii="Times New Roman" w:hAnsi="Times New Roman" w:cs="Times New Roman"/>
                    </w:rPr>
                  </w:pPr>
                  <w:r>
                    <w:rPr>
                      <w:rFonts w:hint="default" w:ascii="Times New Roman" w:hAnsi="Times New Roman" w:cs="Times New Roman"/>
                    </w:rPr>
                    <w:t>地表水</w:t>
                  </w:r>
                </w:p>
              </w:tc>
              <w:tc>
                <w:tcPr>
                  <w:tcW w:w="4176" w:type="pct"/>
                  <w:gridSpan w:val="8"/>
                  <w:vAlign w:val="center"/>
                </w:tcPr>
                <w:p>
                  <w:pPr>
                    <w:pStyle w:val="141"/>
                    <w:jc w:val="center"/>
                    <w:rPr>
                      <w:rFonts w:hint="default" w:ascii="Times New Roman" w:hAnsi="Times New Roman" w:cs="Times New Roman"/>
                    </w:rPr>
                  </w:pPr>
                  <w:r>
                    <w:rPr>
                      <w:rFonts w:hint="default" w:ascii="Times New Roman" w:hAnsi="Times New Roman" w:cs="Times New Roman"/>
                    </w:rPr>
                    <w:t>最近环境敏感目标</w:t>
                  </w:r>
                  <w:r>
                    <w:rPr>
                      <w:rFonts w:hint="default" w:ascii="Times New Roman" w:hAnsi="Times New Roman" w:cs="Times New Roman"/>
                      <w:u w:val="single"/>
                    </w:rPr>
                    <w:t xml:space="preserve">              </w:t>
                  </w:r>
                  <w:r>
                    <w:rPr>
                      <w:rFonts w:hint="default" w:ascii="Times New Roman" w:hAnsi="Times New Roman" w:cs="Times New Roman"/>
                    </w:rPr>
                    <w:t>，到达时间</w:t>
                  </w:r>
                  <w:r>
                    <w:rPr>
                      <w:rFonts w:hint="default" w:ascii="Times New Roman" w:hAnsi="Times New Roman" w:cs="Times New Roman"/>
                      <w:u w:val="single"/>
                    </w:rPr>
                    <w:t xml:space="preserve">        </w:t>
                  </w:r>
                  <w:r>
                    <w:rPr>
                      <w:rFonts w:hint="default" w:ascii="Times New Roman" w:hAnsi="Times New Roman" w:cs="Times New Roman"/>
                    </w:rPr>
                    <w: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6" w:hRule="atLeast"/>
                <w:jc w:val="center"/>
              </w:trPr>
              <w:tc>
                <w:tcPr>
                  <w:tcW w:w="238" w:type="pct"/>
                  <w:vMerge w:val="continue"/>
                  <w:vAlign w:val="center"/>
                </w:tcPr>
                <w:p>
                  <w:pPr>
                    <w:pStyle w:val="141"/>
                    <w:jc w:val="center"/>
                    <w:rPr>
                      <w:rFonts w:hint="default" w:ascii="Times New Roman" w:hAnsi="Times New Roman" w:cs="Times New Roman"/>
                    </w:rPr>
                  </w:pPr>
                </w:p>
              </w:tc>
              <w:tc>
                <w:tcPr>
                  <w:tcW w:w="586" w:type="pct"/>
                  <w:vMerge w:val="restart"/>
                  <w:vAlign w:val="center"/>
                </w:tcPr>
                <w:p>
                  <w:pPr>
                    <w:pStyle w:val="141"/>
                    <w:jc w:val="center"/>
                    <w:rPr>
                      <w:rFonts w:hint="default" w:ascii="Times New Roman" w:hAnsi="Times New Roman" w:cs="Times New Roman"/>
                    </w:rPr>
                  </w:pPr>
                  <w:r>
                    <w:rPr>
                      <w:rFonts w:hint="default" w:ascii="Times New Roman" w:hAnsi="Times New Roman" w:cs="Times New Roman"/>
                    </w:rPr>
                    <w:t>地下水</w:t>
                  </w:r>
                </w:p>
              </w:tc>
              <w:tc>
                <w:tcPr>
                  <w:tcW w:w="4176" w:type="pct"/>
                  <w:gridSpan w:val="8"/>
                  <w:vAlign w:val="center"/>
                </w:tcPr>
                <w:p>
                  <w:pPr>
                    <w:pStyle w:val="141"/>
                    <w:jc w:val="center"/>
                    <w:rPr>
                      <w:rFonts w:hint="default" w:ascii="Times New Roman" w:hAnsi="Times New Roman" w:cs="Times New Roman"/>
                    </w:rPr>
                  </w:pPr>
                  <w:r>
                    <w:rPr>
                      <w:rFonts w:hint="default" w:ascii="Times New Roman" w:hAnsi="Times New Roman" w:cs="Times New Roman"/>
                    </w:rPr>
                    <w:t>下游厂区边界到达时间</w:t>
                  </w:r>
                  <w:r>
                    <w:rPr>
                      <w:rFonts w:hint="default" w:ascii="Times New Roman" w:hAnsi="Times New Roman" w:cs="Times New Roman"/>
                      <w:u w:val="single"/>
                    </w:rPr>
                    <w:t xml:space="preserve">        </w:t>
                  </w:r>
                  <w:r>
                    <w:rPr>
                      <w:rFonts w:hint="default" w:ascii="Times New Roman" w:hAnsi="Times New Roman" w:cs="Times New Roman"/>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7" w:hRule="atLeast"/>
                <w:jc w:val="center"/>
              </w:trPr>
              <w:tc>
                <w:tcPr>
                  <w:tcW w:w="238" w:type="pct"/>
                  <w:vMerge w:val="continue"/>
                  <w:vAlign w:val="center"/>
                </w:tcPr>
                <w:p>
                  <w:pPr>
                    <w:pStyle w:val="141"/>
                    <w:jc w:val="center"/>
                    <w:rPr>
                      <w:rFonts w:hint="default" w:ascii="Times New Roman" w:hAnsi="Times New Roman" w:cs="Times New Roman"/>
                    </w:rPr>
                  </w:pPr>
                </w:p>
              </w:tc>
              <w:tc>
                <w:tcPr>
                  <w:tcW w:w="586" w:type="pct"/>
                  <w:vMerge w:val="continue"/>
                  <w:vAlign w:val="center"/>
                </w:tcPr>
                <w:p>
                  <w:pPr>
                    <w:pStyle w:val="141"/>
                    <w:jc w:val="center"/>
                    <w:rPr>
                      <w:rFonts w:hint="default" w:ascii="Times New Roman" w:hAnsi="Times New Roman" w:cs="Times New Roman"/>
                    </w:rPr>
                  </w:pPr>
                </w:p>
              </w:tc>
              <w:tc>
                <w:tcPr>
                  <w:tcW w:w="4176" w:type="pct"/>
                  <w:gridSpan w:val="8"/>
                  <w:vAlign w:val="center"/>
                </w:tcPr>
                <w:p>
                  <w:pPr>
                    <w:pStyle w:val="141"/>
                    <w:jc w:val="center"/>
                    <w:rPr>
                      <w:rFonts w:hint="default" w:ascii="Times New Roman" w:hAnsi="Times New Roman" w:cs="Times New Roman"/>
                    </w:rPr>
                  </w:pPr>
                  <w:r>
                    <w:rPr>
                      <w:rFonts w:hint="default" w:ascii="Times New Roman" w:hAnsi="Times New Roman" w:cs="Times New Roman"/>
                    </w:rPr>
                    <w:t>最近环境敏感目标</w:t>
                  </w:r>
                  <w:r>
                    <w:rPr>
                      <w:rFonts w:hint="default" w:ascii="Times New Roman" w:hAnsi="Times New Roman" w:cs="Times New Roman"/>
                      <w:u w:val="single"/>
                    </w:rPr>
                    <w:t xml:space="preserve">              </w:t>
                  </w:r>
                  <w:r>
                    <w:rPr>
                      <w:rFonts w:hint="default" w:ascii="Times New Roman" w:hAnsi="Times New Roman" w:cs="Times New Roman"/>
                    </w:rPr>
                    <w:t>，到达时间</w:t>
                  </w:r>
                  <w:r>
                    <w:rPr>
                      <w:rFonts w:hint="default" w:ascii="Times New Roman" w:hAnsi="Times New Roman" w:cs="Times New Roman"/>
                      <w:u w:val="single"/>
                    </w:rPr>
                    <w:t xml:space="preserve">        </w:t>
                  </w:r>
                  <w:r>
                    <w:rPr>
                      <w:rFonts w:hint="default" w:ascii="Times New Roman" w:hAnsi="Times New Roman" w:cs="Times New Roman"/>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1" w:hRule="atLeast"/>
                <w:jc w:val="center"/>
              </w:trPr>
              <w:tc>
                <w:tcPr>
                  <w:tcW w:w="824" w:type="pct"/>
                  <w:gridSpan w:val="2"/>
                  <w:vAlign w:val="center"/>
                </w:tcPr>
                <w:p>
                  <w:pPr>
                    <w:pStyle w:val="141"/>
                    <w:jc w:val="center"/>
                    <w:rPr>
                      <w:rFonts w:hint="default" w:ascii="Times New Roman" w:hAnsi="Times New Roman" w:cs="Times New Roman"/>
                    </w:rPr>
                  </w:pPr>
                  <w:r>
                    <w:rPr>
                      <w:rFonts w:hint="default" w:ascii="Times New Roman" w:hAnsi="Times New Roman" w:cs="Times New Roman"/>
                    </w:rPr>
                    <w:t>重点风险防范</w:t>
                  </w:r>
                </w:p>
                <w:p>
                  <w:pPr>
                    <w:pStyle w:val="141"/>
                    <w:jc w:val="center"/>
                    <w:rPr>
                      <w:rFonts w:hint="default" w:ascii="Times New Roman" w:hAnsi="Times New Roman" w:cs="Times New Roman"/>
                    </w:rPr>
                  </w:pPr>
                  <w:r>
                    <w:rPr>
                      <w:rFonts w:hint="default" w:ascii="Times New Roman" w:hAnsi="Times New Roman" w:cs="Times New Roman"/>
                    </w:rPr>
                    <w:t>措施</w:t>
                  </w:r>
                </w:p>
              </w:tc>
              <w:tc>
                <w:tcPr>
                  <w:tcW w:w="4176" w:type="pct"/>
                  <w:gridSpan w:val="8"/>
                  <w:vAlign w:val="center"/>
                </w:tcPr>
                <w:p>
                  <w:pPr>
                    <w:pStyle w:val="141"/>
                    <w:jc w:val="center"/>
                    <w:rPr>
                      <w:rFonts w:hint="default" w:ascii="Times New Roman" w:hAnsi="Times New Roman" w:cs="Times New Roman"/>
                    </w:rPr>
                  </w:pPr>
                  <w:r>
                    <w:rPr>
                      <w:rFonts w:hint="default" w:ascii="Times New Roman" w:hAnsi="Times New Roman" w:cs="Times New Roman"/>
                    </w:rPr>
                    <w:t>设置消防水池、建立油罐防漏贮池、罐区设置围堰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74" w:hRule="atLeast"/>
                <w:jc w:val="center"/>
              </w:trPr>
              <w:tc>
                <w:tcPr>
                  <w:tcW w:w="824" w:type="pct"/>
                  <w:gridSpan w:val="2"/>
                  <w:vAlign w:val="center"/>
                </w:tcPr>
                <w:p>
                  <w:pPr>
                    <w:pStyle w:val="141"/>
                    <w:jc w:val="center"/>
                    <w:rPr>
                      <w:rFonts w:hint="default" w:ascii="Times New Roman" w:hAnsi="Times New Roman" w:cs="Times New Roman"/>
                    </w:rPr>
                  </w:pPr>
                  <w:r>
                    <w:rPr>
                      <w:rFonts w:hint="default" w:ascii="Times New Roman" w:hAnsi="Times New Roman" w:cs="Times New Roman"/>
                    </w:rPr>
                    <w:t>评价结论与建议</w:t>
                  </w:r>
                </w:p>
              </w:tc>
              <w:tc>
                <w:tcPr>
                  <w:tcW w:w="4176" w:type="pct"/>
                  <w:gridSpan w:val="8"/>
                  <w:vAlign w:val="center"/>
                </w:tcPr>
                <w:p>
                  <w:pPr>
                    <w:pStyle w:val="141"/>
                    <w:jc w:val="center"/>
                    <w:rPr>
                      <w:rFonts w:hint="default" w:ascii="Times New Roman" w:hAnsi="Times New Roman" w:cs="Times New Roman"/>
                    </w:rPr>
                  </w:pPr>
                  <w:r>
                    <w:rPr>
                      <w:rFonts w:hint="default" w:ascii="Times New Roman" w:hAnsi="Times New Roman" w:cs="Times New Roman"/>
                    </w:rPr>
                    <w:t>本项目环境风险潜势为 I，环境风险工作等级低于三级。项目运营过程中存在泄漏、火灾、爆炸等环境风险。通过对加油站运营过程中存在的风险因子识别，分析风险因素对项目周围人群和周围环境造成的不利影响程度，阐述了可能导致该事故的原因，针对性的给出了风险防范措施，提出了环境风险应急预案制定的要求。本评价认为只要在运营过程中不断加强生产安全和环境管理，对每一环节按风险评价要求落实防范措施和应急措施，即使发生环境风险事故，其环境影响程度也是可控制的，基本可以将环境风险降到最低程度。从环境风险评价角度上分析，该项目的风险水平及影响程度是可以接受的，项目建设是可行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5000" w:type="pct"/>
                  <w:gridSpan w:val="10"/>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注：“</w:t>
                  </w:r>
                  <w:r>
                    <w:rPr>
                      <w:rFonts w:hint="default" w:ascii="Times New Roman" w:hAnsi="Times New Roman" w:cs="Times New Roman"/>
                      <w:sz w:val="18"/>
                      <w:szCs w:val="18"/>
                    </w:rPr>
                    <w:sym w:font="Wingdings 2" w:char="00A3"/>
                  </w:r>
                  <w:r>
                    <w:rPr>
                      <w:rFonts w:hint="default" w:ascii="Times New Roman" w:hAnsi="Times New Roman" w:cs="Times New Roman"/>
                      <w:sz w:val="18"/>
                      <w:szCs w:val="18"/>
                    </w:rPr>
                    <w:t>”为勾选项，“</w:t>
                  </w:r>
                  <w:r>
                    <w:rPr>
                      <w:rFonts w:hint="default" w:ascii="Times New Roman" w:hAnsi="Times New Roman" w:cs="Times New Roman"/>
                      <w:sz w:val="18"/>
                      <w:szCs w:val="18"/>
                      <w:u w:val="single"/>
                    </w:rPr>
                    <w:t xml:space="preserve">       </w:t>
                  </w:r>
                  <w:r>
                    <w:rPr>
                      <w:rFonts w:hint="default" w:ascii="Times New Roman" w:hAnsi="Times New Roman" w:cs="Times New Roman"/>
                      <w:sz w:val="18"/>
                      <w:szCs w:val="18"/>
                    </w:rPr>
                    <w:t>”为填写项。</w:t>
                  </w:r>
                </w:p>
              </w:tc>
            </w:tr>
          </w:tbl>
          <w:p>
            <w:pPr>
              <w:pStyle w:val="137"/>
              <w:ind w:firstLine="480"/>
              <w:rPr>
                <w:rFonts w:hint="default" w:ascii="Times New Roman" w:hAnsi="Times New Roman" w:cs="Times New Roman"/>
              </w:rPr>
            </w:pPr>
          </w:p>
          <w:p>
            <w:pPr>
              <w:pStyle w:val="137"/>
              <w:ind w:firstLine="480"/>
              <w:rPr>
                <w:rFonts w:hint="default" w:ascii="Times New Roman" w:hAnsi="Times New Roman" w:cs="Times New Roman"/>
              </w:rPr>
            </w:pPr>
            <w:r>
              <w:rPr>
                <w:rFonts w:hint="default" w:ascii="Times New Roman" w:hAnsi="Times New Roman" w:cs="Times New Roman"/>
              </w:rPr>
              <w:t>6、环境风险评价结论</w:t>
            </w:r>
          </w:p>
          <w:p>
            <w:pPr>
              <w:pStyle w:val="137"/>
              <w:ind w:firstLine="480"/>
              <w:rPr>
                <w:rFonts w:hint="default" w:ascii="Times New Roman" w:hAnsi="Times New Roman" w:cs="Times New Roman"/>
              </w:rPr>
            </w:pPr>
            <w:r>
              <w:rPr>
                <w:rFonts w:hint="default" w:ascii="Times New Roman" w:hAnsi="Times New Roman" w:cs="Times New Roman"/>
              </w:rPr>
              <w:t>本项目涉及危险物质汽油、柴油，具有易燃爆炸性危险特性。项目建设单位在落实评价提出的各项风险防范措施，并按照有关规定制定风险应急预案并上报备案，定期演练，接受当地政府等有关部门的监督检查后，本项目发生风险事故的可能性将进一步降低，环境风险在可接受范围内。</w:t>
            </w:r>
          </w:p>
          <w:p>
            <w:pPr>
              <w:pStyle w:val="161"/>
              <w:rPr>
                <w:rFonts w:hint="default" w:ascii="Times New Roman" w:hAnsi="Times New Roman" w:cs="Times New Roman"/>
              </w:rPr>
            </w:pPr>
            <w:r>
              <w:rPr>
                <w:rFonts w:hint="default" w:ascii="Times New Roman" w:hAnsi="Times New Roman" w:cs="Times New Roman"/>
              </w:rPr>
              <w:t>七、环保投资估算</w:t>
            </w:r>
          </w:p>
          <w:p>
            <w:pPr>
              <w:pStyle w:val="137"/>
              <w:ind w:firstLine="480"/>
              <w:rPr>
                <w:rFonts w:hint="default" w:ascii="Times New Roman" w:hAnsi="Times New Roman" w:cs="Times New Roman"/>
              </w:rPr>
            </w:pPr>
            <w:r>
              <w:rPr>
                <w:rFonts w:hint="default" w:ascii="Times New Roman" w:hAnsi="Times New Roman" w:cs="Times New Roman"/>
              </w:rPr>
              <w:t>本项目</w:t>
            </w:r>
            <w:r>
              <w:rPr>
                <w:rFonts w:hint="eastAsia" w:cs="Times New Roman"/>
                <w:lang w:val="en-US" w:eastAsia="zh-CN"/>
              </w:rPr>
              <w:t>总投资为200万，</w:t>
            </w:r>
            <w:r>
              <w:rPr>
                <w:rFonts w:hint="default" w:ascii="Times New Roman" w:hAnsi="Times New Roman" w:cs="Times New Roman"/>
              </w:rPr>
              <w:t>环保总投资估算为</w:t>
            </w:r>
            <w:r>
              <w:rPr>
                <w:rFonts w:hint="default" w:ascii="Times New Roman" w:hAnsi="Times New Roman" w:eastAsia="Times New Roman" w:cs="Times New Roman"/>
              </w:rPr>
              <w:t>2</w:t>
            </w:r>
            <w:r>
              <w:rPr>
                <w:rFonts w:hint="default" w:ascii="Times New Roman" w:hAnsi="Times New Roman" w:cs="Times New Roman" w:eastAsiaTheme="minorEastAsia"/>
              </w:rPr>
              <w:t>7</w:t>
            </w:r>
            <w:r>
              <w:rPr>
                <w:rFonts w:hint="default" w:ascii="Times New Roman" w:hAnsi="Times New Roman" w:cs="Times New Roman"/>
              </w:rPr>
              <w:t>万元，占项目总投资的13.</w:t>
            </w:r>
            <w:r>
              <w:rPr>
                <w:rFonts w:hint="default" w:ascii="Times New Roman" w:hAnsi="Times New Roman" w:cs="Times New Roman" w:eastAsiaTheme="minorEastAsia"/>
              </w:rPr>
              <w:t>5</w:t>
            </w:r>
            <w:r>
              <w:rPr>
                <w:rFonts w:hint="default" w:ascii="Times New Roman" w:hAnsi="Times New Roman" w:eastAsia="Times New Roman" w:cs="Times New Roman"/>
              </w:rPr>
              <w:t>%</w:t>
            </w:r>
            <w:r>
              <w:rPr>
                <w:rFonts w:hint="default" w:ascii="Times New Roman" w:hAnsi="Times New Roman" w:cs="Times New Roman"/>
              </w:rPr>
              <w:t>。</w:t>
            </w:r>
          </w:p>
          <w:p>
            <w:pPr>
              <w:pStyle w:val="143"/>
              <w:spacing w:before="156"/>
              <w:rPr>
                <w:rFonts w:hint="default" w:ascii="Times New Roman" w:hAnsi="Times New Roman" w:cs="Times New Roman"/>
              </w:rPr>
            </w:pPr>
            <w:r>
              <w:rPr>
                <w:rFonts w:hint="default" w:ascii="Times New Roman" w:hAnsi="Times New Roman" w:cs="Times New Roman"/>
              </w:rPr>
              <w:t>表</w:t>
            </w:r>
            <w:r>
              <w:rPr>
                <w:rFonts w:hint="eastAsia" w:cs="Times New Roman"/>
                <w:lang w:val="en-US" w:eastAsia="zh-CN"/>
              </w:rPr>
              <w:t xml:space="preserve">7-26 </w:t>
            </w:r>
            <w:r>
              <w:rPr>
                <w:rFonts w:hint="default" w:ascii="Times New Roman" w:hAnsi="Times New Roman" w:cs="Times New Roman"/>
              </w:rPr>
              <w:t xml:space="preserve"> 环保投资估算一览表</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1401"/>
              <w:gridCol w:w="4744"/>
              <w:gridCol w:w="1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shd w:val="clear" w:color="auto" w:fill="auto"/>
                  <w:vAlign w:val="center"/>
                </w:tcPr>
                <w:p>
                  <w:pPr>
                    <w:widowControl/>
                    <w:adjustRightInd/>
                    <w:spacing w:line="240" w:lineRule="auto"/>
                    <w:textAlignment w:val="auto"/>
                    <w:rPr>
                      <w:rFonts w:hint="default" w:ascii="Times New Roman" w:hAnsi="Times New Roman" w:cs="Times New Roman"/>
                      <w:szCs w:val="21"/>
                    </w:rPr>
                  </w:pPr>
                  <w:r>
                    <w:rPr>
                      <w:rFonts w:hint="default" w:ascii="Times New Roman" w:hAnsi="Times New Roman" w:cs="Times New Roman"/>
                      <w:szCs w:val="21"/>
                    </w:rPr>
                    <w:t>序号</w:t>
                  </w:r>
                </w:p>
              </w:tc>
              <w:tc>
                <w:tcPr>
                  <w:tcW w:w="783" w:type="pct"/>
                  <w:shd w:val="clear" w:color="auto" w:fill="auto"/>
                  <w:vAlign w:val="center"/>
                </w:tcPr>
                <w:p>
                  <w:pPr>
                    <w:widowControl/>
                    <w:adjustRightInd/>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污染源</w:t>
                  </w:r>
                </w:p>
              </w:tc>
              <w:tc>
                <w:tcPr>
                  <w:tcW w:w="2651" w:type="pct"/>
                  <w:shd w:val="clear" w:color="auto" w:fill="auto"/>
                  <w:vAlign w:val="center"/>
                </w:tcPr>
                <w:p>
                  <w:pPr>
                    <w:widowControl/>
                    <w:adjustRightInd/>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环保措施</w:t>
                  </w:r>
                </w:p>
              </w:tc>
              <w:tc>
                <w:tcPr>
                  <w:tcW w:w="1094" w:type="pct"/>
                  <w:shd w:val="clear" w:color="auto" w:fill="auto"/>
                  <w:vAlign w:val="center"/>
                </w:tcPr>
                <w:p>
                  <w:pPr>
                    <w:widowControl/>
                    <w:adjustRightInd/>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shd w:val="clear" w:color="auto" w:fill="auto"/>
                  <w:vAlign w:val="center"/>
                </w:tcPr>
                <w:p>
                  <w:pPr>
                    <w:widowControl/>
                    <w:adjustRightInd/>
                    <w:spacing w:line="240" w:lineRule="auto"/>
                    <w:jc w:val="center"/>
                    <w:textAlignment w:val="auto"/>
                    <w:rPr>
                      <w:rFonts w:hint="default" w:ascii="Times New Roman" w:hAnsi="Times New Roman" w:eastAsia="等线" w:cs="Times New Roman"/>
                      <w:szCs w:val="21"/>
                    </w:rPr>
                  </w:pPr>
                  <w:r>
                    <w:rPr>
                      <w:rFonts w:hint="default" w:ascii="Times New Roman" w:hAnsi="Times New Roman" w:eastAsia="等线" w:cs="Times New Roman"/>
                      <w:szCs w:val="21"/>
                    </w:rPr>
                    <w:t>1</w:t>
                  </w:r>
                </w:p>
              </w:tc>
              <w:tc>
                <w:tcPr>
                  <w:tcW w:w="783" w:type="pct"/>
                  <w:shd w:val="clear" w:color="auto" w:fill="auto"/>
                  <w:vAlign w:val="center"/>
                </w:tcPr>
                <w:p>
                  <w:pPr>
                    <w:widowControl/>
                    <w:adjustRightInd/>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废水</w:t>
                  </w:r>
                </w:p>
              </w:tc>
              <w:tc>
                <w:tcPr>
                  <w:tcW w:w="2651" w:type="pct"/>
                  <w:shd w:val="clear" w:color="auto" w:fill="auto"/>
                  <w:vAlign w:val="center"/>
                </w:tcPr>
                <w:p>
                  <w:pPr>
                    <w:widowControl/>
                    <w:adjustRightInd/>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化粪池、三级沉淀池、三级隔油池等</w:t>
                  </w:r>
                </w:p>
              </w:tc>
              <w:tc>
                <w:tcPr>
                  <w:tcW w:w="1094" w:type="pct"/>
                  <w:shd w:val="clear" w:color="auto" w:fill="auto"/>
                  <w:vAlign w:val="center"/>
                </w:tcPr>
                <w:p>
                  <w:pPr>
                    <w:widowControl/>
                    <w:adjustRightInd/>
                    <w:spacing w:line="240" w:lineRule="auto"/>
                    <w:jc w:val="center"/>
                    <w:textAlignment w:val="auto"/>
                    <w:rPr>
                      <w:rFonts w:hint="default" w:ascii="Times New Roman" w:hAnsi="Times New Roman" w:eastAsia="等线" w:cs="Times New Roman"/>
                      <w:szCs w:val="21"/>
                    </w:rPr>
                  </w:pPr>
                  <w:r>
                    <w:rPr>
                      <w:rFonts w:hint="default" w:ascii="Times New Roman" w:hAnsi="Times New Roman" w:eastAsia="等线" w:cs="Times New Roman"/>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shd w:val="clear" w:color="auto" w:fill="auto"/>
                  <w:vAlign w:val="center"/>
                </w:tcPr>
                <w:p>
                  <w:pPr>
                    <w:widowControl/>
                    <w:adjustRightInd/>
                    <w:spacing w:line="240" w:lineRule="auto"/>
                    <w:jc w:val="center"/>
                    <w:textAlignment w:val="auto"/>
                    <w:rPr>
                      <w:rFonts w:hint="default" w:ascii="Times New Roman" w:hAnsi="Times New Roman" w:eastAsia="等线" w:cs="Times New Roman"/>
                      <w:szCs w:val="21"/>
                    </w:rPr>
                  </w:pPr>
                  <w:r>
                    <w:rPr>
                      <w:rFonts w:hint="default" w:ascii="Times New Roman" w:hAnsi="Times New Roman" w:eastAsia="等线" w:cs="Times New Roman"/>
                      <w:szCs w:val="21"/>
                    </w:rPr>
                    <w:t>2</w:t>
                  </w:r>
                </w:p>
              </w:tc>
              <w:tc>
                <w:tcPr>
                  <w:tcW w:w="783" w:type="pct"/>
                  <w:shd w:val="clear" w:color="auto" w:fill="auto"/>
                  <w:vAlign w:val="center"/>
                </w:tcPr>
                <w:p>
                  <w:pPr>
                    <w:widowControl/>
                    <w:adjustRightInd/>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废气</w:t>
                  </w:r>
                </w:p>
              </w:tc>
              <w:tc>
                <w:tcPr>
                  <w:tcW w:w="2651" w:type="pct"/>
                  <w:shd w:val="clear" w:color="auto" w:fill="auto"/>
                  <w:vAlign w:val="center"/>
                </w:tcPr>
                <w:p>
                  <w:pPr>
                    <w:widowControl/>
                    <w:adjustRightInd/>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油气回收系统</w:t>
                  </w:r>
                </w:p>
              </w:tc>
              <w:tc>
                <w:tcPr>
                  <w:tcW w:w="1094" w:type="pct"/>
                  <w:shd w:val="clear" w:color="auto" w:fill="auto"/>
                  <w:vAlign w:val="center"/>
                </w:tcPr>
                <w:p>
                  <w:pPr>
                    <w:widowControl/>
                    <w:adjustRightInd/>
                    <w:spacing w:line="240" w:lineRule="auto"/>
                    <w:jc w:val="center"/>
                    <w:textAlignment w:val="auto"/>
                    <w:rPr>
                      <w:rFonts w:hint="default" w:ascii="Times New Roman" w:hAnsi="Times New Roman" w:eastAsia="等线" w:cs="Times New Roman"/>
                      <w:szCs w:val="21"/>
                    </w:rPr>
                  </w:pPr>
                  <w:r>
                    <w:rPr>
                      <w:rFonts w:hint="default" w:ascii="Times New Roman" w:hAnsi="Times New Roman" w:eastAsia="等线" w:cs="Times New Roman"/>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shd w:val="clear" w:color="auto" w:fill="auto"/>
                  <w:vAlign w:val="center"/>
                </w:tcPr>
                <w:p>
                  <w:pPr>
                    <w:widowControl/>
                    <w:adjustRightInd/>
                    <w:spacing w:line="240" w:lineRule="auto"/>
                    <w:jc w:val="center"/>
                    <w:textAlignment w:val="auto"/>
                    <w:rPr>
                      <w:rFonts w:hint="default" w:ascii="Times New Roman" w:hAnsi="Times New Roman" w:eastAsia="等线" w:cs="Times New Roman"/>
                      <w:szCs w:val="21"/>
                    </w:rPr>
                  </w:pPr>
                  <w:r>
                    <w:rPr>
                      <w:rFonts w:hint="default" w:ascii="Times New Roman" w:hAnsi="Times New Roman" w:eastAsia="等线" w:cs="Times New Roman"/>
                      <w:szCs w:val="21"/>
                    </w:rPr>
                    <w:t>3</w:t>
                  </w:r>
                </w:p>
              </w:tc>
              <w:tc>
                <w:tcPr>
                  <w:tcW w:w="783" w:type="pct"/>
                  <w:shd w:val="clear" w:color="auto" w:fill="auto"/>
                  <w:vAlign w:val="center"/>
                </w:tcPr>
                <w:p>
                  <w:pPr>
                    <w:widowControl/>
                    <w:adjustRightInd/>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固废治理</w:t>
                  </w:r>
                </w:p>
              </w:tc>
              <w:tc>
                <w:tcPr>
                  <w:tcW w:w="2651" w:type="pct"/>
                  <w:shd w:val="clear" w:color="auto" w:fill="auto"/>
                  <w:vAlign w:val="center"/>
                </w:tcPr>
                <w:p>
                  <w:pPr>
                    <w:widowControl/>
                    <w:adjustRightInd/>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一般固废收运系统、危废处理系统</w:t>
                  </w:r>
                </w:p>
              </w:tc>
              <w:tc>
                <w:tcPr>
                  <w:tcW w:w="1094" w:type="pct"/>
                  <w:shd w:val="clear" w:color="auto" w:fill="auto"/>
                  <w:vAlign w:val="center"/>
                </w:tcPr>
                <w:p>
                  <w:pPr>
                    <w:widowControl/>
                    <w:adjustRightInd/>
                    <w:spacing w:line="240" w:lineRule="auto"/>
                    <w:jc w:val="center"/>
                    <w:textAlignment w:val="auto"/>
                    <w:rPr>
                      <w:rFonts w:hint="default" w:ascii="Times New Roman" w:hAnsi="Times New Roman" w:eastAsia="等线" w:cs="Times New Roman"/>
                      <w:szCs w:val="21"/>
                    </w:rPr>
                  </w:pPr>
                  <w:r>
                    <w:rPr>
                      <w:rFonts w:hint="default" w:ascii="Times New Roman" w:hAnsi="Times New Roman" w:eastAsia="等线"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shd w:val="clear" w:color="auto" w:fill="auto"/>
                  <w:vAlign w:val="center"/>
                </w:tcPr>
                <w:p>
                  <w:pPr>
                    <w:widowControl/>
                    <w:adjustRightInd/>
                    <w:spacing w:line="240" w:lineRule="auto"/>
                    <w:jc w:val="center"/>
                    <w:textAlignment w:val="auto"/>
                    <w:rPr>
                      <w:rFonts w:hint="default" w:ascii="Times New Roman" w:hAnsi="Times New Roman" w:eastAsia="等线" w:cs="Times New Roman"/>
                      <w:szCs w:val="21"/>
                    </w:rPr>
                  </w:pPr>
                  <w:r>
                    <w:rPr>
                      <w:rFonts w:hint="default" w:ascii="Times New Roman" w:hAnsi="Times New Roman" w:eastAsia="等线" w:cs="Times New Roman"/>
                      <w:szCs w:val="21"/>
                    </w:rPr>
                    <w:t>4</w:t>
                  </w:r>
                </w:p>
              </w:tc>
              <w:tc>
                <w:tcPr>
                  <w:tcW w:w="783" w:type="pct"/>
                  <w:shd w:val="clear" w:color="auto" w:fill="auto"/>
                  <w:vAlign w:val="center"/>
                </w:tcPr>
                <w:p>
                  <w:pPr>
                    <w:widowControl/>
                    <w:adjustRightInd/>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噪声治理</w:t>
                  </w:r>
                </w:p>
              </w:tc>
              <w:tc>
                <w:tcPr>
                  <w:tcW w:w="2651" w:type="pct"/>
                  <w:shd w:val="clear" w:color="auto" w:fill="auto"/>
                  <w:vAlign w:val="center"/>
                </w:tcPr>
                <w:p>
                  <w:pPr>
                    <w:widowControl/>
                    <w:adjustRightInd/>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设备隔声、减震措施</w:t>
                  </w:r>
                </w:p>
              </w:tc>
              <w:tc>
                <w:tcPr>
                  <w:tcW w:w="1094" w:type="pct"/>
                  <w:shd w:val="clear" w:color="auto" w:fill="auto"/>
                  <w:vAlign w:val="center"/>
                </w:tcPr>
                <w:p>
                  <w:pPr>
                    <w:widowControl/>
                    <w:adjustRightInd/>
                    <w:spacing w:line="240" w:lineRule="auto"/>
                    <w:jc w:val="center"/>
                    <w:textAlignment w:val="auto"/>
                    <w:rPr>
                      <w:rFonts w:hint="default" w:ascii="Times New Roman" w:hAnsi="Times New Roman" w:eastAsia="等线" w:cs="Times New Roman"/>
                      <w:szCs w:val="21"/>
                    </w:rPr>
                  </w:pPr>
                  <w:r>
                    <w:rPr>
                      <w:rFonts w:hint="default" w:ascii="Times New Roman" w:hAnsi="Times New Roman" w:eastAsia="等线" w:cs="Times New Roman"/>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shd w:val="clear" w:color="auto" w:fill="auto"/>
                  <w:vAlign w:val="center"/>
                </w:tcPr>
                <w:p>
                  <w:pPr>
                    <w:widowControl/>
                    <w:adjustRightInd/>
                    <w:spacing w:line="240" w:lineRule="auto"/>
                    <w:jc w:val="center"/>
                    <w:textAlignment w:val="auto"/>
                    <w:rPr>
                      <w:rFonts w:hint="default" w:ascii="Times New Roman" w:hAnsi="Times New Roman" w:eastAsia="等线" w:cs="Times New Roman"/>
                      <w:szCs w:val="21"/>
                    </w:rPr>
                  </w:pPr>
                  <w:r>
                    <w:rPr>
                      <w:rFonts w:hint="default" w:ascii="Times New Roman" w:hAnsi="Times New Roman" w:eastAsia="等线" w:cs="Times New Roman"/>
                      <w:szCs w:val="21"/>
                    </w:rPr>
                    <w:t>5</w:t>
                  </w:r>
                </w:p>
              </w:tc>
              <w:tc>
                <w:tcPr>
                  <w:tcW w:w="783" w:type="pct"/>
                  <w:shd w:val="clear" w:color="auto" w:fill="auto"/>
                  <w:vAlign w:val="center"/>
                </w:tcPr>
                <w:p>
                  <w:pPr>
                    <w:widowControl/>
                    <w:adjustRightInd/>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生态</w:t>
                  </w:r>
                </w:p>
              </w:tc>
              <w:tc>
                <w:tcPr>
                  <w:tcW w:w="2651" w:type="pct"/>
                  <w:shd w:val="clear" w:color="auto" w:fill="auto"/>
                  <w:vAlign w:val="center"/>
                </w:tcPr>
                <w:p>
                  <w:pPr>
                    <w:widowControl/>
                    <w:adjustRightInd/>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绿化及生态恢复</w:t>
                  </w:r>
                </w:p>
              </w:tc>
              <w:tc>
                <w:tcPr>
                  <w:tcW w:w="1094" w:type="pct"/>
                  <w:shd w:val="clear" w:color="auto" w:fill="auto"/>
                  <w:vAlign w:val="center"/>
                </w:tcPr>
                <w:p>
                  <w:pPr>
                    <w:widowControl/>
                    <w:adjustRightInd/>
                    <w:spacing w:line="240" w:lineRule="auto"/>
                    <w:jc w:val="center"/>
                    <w:textAlignment w:val="auto"/>
                    <w:rPr>
                      <w:rFonts w:hint="default" w:ascii="Times New Roman" w:hAnsi="Times New Roman" w:eastAsia="等线" w:cs="Times New Roman"/>
                      <w:szCs w:val="21"/>
                    </w:rPr>
                  </w:pPr>
                  <w:r>
                    <w:rPr>
                      <w:rFonts w:hint="default" w:ascii="Times New Roman" w:hAnsi="Times New Roman" w:eastAsia="等线" w:cs="Times New Roman"/>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shd w:val="clear" w:color="auto" w:fill="auto"/>
                  <w:vAlign w:val="center"/>
                </w:tcPr>
                <w:p>
                  <w:pPr>
                    <w:widowControl/>
                    <w:adjustRightInd/>
                    <w:spacing w:line="240" w:lineRule="auto"/>
                    <w:jc w:val="center"/>
                    <w:textAlignment w:val="auto"/>
                    <w:rPr>
                      <w:rFonts w:hint="default" w:ascii="Times New Roman" w:hAnsi="Times New Roman" w:eastAsia="等线" w:cs="Times New Roman"/>
                      <w:szCs w:val="21"/>
                    </w:rPr>
                  </w:pPr>
                  <w:r>
                    <w:rPr>
                      <w:rFonts w:hint="default" w:ascii="Times New Roman" w:hAnsi="Times New Roman" w:eastAsia="等线" w:cs="Times New Roman"/>
                      <w:szCs w:val="21"/>
                    </w:rPr>
                    <w:t>6</w:t>
                  </w:r>
                </w:p>
              </w:tc>
              <w:tc>
                <w:tcPr>
                  <w:tcW w:w="783" w:type="pct"/>
                  <w:shd w:val="clear" w:color="auto" w:fill="auto"/>
                  <w:vAlign w:val="center"/>
                </w:tcPr>
                <w:p>
                  <w:pPr>
                    <w:widowControl/>
                    <w:adjustRightInd/>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风险</w:t>
                  </w:r>
                </w:p>
              </w:tc>
              <w:tc>
                <w:tcPr>
                  <w:tcW w:w="2651" w:type="pct"/>
                  <w:shd w:val="clear" w:color="auto" w:fill="auto"/>
                  <w:vAlign w:val="center"/>
                </w:tcPr>
                <w:p>
                  <w:pPr>
                    <w:widowControl/>
                    <w:adjustRightInd/>
                    <w:spacing w:line="240" w:lineRule="auto"/>
                    <w:jc w:val="center"/>
                    <w:textAlignment w:val="auto"/>
                    <w:rPr>
                      <w:rFonts w:hint="default" w:ascii="Times New Roman" w:hAnsi="Times New Roman" w:cs="Times New Roman"/>
                      <w:szCs w:val="21"/>
                    </w:rPr>
                  </w:pPr>
                  <w:r>
                    <w:rPr>
                      <w:rFonts w:hint="default" w:ascii="Times New Roman" w:hAnsi="Times New Roman" w:cs="Times New Roman"/>
                      <w:szCs w:val="21"/>
                    </w:rPr>
                    <w:t>消防沙、围堰、灭火器等</w:t>
                  </w:r>
                </w:p>
              </w:tc>
              <w:tc>
                <w:tcPr>
                  <w:tcW w:w="1094" w:type="pct"/>
                  <w:shd w:val="clear" w:color="auto" w:fill="auto"/>
                  <w:vAlign w:val="center"/>
                </w:tcPr>
                <w:p>
                  <w:pPr>
                    <w:widowControl/>
                    <w:adjustRightInd/>
                    <w:spacing w:line="240" w:lineRule="auto"/>
                    <w:jc w:val="center"/>
                    <w:textAlignment w:val="auto"/>
                    <w:rPr>
                      <w:rFonts w:hint="default" w:ascii="Times New Roman" w:hAnsi="Times New Roman" w:eastAsia="等线" w:cs="Times New Roman"/>
                      <w:szCs w:val="21"/>
                    </w:rPr>
                  </w:pPr>
                  <w:r>
                    <w:rPr>
                      <w:rFonts w:hint="default" w:ascii="Times New Roman" w:hAnsi="Times New Roman" w:eastAsia="等线" w:cs="Times New Roman"/>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2" w:type="pct"/>
                  <w:shd w:val="clear" w:color="auto" w:fill="auto"/>
                  <w:vAlign w:val="center"/>
                </w:tcPr>
                <w:p>
                  <w:pPr>
                    <w:widowControl/>
                    <w:adjustRightInd/>
                    <w:spacing w:line="240" w:lineRule="auto"/>
                    <w:jc w:val="center"/>
                    <w:textAlignment w:val="auto"/>
                    <w:rPr>
                      <w:rFonts w:hint="default" w:ascii="Times New Roman" w:hAnsi="Times New Roman" w:eastAsia="等线" w:cs="Times New Roman"/>
                      <w:szCs w:val="21"/>
                    </w:rPr>
                  </w:pPr>
                  <w:r>
                    <w:rPr>
                      <w:rFonts w:hint="default" w:ascii="Times New Roman" w:hAnsi="Times New Roman" w:eastAsia="等线" w:cs="Times New Roman"/>
                      <w:szCs w:val="21"/>
                    </w:rPr>
                    <w:t>7</w:t>
                  </w:r>
                </w:p>
              </w:tc>
              <w:tc>
                <w:tcPr>
                  <w:tcW w:w="3434" w:type="pct"/>
                  <w:gridSpan w:val="2"/>
                  <w:shd w:val="clear" w:color="auto" w:fill="auto"/>
                  <w:vAlign w:val="center"/>
                </w:tcPr>
                <w:p>
                  <w:pPr>
                    <w:widowControl/>
                    <w:adjustRightInd/>
                    <w:spacing w:line="240" w:lineRule="auto"/>
                    <w:ind w:firstLine="1890" w:firstLineChars="900"/>
                    <w:jc w:val="center"/>
                    <w:textAlignment w:val="auto"/>
                    <w:rPr>
                      <w:rFonts w:hint="default" w:ascii="Times New Roman" w:hAnsi="Times New Roman" w:cs="Times New Roman"/>
                      <w:szCs w:val="21"/>
                    </w:rPr>
                  </w:pPr>
                  <w:r>
                    <w:rPr>
                      <w:rFonts w:hint="default" w:ascii="Times New Roman" w:hAnsi="Times New Roman" w:cs="Times New Roman"/>
                      <w:szCs w:val="21"/>
                    </w:rPr>
                    <w:t>环保设施投资合计</w:t>
                  </w:r>
                </w:p>
              </w:tc>
              <w:tc>
                <w:tcPr>
                  <w:tcW w:w="1094" w:type="pct"/>
                  <w:shd w:val="clear" w:color="auto" w:fill="auto"/>
                  <w:vAlign w:val="center"/>
                </w:tcPr>
                <w:p>
                  <w:pPr>
                    <w:widowControl/>
                    <w:adjustRightInd/>
                    <w:spacing w:line="240" w:lineRule="auto"/>
                    <w:jc w:val="center"/>
                    <w:textAlignment w:val="auto"/>
                    <w:rPr>
                      <w:rFonts w:hint="default" w:ascii="Times New Roman" w:hAnsi="Times New Roman" w:eastAsia="等线" w:cs="Times New Roman"/>
                      <w:szCs w:val="21"/>
                    </w:rPr>
                  </w:pPr>
                  <w:r>
                    <w:rPr>
                      <w:rFonts w:hint="default" w:ascii="Times New Roman" w:hAnsi="Times New Roman" w:eastAsia="等线" w:cs="Times New Roman"/>
                      <w:szCs w:val="21"/>
                    </w:rPr>
                    <w:t>27</w:t>
                  </w:r>
                </w:p>
              </w:tc>
            </w:tr>
          </w:tbl>
          <w:p>
            <w:pPr>
              <w:pStyle w:val="161"/>
              <w:rPr>
                <w:rFonts w:hint="default" w:ascii="Times New Roman" w:hAnsi="Times New Roman" w:cs="Times New Roman"/>
              </w:rPr>
            </w:pPr>
            <w:r>
              <w:rPr>
                <w:rFonts w:hint="default" w:ascii="Times New Roman" w:hAnsi="Times New Roman" w:cs="Times New Roman"/>
              </w:rPr>
              <w:t>八、“三同时”环境保护竣工验收</w:t>
            </w:r>
          </w:p>
          <w:p>
            <w:pPr>
              <w:pStyle w:val="13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rPr>
            </w:pPr>
            <w:r>
              <w:rPr>
                <w:rFonts w:hint="default" w:ascii="Times New Roman" w:hAnsi="Times New Roman" w:cs="Times New Roman"/>
              </w:rPr>
              <w:t>本项目环保</w:t>
            </w:r>
            <w:r>
              <w:rPr>
                <w:rFonts w:hint="default" w:ascii="Times New Roman" w:hAnsi="Times New Roman" w:eastAsia="Times New Roman" w:cs="Times New Roman"/>
              </w:rPr>
              <w:t>“</w:t>
            </w:r>
            <w:r>
              <w:rPr>
                <w:rFonts w:hint="default" w:ascii="Times New Roman" w:hAnsi="Times New Roman" w:cs="Times New Roman"/>
              </w:rPr>
              <w:t>三同时</w:t>
            </w:r>
            <w:r>
              <w:rPr>
                <w:rFonts w:hint="default" w:ascii="Times New Roman" w:hAnsi="Times New Roman" w:eastAsia="Times New Roman" w:cs="Times New Roman"/>
              </w:rPr>
              <w:t>”</w:t>
            </w:r>
            <w:r>
              <w:rPr>
                <w:rFonts w:hint="default" w:ascii="Times New Roman" w:hAnsi="Times New Roman" w:cs="Times New Roman"/>
              </w:rPr>
              <w:t>竣工验收详见下表：</w:t>
            </w:r>
          </w:p>
          <w:p>
            <w:pPr>
              <w:pStyle w:val="143"/>
              <w:keepNext w:val="0"/>
              <w:keepLines w:val="0"/>
              <w:pageBreakBefore w:val="0"/>
              <w:widowControl w:val="0"/>
              <w:kinsoku/>
              <w:wordWrap/>
              <w:overflowPunct/>
              <w:topLinePunct w:val="0"/>
              <w:autoSpaceDE/>
              <w:autoSpaceDN/>
              <w:bidi w:val="0"/>
              <w:adjustRightInd/>
              <w:snapToGrid/>
              <w:spacing w:beforeLines="0"/>
              <w:textAlignment w:val="auto"/>
              <w:rPr>
                <w:rFonts w:hint="default" w:ascii="Times New Roman" w:hAnsi="Times New Roman" w:cs="Times New Roman"/>
              </w:rPr>
            </w:pPr>
            <w:r>
              <w:rPr>
                <w:rFonts w:hint="default" w:ascii="Times New Roman" w:hAnsi="Times New Roman" w:cs="Times New Roman"/>
              </w:rPr>
              <w:t>表</w:t>
            </w:r>
            <w:r>
              <w:rPr>
                <w:rFonts w:hint="eastAsia" w:cs="Times New Roman"/>
                <w:lang w:val="en-US" w:eastAsia="zh-CN"/>
              </w:rPr>
              <w:t xml:space="preserve">7-27 </w:t>
            </w:r>
            <w:r>
              <w:rPr>
                <w:rFonts w:hint="default" w:ascii="Times New Roman" w:hAnsi="Times New Roman" w:eastAsia="Times New Roman" w:cs="Times New Roman"/>
              </w:rPr>
              <w:t xml:space="preserve"> </w:t>
            </w:r>
            <w:r>
              <w:rPr>
                <w:rFonts w:hint="default" w:ascii="Times New Roman" w:hAnsi="Times New Roman" w:cs="Times New Roman"/>
              </w:rPr>
              <w:t>环保</w:t>
            </w:r>
            <w:r>
              <w:rPr>
                <w:rFonts w:hint="default" w:ascii="Times New Roman" w:hAnsi="Times New Roman" w:eastAsia="Times New Roman" w:cs="Times New Roman"/>
              </w:rPr>
              <w:t>“</w:t>
            </w:r>
            <w:r>
              <w:rPr>
                <w:rFonts w:hint="default" w:ascii="Times New Roman" w:hAnsi="Times New Roman" w:cs="Times New Roman"/>
              </w:rPr>
              <w:t>三同时</w:t>
            </w:r>
            <w:r>
              <w:rPr>
                <w:rFonts w:hint="default" w:ascii="Times New Roman" w:hAnsi="Times New Roman" w:eastAsia="Times New Roman" w:cs="Times New Roman"/>
              </w:rPr>
              <w:t>”</w:t>
            </w:r>
            <w:r>
              <w:rPr>
                <w:rFonts w:hint="default" w:ascii="Times New Roman" w:hAnsi="Times New Roman" w:cs="Times New Roman"/>
              </w:rPr>
              <w:t>竣工验收一览表</w:t>
            </w:r>
          </w:p>
          <w:tbl>
            <w:tblPr>
              <w:tblStyle w:val="3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6"/>
              <w:gridCol w:w="1303"/>
              <w:gridCol w:w="4354"/>
              <w:gridCol w:w="27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59" w:type="dxa"/>
                  <w:gridSpan w:val="2"/>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类别</w:t>
                  </w:r>
                </w:p>
              </w:tc>
              <w:tc>
                <w:tcPr>
                  <w:tcW w:w="4354" w:type="dxa"/>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环保设施</w:t>
                  </w:r>
                </w:p>
              </w:tc>
              <w:tc>
                <w:tcPr>
                  <w:tcW w:w="2754" w:type="dxa"/>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6" w:type="dxa"/>
                  <w:vMerge w:val="restart"/>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废水</w:t>
                  </w:r>
                </w:p>
              </w:tc>
              <w:tc>
                <w:tcPr>
                  <w:tcW w:w="1303" w:type="dxa"/>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清洗废水</w:t>
                  </w:r>
                </w:p>
              </w:tc>
              <w:tc>
                <w:tcPr>
                  <w:tcW w:w="4354" w:type="dxa"/>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隔油池 1 座（包含沉淀池）</w:t>
                  </w:r>
                </w:p>
              </w:tc>
              <w:tc>
                <w:tcPr>
                  <w:tcW w:w="2754" w:type="dxa"/>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站区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6" w:type="dxa"/>
                  <w:vMerge w:val="continue"/>
                  <w:tcBorders>
                    <w:tl2br w:val="nil"/>
                    <w:tr2bl w:val="nil"/>
                  </w:tcBorders>
                  <w:shd w:val="clear" w:color="auto" w:fill="auto"/>
                  <w:vAlign w:val="center"/>
                </w:tcPr>
                <w:p>
                  <w:pPr>
                    <w:pStyle w:val="141"/>
                    <w:rPr>
                      <w:rFonts w:hint="default" w:ascii="Times New Roman" w:hAnsi="Times New Roman" w:cs="Times New Roman"/>
                    </w:rPr>
                  </w:pPr>
                </w:p>
              </w:tc>
              <w:tc>
                <w:tcPr>
                  <w:tcW w:w="1303" w:type="dxa"/>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生活污水</w:t>
                  </w:r>
                </w:p>
              </w:tc>
              <w:tc>
                <w:tcPr>
                  <w:tcW w:w="4354" w:type="dxa"/>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化粪池 1 座</w:t>
                  </w:r>
                </w:p>
              </w:tc>
              <w:tc>
                <w:tcPr>
                  <w:tcW w:w="2754" w:type="dxa"/>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站区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6" w:type="dxa"/>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废气</w:t>
                  </w:r>
                </w:p>
              </w:tc>
              <w:tc>
                <w:tcPr>
                  <w:tcW w:w="1303" w:type="dxa"/>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油气</w:t>
                  </w:r>
                </w:p>
              </w:tc>
              <w:tc>
                <w:tcPr>
                  <w:tcW w:w="4354" w:type="dxa"/>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油气回收系统；加油枪为自封式加油枪，带截断阀</w:t>
                  </w:r>
                </w:p>
              </w:tc>
              <w:tc>
                <w:tcPr>
                  <w:tcW w:w="2754" w:type="dxa"/>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储油区、加油机、罐区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6" w:type="dxa"/>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噪声</w:t>
                  </w:r>
                </w:p>
              </w:tc>
              <w:tc>
                <w:tcPr>
                  <w:tcW w:w="1303" w:type="dxa"/>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设备噪声、车辆噪声</w:t>
                  </w:r>
                </w:p>
              </w:tc>
              <w:tc>
                <w:tcPr>
                  <w:tcW w:w="4354" w:type="dxa"/>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减震、隔音、加强设备维护等综合降噪措施</w:t>
                  </w:r>
                </w:p>
              </w:tc>
              <w:tc>
                <w:tcPr>
                  <w:tcW w:w="2754" w:type="dxa"/>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站区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6" w:type="dxa"/>
                  <w:vMerge w:val="restart"/>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固废</w:t>
                  </w:r>
                </w:p>
              </w:tc>
              <w:tc>
                <w:tcPr>
                  <w:tcW w:w="1303" w:type="dxa"/>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废含油抹布、废油、油泥</w:t>
                  </w:r>
                </w:p>
              </w:tc>
              <w:tc>
                <w:tcPr>
                  <w:tcW w:w="4354" w:type="dxa"/>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交有资质的单位收集处置</w:t>
                  </w:r>
                </w:p>
              </w:tc>
              <w:tc>
                <w:tcPr>
                  <w:tcW w:w="2754" w:type="dxa"/>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储油区、隔油池、罩棚、站房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6" w:type="dxa"/>
                  <w:vMerge w:val="continue"/>
                  <w:tcBorders>
                    <w:tl2br w:val="nil"/>
                    <w:tr2bl w:val="nil"/>
                  </w:tcBorders>
                  <w:shd w:val="clear" w:color="auto" w:fill="auto"/>
                  <w:vAlign w:val="center"/>
                </w:tcPr>
                <w:p>
                  <w:pPr>
                    <w:pStyle w:val="141"/>
                    <w:rPr>
                      <w:rFonts w:hint="default" w:ascii="Times New Roman" w:hAnsi="Times New Roman" w:cs="Times New Roman"/>
                    </w:rPr>
                  </w:pPr>
                </w:p>
              </w:tc>
              <w:tc>
                <w:tcPr>
                  <w:tcW w:w="1303" w:type="dxa"/>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生活垃圾</w:t>
                  </w:r>
                </w:p>
              </w:tc>
              <w:tc>
                <w:tcPr>
                  <w:tcW w:w="4354" w:type="dxa"/>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站内设有垃圾桶，收集的生活垃圾定期由环卫部门收集处理</w:t>
                  </w:r>
                </w:p>
              </w:tc>
              <w:tc>
                <w:tcPr>
                  <w:tcW w:w="2754" w:type="dxa"/>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站房、辅助用房及加油罩棚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56" w:type="dxa"/>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环境风险</w:t>
                  </w:r>
                </w:p>
              </w:tc>
              <w:tc>
                <w:tcPr>
                  <w:tcW w:w="1303" w:type="dxa"/>
                  <w:tcBorders>
                    <w:tl2br w:val="nil"/>
                    <w:tr2bl w:val="nil"/>
                  </w:tcBorders>
                  <w:shd w:val="clear" w:color="auto" w:fill="auto"/>
                  <w:vAlign w:val="center"/>
                </w:tcPr>
                <w:p>
                  <w:pPr>
                    <w:pStyle w:val="141"/>
                    <w:rPr>
                      <w:rFonts w:hint="default" w:ascii="Times New Roman" w:hAnsi="Times New Roman" w:cs="Times New Roman"/>
                      <w:sz w:val="22"/>
                      <w:szCs w:val="22"/>
                    </w:rPr>
                  </w:pPr>
                  <w:r>
                    <w:rPr>
                      <w:rFonts w:hint="default" w:ascii="Times New Roman" w:hAnsi="Times New Roman" w:cs="Times New Roman"/>
                      <w:sz w:val="22"/>
                      <w:szCs w:val="22"/>
                    </w:rPr>
                    <w:t>泄露、火灾、爆炸</w:t>
                  </w:r>
                </w:p>
              </w:tc>
              <w:tc>
                <w:tcPr>
                  <w:tcW w:w="4354" w:type="dxa"/>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对员工进行培训，规范卸油和加油作业；储油区地面防渗处理；防静电防雷装置；火灾报警装置等</w:t>
                  </w:r>
                </w:p>
              </w:tc>
              <w:tc>
                <w:tcPr>
                  <w:tcW w:w="2754" w:type="dxa"/>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储油区、加油罩棚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59" w:type="dxa"/>
                  <w:gridSpan w:val="2"/>
                  <w:vMerge w:val="restart"/>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地下水防治</w:t>
                  </w:r>
                </w:p>
              </w:tc>
              <w:tc>
                <w:tcPr>
                  <w:tcW w:w="6979" w:type="dxa"/>
                  <w:gridSpan w:val="2"/>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油罐、管道均按照设计规范进行设计、施工，能有效的防止油品渗漏。钢制油罐设带有高液位报警功能的液位监测系统，并具备渗漏检测功能。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59" w:type="dxa"/>
                  <w:gridSpan w:val="2"/>
                  <w:vMerge w:val="continue"/>
                  <w:tcBorders>
                    <w:tl2br w:val="nil"/>
                    <w:tr2bl w:val="nil"/>
                  </w:tcBorders>
                  <w:shd w:val="clear" w:color="auto" w:fill="auto"/>
                  <w:vAlign w:val="center"/>
                </w:tcPr>
                <w:p>
                  <w:pPr>
                    <w:pStyle w:val="141"/>
                    <w:rPr>
                      <w:rFonts w:hint="default" w:ascii="Times New Roman" w:hAnsi="Times New Roman" w:cs="Times New Roman"/>
                    </w:rPr>
                  </w:pPr>
                </w:p>
              </w:tc>
              <w:tc>
                <w:tcPr>
                  <w:tcW w:w="6979" w:type="dxa"/>
                  <w:gridSpan w:val="2"/>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加油区设置罩棚，地面采取混凝土硬化处理。 环评要求加强站内地面的维护，防止地面破损。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75" w:hRule="atLeast"/>
                <w:jc w:val="center"/>
              </w:trPr>
              <w:tc>
                <w:tcPr>
                  <w:tcW w:w="1959" w:type="dxa"/>
                  <w:gridSpan w:val="2"/>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环境风险</w:t>
                  </w:r>
                </w:p>
              </w:tc>
              <w:tc>
                <w:tcPr>
                  <w:tcW w:w="6979" w:type="dxa"/>
                  <w:gridSpan w:val="2"/>
                  <w:tcBorders>
                    <w:tl2br w:val="nil"/>
                    <w:tr2bl w:val="nil"/>
                  </w:tcBorders>
                  <w:shd w:val="clear" w:color="auto" w:fill="auto"/>
                  <w:vAlign w:val="center"/>
                </w:tcPr>
                <w:p>
                  <w:pPr>
                    <w:pStyle w:val="141"/>
                    <w:rPr>
                      <w:rFonts w:hint="default" w:ascii="Times New Roman" w:hAnsi="Times New Roman" w:eastAsia="等线" w:cs="Times New Roman"/>
                    </w:rPr>
                  </w:pPr>
                  <w:r>
                    <w:rPr>
                      <w:rFonts w:hint="default" w:ascii="Times New Roman" w:hAnsi="Times New Roman" w:eastAsia="等线" w:cs="Times New Roman"/>
                    </w:rPr>
                    <w:t>1、</w:t>
                  </w:r>
                  <w:r>
                    <w:rPr>
                      <w:rFonts w:hint="default" w:ascii="Times New Roman" w:hAnsi="Times New Roman" w:cs="Times New Roman"/>
                    </w:rPr>
                    <w:t>总图平面布置上严格按照《汽车加油加气站设计与施工规范》（GB50156-2012）（2014 年版）的要求进行设计，站内设施之间的间距以及站内设施和站外建构筑物的距离均须满足防火间距的相关要求，符合安全部门相关要求；</w:t>
                  </w:r>
                  <w:r>
                    <w:rPr>
                      <w:rFonts w:hint="default" w:ascii="Times New Roman" w:hAnsi="Times New Roman" w:eastAsia="等线" w:cs="Times New Roman"/>
                    </w:rPr>
                    <w:t>2、</w:t>
                  </w:r>
                  <w:r>
                    <w:rPr>
                      <w:rFonts w:hint="default" w:ascii="Times New Roman" w:hAnsi="Times New Roman" w:eastAsia="等线" w:cs="Times New Roman"/>
                      <w:sz w:val="14"/>
                      <w:szCs w:val="14"/>
                    </w:rPr>
                    <w:t> </w:t>
                  </w:r>
                  <w:r>
                    <w:rPr>
                      <w:rFonts w:hint="default" w:ascii="Times New Roman" w:hAnsi="Times New Roman" w:cs="Times New Roman"/>
                    </w:rPr>
                    <w:t>按照规范要求配备消防器材：手提式干粉灭火器，推车式干粉灭火器，消防沙，灭火毯等；</w:t>
                  </w:r>
                  <w:r>
                    <w:rPr>
                      <w:rFonts w:hint="default" w:ascii="Times New Roman" w:hAnsi="Times New Roman" w:eastAsia="等线" w:cs="Times New Roman"/>
                    </w:rPr>
                    <w:t>3、</w:t>
                  </w:r>
                  <w:r>
                    <w:rPr>
                      <w:rFonts w:hint="default" w:ascii="Times New Roman" w:hAnsi="Times New Roman" w:cs="Times New Roman"/>
                    </w:rPr>
                    <w:t>制定突发性事故应急预案。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938" w:type="dxa"/>
                  <w:gridSpan w:val="4"/>
                  <w:tcBorders>
                    <w:tl2br w:val="nil"/>
                    <w:tr2bl w:val="nil"/>
                  </w:tcBorders>
                  <w:shd w:val="clear" w:color="auto" w:fill="auto"/>
                  <w:vAlign w:val="center"/>
                </w:tcPr>
                <w:p>
                  <w:pPr>
                    <w:pStyle w:val="141"/>
                    <w:rPr>
                      <w:rFonts w:hint="default" w:ascii="Times New Roman" w:hAnsi="Times New Roman" w:cs="Times New Roman"/>
                    </w:rPr>
                  </w:pPr>
                  <w:r>
                    <w:rPr>
                      <w:rFonts w:hint="default" w:ascii="Times New Roman" w:hAnsi="Times New Roman" w:cs="Times New Roman"/>
                    </w:rPr>
                    <w:t>进度：与主体工程同时设计、同时施工、同时投产</w:t>
                  </w:r>
                </w:p>
              </w:tc>
            </w:tr>
          </w:tbl>
          <w:p>
            <w:pPr>
              <w:pStyle w:val="148"/>
              <w:rPr>
                <w:rFonts w:hint="default" w:ascii="Times New Roman" w:hAnsi="Times New Roman" w:cs="Times New Roman"/>
              </w:rPr>
            </w:pPr>
            <w:r>
              <w:rPr>
                <w:rFonts w:hint="default" w:ascii="Times New Roman" w:hAnsi="Times New Roman" w:cs="Times New Roman"/>
              </w:rPr>
              <w:t>注：1、隔油池、化粪池位置见附图 3。</w:t>
            </w:r>
          </w:p>
          <w:p>
            <w:pPr>
              <w:pStyle w:val="148"/>
              <w:rPr>
                <w:rFonts w:hint="default" w:ascii="Times New Roman" w:hAnsi="Times New Roman" w:cs="Times New Roman"/>
              </w:rPr>
            </w:pPr>
            <w:r>
              <w:rPr>
                <w:rFonts w:hint="default" w:ascii="Times New Roman" w:hAnsi="Times New Roman" w:cs="Times New Roman"/>
              </w:rPr>
              <w:t>2、若发生火灾、油品泄漏等事故，采用泡沫灭火器、消防沙覆盖等方式处理，不会产生消防水。综上，本项目不设事故应急池。</w:t>
            </w:r>
          </w:p>
          <w:p>
            <w:pPr>
              <w:pStyle w:val="161"/>
              <w:rPr>
                <w:rFonts w:hint="default" w:ascii="Times New Roman" w:hAnsi="Times New Roman" w:cs="Times New Roman"/>
              </w:rPr>
            </w:pPr>
            <w:r>
              <w:rPr>
                <w:rFonts w:hint="default" w:ascii="Times New Roman" w:hAnsi="Times New Roman" w:cs="Times New Roman"/>
              </w:rPr>
              <w:t>九、总量控制</w:t>
            </w:r>
          </w:p>
          <w:p>
            <w:pPr>
              <w:pStyle w:val="137"/>
              <w:ind w:firstLine="480"/>
              <w:rPr>
                <w:rFonts w:hint="default" w:ascii="Times New Roman" w:hAnsi="Times New Roman" w:cs="Times New Roman"/>
              </w:rPr>
            </w:pPr>
            <w:r>
              <w:rPr>
                <w:rFonts w:hint="default" w:ascii="Times New Roman" w:hAnsi="Times New Roman" w:cs="Times New Roman"/>
              </w:rPr>
              <w:t>污染物排放实施总量控制是执行环保管理目标责任制的基本原则之一。本环评结合环保管理要求，对项目主要污染物的排放量进行总量控制分析。本项目</w:t>
            </w:r>
            <w:r>
              <w:rPr>
                <w:rFonts w:hint="default" w:ascii="Times New Roman" w:hAnsi="Times New Roman" w:cs="Times New Roman"/>
                <w:spacing w:val="-7"/>
                <w:position w:val="2"/>
              </w:rPr>
              <w:t>总量控制指标为非甲烷总烃：</w:t>
            </w:r>
            <w:r>
              <w:rPr>
                <w:rFonts w:hint="default" w:ascii="Times New Roman" w:hAnsi="Times New Roman" w:cs="Times New Roman"/>
              </w:rPr>
              <w:t>33.14kg/a。</w:t>
            </w:r>
          </w:p>
          <w:p>
            <w:pPr>
              <w:pStyle w:val="161"/>
              <w:rPr>
                <w:rFonts w:hint="default" w:ascii="Times New Roman" w:hAnsi="Times New Roman" w:cs="Times New Roman"/>
              </w:rPr>
            </w:pPr>
            <w:r>
              <w:rPr>
                <w:rFonts w:hint="default" w:ascii="Times New Roman" w:hAnsi="Times New Roman" w:cs="Times New Roman"/>
              </w:rPr>
              <w:t>十、环境管理和监测计划</w:t>
            </w:r>
          </w:p>
          <w:p>
            <w:pPr>
              <w:pStyle w:val="137"/>
              <w:ind w:firstLine="480"/>
              <w:rPr>
                <w:rFonts w:hint="default" w:ascii="Times New Roman" w:hAnsi="Times New Roman" w:cs="Times New Roman"/>
              </w:rPr>
            </w:pPr>
            <w:r>
              <w:rPr>
                <w:rFonts w:hint="default" w:ascii="Times New Roman" w:hAnsi="Times New Roman" w:cs="Times New Roman"/>
              </w:rPr>
              <w:t>1、大气污染源监测</w:t>
            </w:r>
          </w:p>
          <w:p>
            <w:pPr>
              <w:pStyle w:val="137"/>
              <w:ind w:firstLine="480"/>
              <w:rPr>
                <w:rFonts w:hint="default" w:ascii="Times New Roman" w:hAnsi="Times New Roman" w:cs="Times New Roman"/>
              </w:rPr>
            </w:pPr>
            <w:r>
              <w:rPr>
                <w:rFonts w:hint="default" w:ascii="Times New Roman" w:hAnsi="Times New Roman" w:cs="Times New Roman"/>
              </w:rPr>
              <w:t>（1）无组织</w:t>
            </w:r>
          </w:p>
          <w:p>
            <w:pPr>
              <w:pStyle w:val="137"/>
              <w:ind w:firstLine="480"/>
              <w:rPr>
                <w:rFonts w:hint="default" w:ascii="Times New Roman" w:hAnsi="Times New Roman" w:cs="Times New Roman"/>
              </w:rPr>
            </w:pPr>
            <w:r>
              <w:rPr>
                <w:rFonts w:hint="default" w:ascii="Times New Roman" w:hAnsi="Times New Roman" w:cs="Times New Roman"/>
              </w:rPr>
              <w:t>无组织监控监测点布设：厂界上风向设一个点，下风向设三个点。</w:t>
            </w:r>
          </w:p>
          <w:p>
            <w:pPr>
              <w:pStyle w:val="137"/>
              <w:ind w:firstLine="480"/>
              <w:rPr>
                <w:rFonts w:hint="default" w:ascii="Times New Roman" w:hAnsi="Times New Roman" w:cs="Times New Roman"/>
              </w:rPr>
            </w:pPr>
            <w:r>
              <w:rPr>
                <w:rFonts w:hint="default" w:ascii="Times New Roman" w:hAnsi="Times New Roman" w:cs="Times New Roman"/>
              </w:rPr>
              <w:t>无组织监控监测项目：非甲烷总烃。</w:t>
            </w:r>
          </w:p>
          <w:p>
            <w:pPr>
              <w:pStyle w:val="137"/>
              <w:ind w:firstLine="480"/>
              <w:rPr>
                <w:rFonts w:hint="default" w:ascii="Times New Roman" w:hAnsi="Times New Roman" w:cs="Times New Roman"/>
              </w:rPr>
            </w:pPr>
            <w:r>
              <w:rPr>
                <w:rFonts w:hint="default" w:ascii="Times New Roman" w:hAnsi="Times New Roman" w:cs="Times New Roman"/>
              </w:rPr>
              <w:t>监测频次：至少每年监测一次。</w:t>
            </w:r>
          </w:p>
          <w:p>
            <w:pPr>
              <w:pStyle w:val="137"/>
              <w:ind w:firstLine="480"/>
              <w:rPr>
                <w:rFonts w:hint="default" w:ascii="Times New Roman" w:hAnsi="Times New Roman" w:cs="Times New Roman"/>
              </w:rPr>
            </w:pPr>
            <w:r>
              <w:rPr>
                <w:rFonts w:hint="default" w:ascii="Times New Roman" w:hAnsi="Times New Roman" w:cs="Times New Roman"/>
              </w:rPr>
              <w:t>监测采样及分析方法：《环境监测技术规范》和《空气和废气监测分析方法》。</w:t>
            </w:r>
          </w:p>
          <w:p>
            <w:pPr>
              <w:pStyle w:val="137"/>
              <w:ind w:firstLine="480"/>
              <w:rPr>
                <w:rFonts w:hint="default" w:ascii="Times New Roman" w:hAnsi="Times New Roman" w:cs="Times New Roman"/>
              </w:rPr>
            </w:pPr>
            <w:r>
              <w:rPr>
                <w:rFonts w:hint="default" w:ascii="Times New Roman" w:hAnsi="Times New Roman" w:cs="Times New Roman"/>
              </w:rPr>
              <w:t>（2）加油站油气回收系统</w:t>
            </w:r>
          </w:p>
          <w:p>
            <w:pPr>
              <w:pStyle w:val="137"/>
              <w:ind w:firstLine="480"/>
              <w:rPr>
                <w:rFonts w:hint="default" w:ascii="Times New Roman" w:hAnsi="Times New Roman" w:cs="Times New Roman"/>
              </w:rPr>
            </w:pPr>
            <w:r>
              <w:rPr>
                <w:rFonts w:hint="default" w:ascii="Times New Roman" w:hAnsi="Times New Roman" w:cs="Times New Roman"/>
              </w:rPr>
              <w:t>加油站油气回收系统液阻、密闭性、气液比等每年至少检测 1 次，检测方法按《加油站大气污染物排放标准》（GB20952-2007）相关要求执行。</w:t>
            </w:r>
          </w:p>
          <w:p>
            <w:pPr>
              <w:pStyle w:val="137"/>
              <w:ind w:firstLine="480"/>
              <w:rPr>
                <w:rFonts w:hint="default" w:ascii="Times New Roman" w:hAnsi="Times New Roman" w:cs="Times New Roman"/>
              </w:rPr>
            </w:pPr>
            <w:r>
              <w:rPr>
                <w:rFonts w:hint="default" w:ascii="Times New Roman" w:hAnsi="Times New Roman" w:cs="Times New Roman"/>
              </w:rPr>
              <w:t>2、噪声监测</w:t>
            </w:r>
          </w:p>
          <w:p>
            <w:pPr>
              <w:pStyle w:val="137"/>
              <w:ind w:firstLine="480"/>
              <w:rPr>
                <w:rFonts w:hint="default" w:ascii="Times New Roman" w:hAnsi="Times New Roman" w:cs="Times New Roman"/>
              </w:rPr>
            </w:pPr>
            <w:r>
              <w:rPr>
                <w:rFonts w:hint="default" w:ascii="Times New Roman" w:hAnsi="Times New Roman" w:cs="Times New Roman"/>
              </w:rPr>
              <w:t>监测点布设：厂区四周布设4个监测点（与现状监测点位相同）。测量等效连续 A 声级。</w:t>
            </w:r>
          </w:p>
          <w:p>
            <w:pPr>
              <w:pStyle w:val="137"/>
              <w:ind w:firstLine="480"/>
              <w:rPr>
                <w:rFonts w:hint="default" w:ascii="Times New Roman" w:hAnsi="Times New Roman" w:cs="Times New Roman"/>
              </w:rPr>
            </w:pPr>
            <w:r>
              <w:rPr>
                <w:rFonts w:hint="default" w:ascii="Times New Roman" w:hAnsi="Times New Roman" w:cs="Times New Roman"/>
              </w:rPr>
              <w:t>监测时间和频次：每季度监测一次，每次分昼间和夜间进行。监测采样及分析方法：《环境监测技术规范》。</w:t>
            </w:r>
          </w:p>
          <w:p>
            <w:pPr>
              <w:pStyle w:val="137"/>
              <w:ind w:firstLine="480"/>
              <w:rPr>
                <w:rFonts w:hint="default" w:ascii="Times New Roman" w:hAnsi="Times New Roman" w:cs="Times New Roman"/>
              </w:rPr>
            </w:pPr>
            <w:r>
              <w:rPr>
                <w:rFonts w:hint="default" w:ascii="Times New Roman" w:hAnsi="Times New Roman" w:cs="Times New Roman"/>
              </w:rPr>
              <w:t>3、地下水监测</w:t>
            </w:r>
          </w:p>
          <w:p>
            <w:pPr>
              <w:pStyle w:val="137"/>
              <w:ind w:firstLine="480"/>
              <w:rPr>
                <w:rFonts w:hint="default" w:ascii="Times New Roman" w:hAnsi="Times New Roman" w:cs="Times New Roman"/>
              </w:rPr>
            </w:pPr>
            <w:r>
              <w:rPr>
                <w:rFonts w:hint="default" w:ascii="Times New Roman" w:hAnsi="Times New Roman" w:cs="Times New Roman"/>
              </w:rPr>
              <w:t>监测点布设：潜水含水层3个点，建设项目场地及其下游影响区各</w:t>
            </w:r>
            <w:r>
              <w:rPr>
                <w:rFonts w:hint="default" w:ascii="Times New Roman" w:hAnsi="Times New Roman" w:eastAsia="Times New Roman" w:cs="Times New Roman"/>
              </w:rPr>
              <w:t>1</w:t>
            </w:r>
            <w:r>
              <w:rPr>
                <w:rFonts w:hint="default" w:ascii="Times New Roman" w:hAnsi="Times New Roman" w:cs="Times New Roman"/>
              </w:rPr>
              <w:t>个点。</w:t>
            </w:r>
          </w:p>
          <w:p>
            <w:pPr>
              <w:pStyle w:val="137"/>
              <w:ind w:firstLine="480"/>
              <w:rPr>
                <w:rFonts w:hint="default" w:ascii="Times New Roman" w:hAnsi="Times New Roman" w:cs="Times New Roman"/>
              </w:rPr>
            </w:pPr>
            <w:r>
              <w:rPr>
                <w:rFonts w:hint="default" w:ascii="Times New Roman" w:hAnsi="Times New Roman" w:cs="Times New Roman"/>
              </w:rPr>
              <w:t>监测项目：</w:t>
            </w:r>
            <w:r>
              <w:rPr>
                <w:rFonts w:hint="default" w:ascii="Times New Roman" w:hAnsi="Times New Roman" w:eastAsia="Times New Roman" w:cs="Times New Roman"/>
              </w:rPr>
              <w:t>K</w:t>
            </w:r>
            <w:r>
              <w:rPr>
                <w:rFonts w:hint="default" w:ascii="Times New Roman" w:hAnsi="Times New Roman" w:eastAsia="Times New Roman" w:cs="Times New Roman"/>
                <w:vertAlign w:val="superscript"/>
              </w:rPr>
              <w:t>+</w:t>
            </w:r>
            <w:r>
              <w:rPr>
                <w:rFonts w:hint="default" w:ascii="Times New Roman" w:hAnsi="Times New Roman" w:cs="Times New Roman"/>
              </w:rPr>
              <w:t>、</w:t>
            </w:r>
            <w:r>
              <w:rPr>
                <w:rFonts w:hint="default" w:ascii="Times New Roman" w:hAnsi="Times New Roman" w:eastAsia="Times New Roman" w:cs="Times New Roman"/>
              </w:rPr>
              <w:t>Na</w:t>
            </w:r>
            <w:r>
              <w:rPr>
                <w:rFonts w:hint="default" w:ascii="Times New Roman" w:hAnsi="Times New Roman" w:eastAsia="Times New Roman" w:cs="Times New Roman"/>
                <w:vertAlign w:val="superscript"/>
              </w:rPr>
              <w:t>+</w:t>
            </w:r>
            <w:r>
              <w:rPr>
                <w:rFonts w:hint="default" w:ascii="Times New Roman" w:hAnsi="Times New Roman" w:cs="Times New Roman"/>
              </w:rPr>
              <w:t>、</w:t>
            </w:r>
            <w:r>
              <w:rPr>
                <w:rFonts w:hint="default" w:ascii="Times New Roman" w:hAnsi="Times New Roman" w:eastAsia="Times New Roman" w:cs="Times New Roman"/>
              </w:rPr>
              <w:t>Ca</w:t>
            </w:r>
            <w:r>
              <w:rPr>
                <w:rFonts w:hint="default" w:ascii="Times New Roman" w:hAnsi="Times New Roman" w:eastAsia="Times New Roman" w:cs="Times New Roman"/>
                <w:vertAlign w:val="superscript"/>
              </w:rPr>
              <w:t>2+</w:t>
            </w:r>
            <w:r>
              <w:rPr>
                <w:rFonts w:hint="default" w:ascii="Times New Roman" w:hAnsi="Times New Roman" w:cs="Times New Roman"/>
              </w:rPr>
              <w:t>、</w:t>
            </w:r>
            <w:r>
              <w:rPr>
                <w:rFonts w:hint="default" w:ascii="Times New Roman" w:hAnsi="Times New Roman" w:eastAsia="Times New Roman" w:cs="Times New Roman"/>
              </w:rPr>
              <w:t>Mg</w:t>
            </w:r>
            <w:r>
              <w:rPr>
                <w:rFonts w:hint="default" w:ascii="Times New Roman" w:hAnsi="Times New Roman" w:eastAsia="Times New Roman" w:cs="Times New Roman"/>
                <w:vertAlign w:val="superscript"/>
              </w:rPr>
              <w:t>2+</w:t>
            </w:r>
            <w:r>
              <w:rPr>
                <w:rFonts w:hint="default" w:ascii="Times New Roman" w:hAnsi="Times New Roman" w:cs="Times New Roman"/>
              </w:rPr>
              <w:t>、</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3</w:t>
            </w:r>
            <w:r>
              <w:rPr>
                <w:rFonts w:hint="default" w:ascii="Times New Roman" w:hAnsi="Times New Roman" w:eastAsia="Times New Roman" w:cs="Times New Roman"/>
                <w:vertAlign w:val="superscript"/>
              </w:rPr>
              <w:t>2-</w:t>
            </w:r>
            <w:r>
              <w:rPr>
                <w:rFonts w:hint="default" w:ascii="Times New Roman" w:hAnsi="Times New Roman" w:cs="Times New Roman"/>
              </w:rPr>
              <w:t>、</w:t>
            </w:r>
            <w:r>
              <w:rPr>
                <w:rFonts w:hint="default" w:ascii="Times New Roman" w:hAnsi="Times New Roman" w:eastAsia="Times New Roman" w:cs="Times New Roman"/>
              </w:rPr>
              <w:t>HCO</w:t>
            </w:r>
            <w:r>
              <w:rPr>
                <w:rFonts w:hint="default" w:ascii="Times New Roman" w:hAnsi="Times New Roman" w:eastAsia="Times New Roman" w:cs="Times New Roman"/>
                <w:vertAlign w:val="superscript"/>
              </w:rPr>
              <w:t>3-</w:t>
            </w:r>
            <w:r>
              <w:rPr>
                <w:rFonts w:hint="default" w:ascii="Times New Roman" w:hAnsi="Times New Roman" w:cs="Times New Roman"/>
              </w:rPr>
              <w:t>、</w:t>
            </w:r>
            <w:r>
              <w:rPr>
                <w:rFonts w:hint="default" w:ascii="Times New Roman" w:hAnsi="Times New Roman" w:eastAsia="Times New Roman" w:cs="Times New Roman"/>
              </w:rPr>
              <w:t>Cl</w:t>
            </w:r>
            <w:r>
              <w:rPr>
                <w:rFonts w:hint="default" w:ascii="Times New Roman" w:hAnsi="Times New Roman" w:eastAsia="Times New Roman" w:cs="Times New Roman"/>
                <w:vertAlign w:val="superscript"/>
              </w:rPr>
              <w:t>-</w:t>
            </w:r>
            <w:r>
              <w:rPr>
                <w:rFonts w:hint="default" w:ascii="Times New Roman" w:hAnsi="Times New Roman" w:cs="Times New Roman"/>
              </w:rPr>
              <w:t>、</w:t>
            </w:r>
            <w:r>
              <w:rPr>
                <w:rFonts w:hint="default" w:ascii="Times New Roman" w:hAnsi="Times New Roman" w:eastAsia="Times New Roman" w:cs="Times New Roman"/>
              </w:rPr>
              <w:t>SO</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vertAlign w:val="superscript"/>
              </w:rPr>
              <w:t xml:space="preserve">2- </w:t>
            </w:r>
            <w:r>
              <w:rPr>
                <w:rFonts w:hint="default" w:ascii="Times New Roman" w:hAnsi="Times New Roman" w:cs="Times New Roman"/>
              </w:rPr>
              <w:t>浓度、石油类、</w:t>
            </w:r>
            <w:r>
              <w:rPr>
                <w:rFonts w:hint="default" w:ascii="Times New Roman" w:hAnsi="Times New Roman" w:eastAsia="Times New Roman" w:cs="Times New Roman"/>
              </w:rPr>
              <w:t>pH</w:t>
            </w:r>
            <w:r>
              <w:rPr>
                <w:rFonts w:hint="default" w:ascii="Times New Roman" w:hAnsi="Times New Roman" w:cs="Times New Roman"/>
              </w:rPr>
              <w:t>、氨氮、硝酸盐、亚硝酸盐、挥发性酚类、氰化物、砷、汞、铬</w:t>
            </w:r>
            <w:r>
              <w:rPr>
                <w:rFonts w:hint="default" w:ascii="Times New Roman" w:hAnsi="Times New Roman" w:eastAsia="Times New Roman" w:cs="Times New Roman"/>
              </w:rPr>
              <w:t>(</w:t>
            </w:r>
            <w:r>
              <w:rPr>
                <w:rFonts w:hint="default" w:ascii="Times New Roman" w:hAnsi="Times New Roman" w:cs="Times New Roman"/>
              </w:rPr>
              <w:t>六价</w:t>
            </w:r>
            <w:r>
              <w:rPr>
                <w:rFonts w:hint="default" w:ascii="Times New Roman" w:hAnsi="Times New Roman" w:eastAsia="Times New Roman" w:cs="Times New Roman"/>
              </w:rPr>
              <w:t>)</w:t>
            </w:r>
            <w:r>
              <w:rPr>
                <w:rFonts w:hint="default" w:ascii="Times New Roman" w:hAnsi="Times New Roman" w:cs="Times New Roman"/>
              </w:rPr>
              <w:t>、总硬度、铅、氟、镉、铁、锰、溶解性总固体、高锰酸盐指数、硫酸盐、氯化物等。</w:t>
            </w:r>
          </w:p>
          <w:p>
            <w:pPr>
              <w:pStyle w:val="137"/>
              <w:ind w:firstLine="480"/>
              <w:rPr>
                <w:rFonts w:hint="default" w:ascii="Times New Roman" w:hAnsi="Times New Roman" w:cs="Times New Roman"/>
              </w:rPr>
            </w:pPr>
            <w:r>
              <w:rPr>
                <w:rFonts w:hint="default" w:ascii="Times New Roman" w:hAnsi="Times New Roman" w:cs="Times New Roman"/>
              </w:rPr>
              <w:t>监测时间和频次：每三年监测一期。监测采样及分析方法：《环境监测技术规范》。</w:t>
            </w:r>
          </w:p>
          <w:p>
            <w:pPr>
              <w:pStyle w:val="143"/>
              <w:spacing w:before="156"/>
              <w:rPr>
                <w:rFonts w:hint="default" w:ascii="Times New Roman" w:hAnsi="Times New Roman" w:cs="Times New Roman"/>
                <w:bCs/>
                <w:snapToGrid w:val="0"/>
                <w:szCs w:val="21"/>
              </w:rPr>
            </w:pPr>
            <w:r>
              <w:rPr>
                <w:rFonts w:hint="default" w:ascii="Times New Roman" w:hAnsi="Times New Roman" w:cs="Times New Roman"/>
              </w:rPr>
              <w:t>表</w:t>
            </w:r>
            <w:r>
              <w:rPr>
                <w:rFonts w:hint="eastAsia" w:cs="Times New Roman"/>
                <w:lang w:val="en-US" w:eastAsia="zh-CN"/>
              </w:rPr>
              <w:t xml:space="preserve">7-28 </w:t>
            </w:r>
            <w:r>
              <w:rPr>
                <w:rFonts w:hint="default" w:ascii="Times New Roman" w:hAnsi="Times New Roman" w:cs="Times New Roman"/>
              </w:rPr>
              <w:t xml:space="preserve">   </w:t>
            </w:r>
            <w:r>
              <w:rPr>
                <w:rFonts w:hint="default" w:ascii="Times New Roman" w:hAnsi="Times New Roman" w:cs="Times New Roman"/>
                <w:bCs/>
                <w:snapToGrid w:val="0"/>
                <w:szCs w:val="21"/>
              </w:rPr>
              <w:t>监测计划一览表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1172"/>
              <w:gridCol w:w="2455"/>
              <w:gridCol w:w="709"/>
              <w:gridCol w:w="1451"/>
              <w:gridCol w:w="2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dxa"/>
                  <w:vAlign w:val="center"/>
                </w:tcPr>
                <w:p>
                  <w:pPr>
                    <w:pStyle w:val="141"/>
                    <w:rPr>
                      <w:rFonts w:hint="default" w:ascii="Times New Roman" w:hAnsi="Times New Roman" w:cs="Times New Roman"/>
                      <w:snapToGrid w:val="0"/>
                    </w:rPr>
                  </w:pPr>
                  <w:r>
                    <w:rPr>
                      <w:rFonts w:hint="default" w:ascii="Times New Roman" w:hAnsi="Times New Roman" w:cs="Times New Roman"/>
                      <w:snapToGrid w:val="0"/>
                    </w:rPr>
                    <w:t>类别</w:t>
                  </w:r>
                </w:p>
              </w:tc>
              <w:tc>
                <w:tcPr>
                  <w:tcW w:w="1172" w:type="dxa"/>
                  <w:vAlign w:val="center"/>
                </w:tcPr>
                <w:p>
                  <w:pPr>
                    <w:pStyle w:val="141"/>
                    <w:rPr>
                      <w:rFonts w:hint="default" w:ascii="Times New Roman" w:hAnsi="Times New Roman" w:cs="Times New Roman"/>
                      <w:snapToGrid w:val="0"/>
                    </w:rPr>
                  </w:pPr>
                  <w:r>
                    <w:rPr>
                      <w:rFonts w:hint="default" w:ascii="Times New Roman" w:hAnsi="Times New Roman" w:cs="Times New Roman"/>
                      <w:snapToGrid w:val="0"/>
                    </w:rPr>
                    <w:t>监测位置</w:t>
                  </w:r>
                </w:p>
              </w:tc>
              <w:tc>
                <w:tcPr>
                  <w:tcW w:w="2455" w:type="dxa"/>
                  <w:vAlign w:val="center"/>
                </w:tcPr>
                <w:p>
                  <w:pPr>
                    <w:pStyle w:val="141"/>
                    <w:rPr>
                      <w:rFonts w:hint="default" w:ascii="Times New Roman" w:hAnsi="Times New Roman" w:cs="Times New Roman"/>
                      <w:snapToGrid w:val="0"/>
                    </w:rPr>
                  </w:pPr>
                  <w:r>
                    <w:rPr>
                      <w:rFonts w:hint="default" w:ascii="Times New Roman" w:hAnsi="Times New Roman" w:cs="Times New Roman"/>
                      <w:snapToGrid w:val="0"/>
                    </w:rPr>
                    <w:t>监测项目</w:t>
                  </w:r>
                </w:p>
              </w:tc>
              <w:tc>
                <w:tcPr>
                  <w:tcW w:w="709" w:type="dxa"/>
                  <w:vAlign w:val="center"/>
                </w:tcPr>
                <w:p>
                  <w:pPr>
                    <w:pStyle w:val="141"/>
                    <w:rPr>
                      <w:rFonts w:hint="default" w:ascii="Times New Roman" w:hAnsi="Times New Roman" w:cs="Times New Roman"/>
                      <w:snapToGrid w:val="0"/>
                    </w:rPr>
                  </w:pPr>
                  <w:r>
                    <w:rPr>
                      <w:rFonts w:hint="default" w:ascii="Times New Roman" w:hAnsi="Times New Roman" w:cs="Times New Roman"/>
                      <w:snapToGrid w:val="0"/>
                    </w:rPr>
                    <w:t>监测频次</w:t>
                  </w:r>
                </w:p>
              </w:tc>
              <w:tc>
                <w:tcPr>
                  <w:tcW w:w="1451" w:type="dxa"/>
                  <w:vAlign w:val="center"/>
                </w:tcPr>
                <w:p>
                  <w:pPr>
                    <w:pStyle w:val="141"/>
                    <w:rPr>
                      <w:rFonts w:hint="default" w:ascii="Times New Roman" w:hAnsi="Times New Roman" w:cs="Times New Roman"/>
                      <w:snapToGrid w:val="0"/>
                    </w:rPr>
                  </w:pPr>
                  <w:r>
                    <w:rPr>
                      <w:rFonts w:hint="default" w:ascii="Times New Roman" w:hAnsi="Times New Roman" w:cs="Times New Roman"/>
                      <w:snapToGrid w:val="0"/>
                    </w:rPr>
                    <w:t>实施单位</w:t>
                  </w:r>
                </w:p>
              </w:tc>
              <w:tc>
                <w:tcPr>
                  <w:tcW w:w="2682" w:type="dxa"/>
                  <w:vAlign w:val="center"/>
                </w:tcPr>
                <w:p>
                  <w:pPr>
                    <w:pStyle w:val="141"/>
                    <w:rPr>
                      <w:rFonts w:hint="default" w:ascii="Times New Roman" w:hAnsi="Times New Roman" w:cs="Times New Roman"/>
                      <w:snapToGrid w:val="0"/>
                    </w:rPr>
                  </w:pPr>
                  <w:r>
                    <w:rPr>
                      <w:rFonts w:hint="default" w:ascii="Times New Roman" w:hAnsi="Times New Roman" w:cs="Times New Roman"/>
                      <w:snapToGrid w:val="0"/>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dxa"/>
                  <w:vAlign w:val="center"/>
                </w:tcPr>
                <w:p>
                  <w:pPr>
                    <w:pStyle w:val="141"/>
                    <w:rPr>
                      <w:rFonts w:hint="default" w:ascii="Times New Roman" w:hAnsi="Times New Roman" w:cs="Times New Roman"/>
                      <w:snapToGrid w:val="0"/>
                    </w:rPr>
                  </w:pPr>
                  <w:r>
                    <w:rPr>
                      <w:rFonts w:hint="default" w:ascii="Times New Roman" w:hAnsi="Times New Roman" w:cs="Times New Roman"/>
                      <w:snapToGrid w:val="0"/>
                    </w:rPr>
                    <w:t>大气</w:t>
                  </w:r>
                </w:p>
              </w:tc>
              <w:tc>
                <w:tcPr>
                  <w:tcW w:w="1172" w:type="dxa"/>
                  <w:vAlign w:val="center"/>
                </w:tcPr>
                <w:p>
                  <w:pPr>
                    <w:pStyle w:val="141"/>
                    <w:rPr>
                      <w:rFonts w:hint="default" w:ascii="Times New Roman" w:hAnsi="Times New Roman" w:cs="Times New Roman"/>
                      <w:snapToGrid w:val="0"/>
                    </w:rPr>
                  </w:pPr>
                  <w:r>
                    <w:rPr>
                      <w:rFonts w:hint="default" w:ascii="Times New Roman" w:hAnsi="Times New Roman" w:cs="Times New Roman"/>
                      <w:snapToGrid w:val="0"/>
                    </w:rPr>
                    <w:t>厂界上风向设一个点，下风向设三个点</w:t>
                  </w:r>
                </w:p>
              </w:tc>
              <w:tc>
                <w:tcPr>
                  <w:tcW w:w="2455" w:type="dxa"/>
                  <w:vAlign w:val="center"/>
                </w:tcPr>
                <w:p>
                  <w:pPr>
                    <w:pStyle w:val="141"/>
                    <w:rPr>
                      <w:rFonts w:hint="default" w:ascii="Times New Roman" w:hAnsi="Times New Roman" w:cs="Times New Roman"/>
                    </w:rPr>
                  </w:pPr>
                  <w:r>
                    <w:rPr>
                      <w:rFonts w:hint="default" w:ascii="Times New Roman" w:hAnsi="Times New Roman" w:cs="Times New Roman"/>
                    </w:rPr>
                    <w:t>无组</w:t>
                  </w:r>
                </w:p>
              </w:tc>
              <w:tc>
                <w:tcPr>
                  <w:tcW w:w="709" w:type="dxa"/>
                  <w:vAlign w:val="center"/>
                </w:tcPr>
                <w:p>
                  <w:pPr>
                    <w:pStyle w:val="141"/>
                    <w:rPr>
                      <w:rFonts w:hint="default" w:ascii="Times New Roman" w:hAnsi="Times New Roman" w:cs="Times New Roman"/>
                      <w:snapToGrid w:val="0"/>
                    </w:rPr>
                  </w:pPr>
                  <w:r>
                    <w:rPr>
                      <w:rFonts w:hint="default" w:ascii="Times New Roman" w:hAnsi="Times New Roman" w:cs="Times New Roman"/>
                    </w:rPr>
                    <w:t>每年监测一次</w:t>
                  </w:r>
                </w:p>
              </w:tc>
              <w:tc>
                <w:tcPr>
                  <w:tcW w:w="1451" w:type="dxa"/>
                  <w:vMerge w:val="restart"/>
                  <w:vAlign w:val="center"/>
                </w:tcPr>
                <w:p>
                  <w:pPr>
                    <w:pStyle w:val="141"/>
                    <w:rPr>
                      <w:rFonts w:hint="default" w:ascii="Times New Roman" w:hAnsi="Times New Roman" w:cs="Times New Roman"/>
                      <w:snapToGrid w:val="0"/>
                    </w:rPr>
                  </w:pPr>
                  <w:r>
                    <w:rPr>
                      <w:rFonts w:hint="default" w:ascii="Times New Roman" w:hAnsi="Times New Roman" w:cs="Times New Roman"/>
                      <w:snapToGrid w:val="0"/>
                    </w:rPr>
                    <w:t xml:space="preserve">企业具备监测条件，自行监测 </w:t>
                  </w:r>
                </w:p>
              </w:tc>
              <w:tc>
                <w:tcPr>
                  <w:tcW w:w="2682" w:type="dxa"/>
                  <w:vAlign w:val="center"/>
                </w:tcPr>
                <w:p>
                  <w:pPr>
                    <w:pStyle w:val="141"/>
                    <w:rPr>
                      <w:rFonts w:hint="default" w:ascii="Times New Roman" w:hAnsi="Times New Roman" w:cs="Times New Roman"/>
                    </w:rPr>
                  </w:pPr>
                  <w:r>
                    <w:rPr>
                      <w:rFonts w:hint="default" w:ascii="Times New Roman" w:hAnsi="Times New Roman" w:cs="Times New Roman"/>
                    </w:rPr>
                    <w:t>执行《挥发性有机物无组织排放控制标准》（GB37822-2019）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dxa"/>
                  <w:vAlign w:val="center"/>
                </w:tcPr>
                <w:p>
                  <w:pPr>
                    <w:pStyle w:val="141"/>
                    <w:rPr>
                      <w:rFonts w:hint="default" w:ascii="Times New Roman" w:hAnsi="Times New Roman" w:cs="Times New Roman"/>
                      <w:snapToGrid w:val="0"/>
                    </w:rPr>
                  </w:pPr>
                  <w:r>
                    <w:rPr>
                      <w:rFonts w:hint="default" w:ascii="Times New Roman" w:hAnsi="Times New Roman" w:cs="Times New Roman"/>
                      <w:snapToGrid w:val="0"/>
                    </w:rPr>
                    <w:t>噪声</w:t>
                  </w:r>
                </w:p>
              </w:tc>
              <w:tc>
                <w:tcPr>
                  <w:tcW w:w="1172" w:type="dxa"/>
                  <w:vAlign w:val="center"/>
                </w:tcPr>
                <w:p>
                  <w:pPr>
                    <w:pStyle w:val="141"/>
                    <w:rPr>
                      <w:rFonts w:hint="default" w:ascii="Times New Roman" w:hAnsi="Times New Roman" w:cs="Times New Roman"/>
                      <w:snapToGrid w:val="0"/>
                    </w:rPr>
                  </w:pPr>
                  <w:r>
                    <w:rPr>
                      <w:rFonts w:hint="default" w:ascii="Times New Roman" w:hAnsi="Times New Roman" w:cs="Times New Roman"/>
                      <w:snapToGrid w:val="0"/>
                    </w:rPr>
                    <w:t>东西南北厂界1m外</w:t>
                  </w:r>
                </w:p>
              </w:tc>
              <w:tc>
                <w:tcPr>
                  <w:tcW w:w="2455" w:type="dxa"/>
                  <w:vAlign w:val="center"/>
                </w:tcPr>
                <w:p>
                  <w:pPr>
                    <w:pStyle w:val="141"/>
                    <w:rPr>
                      <w:rFonts w:hint="default" w:ascii="Times New Roman" w:hAnsi="Times New Roman" w:cs="Times New Roman"/>
                      <w:snapToGrid w:val="0"/>
                    </w:rPr>
                  </w:pPr>
                  <w:r>
                    <w:rPr>
                      <w:rFonts w:hint="default" w:ascii="Times New Roman" w:hAnsi="Times New Roman" w:cs="Times New Roman"/>
                      <w:snapToGrid w:val="0"/>
                    </w:rPr>
                    <w:t>等效A声级</w:t>
                  </w:r>
                </w:p>
              </w:tc>
              <w:tc>
                <w:tcPr>
                  <w:tcW w:w="709" w:type="dxa"/>
                  <w:vAlign w:val="center"/>
                </w:tcPr>
                <w:p>
                  <w:pPr>
                    <w:pStyle w:val="141"/>
                    <w:rPr>
                      <w:rFonts w:hint="default" w:ascii="Times New Roman" w:hAnsi="Times New Roman" w:cs="Times New Roman"/>
                      <w:snapToGrid w:val="0"/>
                    </w:rPr>
                  </w:pPr>
                  <w:r>
                    <w:rPr>
                      <w:rFonts w:hint="default" w:ascii="Times New Roman" w:hAnsi="Times New Roman" w:cs="Times New Roman"/>
                    </w:rPr>
                    <w:t>每季度检测一次</w:t>
                  </w:r>
                </w:p>
              </w:tc>
              <w:tc>
                <w:tcPr>
                  <w:tcW w:w="1451" w:type="dxa"/>
                  <w:vMerge w:val="continue"/>
                  <w:vAlign w:val="center"/>
                </w:tcPr>
                <w:p>
                  <w:pPr>
                    <w:pStyle w:val="141"/>
                    <w:rPr>
                      <w:rFonts w:hint="default" w:ascii="Times New Roman" w:hAnsi="Times New Roman" w:cs="Times New Roman"/>
                      <w:snapToGrid w:val="0"/>
                    </w:rPr>
                  </w:pPr>
                </w:p>
              </w:tc>
              <w:tc>
                <w:tcPr>
                  <w:tcW w:w="2682" w:type="dxa"/>
                  <w:vAlign w:val="center"/>
                </w:tcPr>
                <w:p>
                  <w:pPr>
                    <w:pStyle w:val="141"/>
                    <w:rPr>
                      <w:rFonts w:hint="default" w:ascii="Times New Roman" w:hAnsi="Times New Roman" w:cs="Times New Roman"/>
                      <w:snapToGrid w:val="0"/>
                    </w:rPr>
                  </w:pPr>
                  <w:r>
                    <w:rPr>
                      <w:rFonts w:hint="default" w:ascii="Times New Roman" w:hAnsi="Times New Roman" w:cs="Times New Roman"/>
                    </w:rPr>
                    <w:t>执行《工业企业厂界环境噪声排放标准》（GB12348-2008）2类标准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dxa"/>
                  <w:vAlign w:val="center"/>
                </w:tcPr>
                <w:p>
                  <w:pPr>
                    <w:pStyle w:val="141"/>
                    <w:rPr>
                      <w:rFonts w:hint="default" w:ascii="Times New Roman" w:hAnsi="Times New Roman" w:cs="Times New Roman"/>
                      <w:snapToGrid w:val="0"/>
                    </w:rPr>
                  </w:pPr>
                  <w:r>
                    <w:rPr>
                      <w:rFonts w:hint="default" w:ascii="Times New Roman" w:hAnsi="Times New Roman" w:cs="Times New Roman"/>
                      <w:snapToGrid w:val="0"/>
                    </w:rPr>
                    <w:t>地下水</w:t>
                  </w:r>
                </w:p>
              </w:tc>
              <w:tc>
                <w:tcPr>
                  <w:tcW w:w="1172" w:type="dxa"/>
                  <w:vAlign w:val="center"/>
                </w:tcPr>
                <w:p>
                  <w:pPr>
                    <w:pStyle w:val="141"/>
                    <w:rPr>
                      <w:rFonts w:hint="default" w:ascii="Times New Roman" w:hAnsi="Times New Roman" w:cs="Times New Roman"/>
                      <w:snapToGrid w:val="0"/>
                    </w:rPr>
                  </w:pPr>
                  <w:r>
                    <w:rPr>
                      <w:rFonts w:hint="default" w:ascii="Times New Roman" w:hAnsi="Times New Roman" w:cs="Times New Roman"/>
                      <w:snapToGrid w:val="0"/>
                    </w:rPr>
                    <w:t>潜水含水层 3 个点，建设项目场地及其下游影响区各 1 个点</w:t>
                  </w:r>
                </w:p>
              </w:tc>
              <w:tc>
                <w:tcPr>
                  <w:tcW w:w="2455" w:type="dxa"/>
                  <w:vAlign w:val="center"/>
                </w:tcPr>
                <w:p>
                  <w:pPr>
                    <w:pStyle w:val="141"/>
                    <w:rPr>
                      <w:rFonts w:hint="default" w:ascii="Times New Roman" w:hAnsi="Times New Roman" w:cs="Times New Roman"/>
                      <w:snapToGrid w:val="0"/>
                    </w:rPr>
                  </w:pPr>
                  <w:r>
                    <w:rPr>
                      <w:rFonts w:hint="default" w:ascii="Times New Roman" w:hAnsi="Times New Roman" w:cs="Times New Roman"/>
                    </w:rPr>
                    <w:t>K</w:t>
                  </w:r>
                  <w:r>
                    <w:rPr>
                      <w:rFonts w:hint="default" w:ascii="Times New Roman" w:hAnsi="Times New Roman" w:cs="Times New Roman"/>
                      <w:vertAlign w:val="superscript"/>
                    </w:rPr>
                    <w:t>+</w:t>
                  </w:r>
                  <w:r>
                    <w:rPr>
                      <w:rFonts w:hint="default" w:ascii="Times New Roman" w:hAnsi="Times New Roman" w:cs="Times New Roman"/>
                    </w:rPr>
                    <w:t>、Na</w:t>
                  </w:r>
                  <w:r>
                    <w:rPr>
                      <w:rFonts w:hint="default" w:ascii="Times New Roman" w:hAnsi="Times New Roman" w:cs="Times New Roman"/>
                      <w:vertAlign w:val="superscript"/>
                    </w:rPr>
                    <w:t>+</w:t>
                  </w:r>
                  <w:r>
                    <w:rPr>
                      <w:rFonts w:hint="default" w:ascii="Times New Roman" w:hAnsi="Times New Roman" w:cs="Times New Roman"/>
                    </w:rPr>
                    <w:t>、Ca</w:t>
                  </w:r>
                  <w:r>
                    <w:rPr>
                      <w:rFonts w:hint="default" w:ascii="Times New Roman" w:hAnsi="Times New Roman" w:cs="Times New Roman"/>
                      <w:vertAlign w:val="superscript"/>
                    </w:rPr>
                    <w:t>2+</w:t>
                  </w:r>
                  <w:r>
                    <w:rPr>
                      <w:rFonts w:hint="default" w:ascii="Times New Roman" w:hAnsi="Times New Roman" w:cs="Times New Roman"/>
                    </w:rPr>
                    <w:t>、Mg</w:t>
                  </w:r>
                  <w:r>
                    <w:rPr>
                      <w:rFonts w:hint="default" w:ascii="Times New Roman" w:hAnsi="Times New Roman" w:cs="Times New Roman"/>
                      <w:vertAlign w:val="superscript"/>
                    </w:rPr>
                    <w:t>2+</w:t>
                  </w:r>
                  <w:r>
                    <w:rPr>
                      <w:rFonts w:hint="default" w:ascii="Times New Roman" w:hAnsi="Times New Roman" w:cs="Times New Roman"/>
                    </w:rPr>
                    <w:t>、CO</w:t>
                  </w:r>
                  <w:r>
                    <w:rPr>
                      <w:rFonts w:hint="default" w:ascii="Times New Roman" w:hAnsi="Times New Roman" w:cs="Times New Roman"/>
                      <w:vertAlign w:val="subscript"/>
                    </w:rPr>
                    <w:t>3</w:t>
                  </w:r>
                  <w:r>
                    <w:rPr>
                      <w:rFonts w:hint="default" w:ascii="Times New Roman" w:hAnsi="Times New Roman" w:cs="Times New Roman"/>
                      <w:vertAlign w:val="superscript"/>
                    </w:rPr>
                    <w:t>2-</w:t>
                  </w:r>
                  <w:r>
                    <w:rPr>
                      <w:rFonts w:hint="default" w:ascii="Times New Roman" w:hAnsi="Times New Roman" w:cs="Times New Roman"/>
                    </w:rPr>
                    <w:t>、HCO</w:t>
                  </w:r>
                  <w:r>
                    <w:rPr>
                      <w:rFonts w:hint="default" w:ascii="Times New Roman" w:hAnsi="Times New Roman" w:cs="Times New Roman"/>
                      <w:vertAlign w:val="subscript"/>
                    </w:rPr>
                    <w:t>3</w:t>
                  </w:r>
                  <w:r>
                    <w:rPr>
                      <w:rFonts w:hint="default" w:ascii="Times New Roman" w:hAnsi="Times New Roman" w:cs="Times New Roman"/>
                      <w:vertAlign w:val="superscript"/>
                    </w:rPr>
                    <w:t>-</w:t>
                  </w:r>
                  <w:r>
                    <w:rPr>
                      <w:rFonts w:hint="default" w:ascii="Times New Roman" w:hAnsi="Times New Roman" w:cs="Times New Roman"/>
                    </w:rPr>
                    <w:t>、Cl</w:t>
                  </w:r>
                  <w:r>
                    <w:rPr>
                      <w:rFonts w:hint="default" w:ascii="Times New Roman" w:hAnsi="Times New Roman" w:cs="Times New Roman"/>
                      <w:vertAlign w:val="superscript"/>
                    </w:rPr>
                    <w:t>-</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vertAlign w:val="superscript"/>
                    </w:rPr>
                    <w:t xml:space="preserve">2- </w:t>
                  </w:r>
                  <w:r>
                    <w:rPr>
                      <w:rFonts w:hint="default" w:ascii="Times New Roman" w:hAnsi="Times New Roman" w:cs="Times New Roman"/>
                    </w:rPr>
                    <w:t>浓度、石油类、pH、氨氮、硝酸盐、亚硝酸盐、挥发性酚类、氰化物、砷、汞、铬(六价)、总硬度、铅、氟、镉、铁、锰、溶解性总固体、高锰酸盐指数、硫酸盐、氯化物</w:t>
                  </w:r>
                </w:p>
              </w:tc>
              <w:tc>
                <w:tcPr>
                  <w:tcW w:w="709" w:type="dxa"/>
                  <w:vAlign w:val="center"/>
                </w:tcPr>
                <w:p>
                  <w:pPr>
                    <w:pStyle w:val="141"/>
                    <w:rPr>
                      <w:rFonts w:hint="default" w:ascii="Times New Roman" w:hAnsi="Times New Roman" w:cs="Times New Roman"/>
                    </w:rPr>
                  </w:pPr>
                  <w:r>
                    <w:rPr>
                      <w:rFonts w:hint="default" w:ascii="Times New Roman" w:hAnsi="Times New Roman" w:cs="Times New Roman"/>
                    </w:rPr>
                    <w:t>三年监测一期</w:t>
                  </w:r>
                </w:p>
              </w:tc>
              <w:tc>
                <w:tcPr>
                  <w:tcW w:w="1451" w:type="dxa"/>
                  <w:vMerge w:val="continue"/>
                  <w:vAlign w:val="center"/>
                </w:tcPr>
                <w:p>
                  <w:pPr>
                    <w:pStyle w:val="141"/>
                    <w:rPr>
                      <w:rFonts w:hint="default" w:ascii="Times New Roman" w:hAnsi="Times New Roman" w:cs="Times New Roman"/>
                      <w:snapToGrid w:val="0"/>
                    </w:rPr>
                  </w:pPr>
                </w:p>
              </w:tc>
              <w:tc>
                <w:tcPr>
                  <w:tcW w:w="2682" w:type="dxa"/>
                  <w:vAlign w:val="center"/>
                </w:tcPr>
                <w:p>
                  <w:pPr>
                    <w:pStyle w:val="141"/>
                    <w:rPr>
                      <w:rFonts w:hint="default" w:ascii="Times New Roman" w:hAnsi="Times New Roman" w:cs="Times New Roman"/>
                    </w:rPr>
                  </w:pPr>
                  <w:r>
                    <w:rPr>
                      <w:rFonts w:hint="default" w:ascii="Times New Roman" w:hAnsi="Times New Roman" w:cs="Times New Roman"/>
                    </w:rPr>
                    <w:t>执行《地下水质量标准》（GB/T14848-2017）中Ⅲ类标准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79" w:type="dxa"/>
                  <w:vAlign w:val="center"/>
                </w:tcPr>
                <w:p>
                  <w:pPr>
                    <w:pStyle w:val="141"/>
                    <w:rPr>
                      <w:rFonts w:hint="default" w:ascii="Times New Roman" w:hAnsi="Times New Roman" w:cs="Times New Roman"/>
                      <w:snapToGrid w:val="0"/>
                    </w:rPr>
                  </w:pPr>
                  <w:r>
                    <w:rPr>
                      <w:rFonts w:hint="default" w:ascii="Times New Roman" w:hAnsi="Times New Roman" w:cs="Times New Roman"/>
                      <w:snapToGrid w:val="0"/>
                    </w:rPr>
                    <w:t>固废</w:t>
                  </w:r>
                </w:p>
              </w:tc>
              <w:tc>
                <w:tcPr>
                  <w:tcW w:w="8469" w:type="dxa"/>
                  <w:gridSpan w:val="5"/>
                  <w:vAlign w:val="center"/>
                </w:tcPr>
                <w:p>
                  <w:pPr>
                    <w:pStyle w:val="141"/>
                    <w:rPr>
                      <w:rFonts w:hint="default" w:ascii="Times New Roman" w:hAnsi="Times New Roman" w:cs="Times New Roman"/>
                      <w:snapToGrid w:val="0"/>
                    </w:rPr>
                  </w:pPr>
                  <w:r>
                    <w:rPr>
                      <w:rFonts w:hint="default" w:ascii="Times New Roman" w:hAnsi="Times New Roman" w:cs="Times New Roman"/>
                    </w:rPr>
                    <w:t>统计、</w:t>
                  </w:r>
                  <w:r>
                    <w:rPr>
                      <w:rFonts w:hint="default" w:ascii="Times New Roman" w:hAnsi="Times New Roman" w:cs="Times New Roman"/>
                      <w:snapToGrid w:val="0"/>
                    </w:rPr>
                    <w:t>落实危险废物储存量和处置情况</w:t>
                  </w:r>
                </w:p>
              </w:tc>
            </w:tr>
          </w:tbl>
          <w:p>
            <w:pPr>
              <w:pStyle w:val="137"/>
              <w:ind w:firstLine="480"/>
              <w:rPr>
                <w:rFonts w:hint="default" w:ascii="Times New Roman" w:hAnsi="Times New Roman" w:cs="Times New Roman"/>
              </w:rPr>
            </w:pPr>
          </w:p>
          <w:p>
            <w:pPr>
              <w:pStyle w:val="137"/>
              <w:ind w:firstLine="480"/>
              <w:rPr>
                <w:rFonts w:hint="default" w:ascii="Times New Roman" w:hAnsi="Times New Roman" w:cs="Times New Roman"/>
              </w:rPr>
            </w:pPr>
          </w:p>
        </w:tc>
      </w:tr>
    </w:tbl>
    <w:p>
      <w:pPr>
        <w:tabs>
          <w:tab w:val="left" w:pos="2232"/>
        </w:tabs>
        <w:adjustRightInd/>
        <w:spacing w:before="100" w:beforeAutospacing="1" w:line="240" w:lineRule="auto"/>
        <w:outlineLvl w:val="0"/>
        <w:rPr>
          <w:rFonts w:hAnsi="宋体"/>
          <w:b/>
          <w:sz w:val="30"/>
        </w:rPr>
      </w:pPr>
      <w:bookmarkStart w:id="51" w:name="_Toc20117"/>
      <w:r>
        <w:rPr>
          <w:rFonts w:hAnsi="宋体"/>
          <w:b/>
          <w:sz w:val="30"/>
        </w:rPr>
        <w:t>建设项目拟采取的防治措施及预期治理效果</w:t>
      </w:r>
      <w:bookmarkEnd w:id="51"/>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738"/>
        <w:gridCol w:w="1273"/>
        <w:gridCol w:w="1982"/>
        <w:gridCol w:w="2405"/>
        <w:gridCol w:w="19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431" w:type="pct"/>
            <w:tcBorders>
              <w:tl2br w:val="nil"/>
              <w:tr2bl w:val="nil"/>
            </w:tcBorders>
            <w:vAlign w:val="center"/>
          </w:tcPr>
          <w:p>
            <w:pPr>
              <w:pStyle w:val="141"/>
            </w:pPr>
            <w:r>
              <w:rPr>
                <w:rFonts w:hint="eastAsia"/>
              </w:rPr>
              <w:t xml:space="preserve"> </w:t>
            </w:r>
            <w:r>
              <w:t>内容</w:t>
            </w:r>
          </w:p>
          <w:p>
            <w:pPr>
              <w:pStyle w:val="141"/>
            </w:pPr>
          </w:p>
          <w:p>
            <w:pPr>
              <w:pStyle w:val="141"/>
            </w:pPr>
            <w:r>
              <w:t>类型</w:t>
            </w:r>
          </w:p>
        </w:tc>
        <w:tc>
          <w:tcPr>
            <w:tcW w:w="1096" w:type="pct"/>
            <w:gridSpan w:val="2"/>
            <w:tcBorders>
              <w:tl2br w:val="nil"/>
              <w:tr2bl w:val="nil"/>
            </w:tcBorders>
            <w:vAlign w:val="center"/>
          </w:tcPr>
          <w:p>
            <w:pPr>
              <w:pStyle w:val="141"/>
            </w:pPr>
            <w:r>
              <w:t>排放源</w:t>
            </w:r>
          </w:p>
          <w:p>
            <w:pPr>
              <w:pStyle w:val="141"/>
            </w:pPr>
            <w:r>
              <w:t>(编号)</w:t>
            </w:r>
          </w:p>
        </w:tc>
        <w:tc>
          <w:tcPr>
            <w:tcW w:w="1080" w:type="pct"/>
            <w:tcBorders>
              <w:tl2br w:val="nil"/>
              <w:tr2bl w:val="nil"/>
            </w:tcBorders>
            <w:vAlign w:val="center"/>
          </w:tcPr>
          <w:p>
            <w:pPr>
              <w:pStyle w:val="141"/>
            </w:pPr>
            <w:r>
              <w:t>污染物名称</w:t>
            </w:r>
          </w:p>
        </w:tc>
        <w:tc>
          <w:tcPr>
            <w:tcW w:w="1311" w:type="pct"/>
            <w:tcBorders>
              <w:tl2br w:val="nil"/>
              <w:tr2bl w:val="nil"/>
            </w:tcBorders>
            <w:vAlign w:val="center"/>
          </w:tcPr>
          <w:p>
            <w:pPr>
              <w:pStyle w:val="141"/>
            </w:pPr>
            <w:r>
              <w:t>防治措施</w:t>
            </w:r>
          </w:p>
        </w:tc>
        <w:tc>
          <w:tcPr>
            <w:tcW w:w="1080" w:type="pct"/>
            <w:tcBorders>
              <w:tl2br w:val="nil"/>
              <w:tr2bl w:val="nil"/>
            </w:tcBorders>
            <w:vAlign w:val="center"/>
          </w:tcPr>
          <w:p>
            <w:pPr>
              <w:pStyle w:val="141"/>
            </w:pPr>
            <w:r>
              <w:t>预期治理效果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431" w:type="pct"/>
            <w:vMerge w:val="restart"/>
            <w:tcBorders>
              <w:tl2br w:val="nil"/>
              <w:tr2bl w:val="nil"/>
            </w:tcBorders>
          </w:tcPr>
          <w:p>
            <w:pPr>
              <w:pStyle w:val="141"/>
            </w:pPr>
            <w:r>
              <w:t>大气</w:t>
            </w:r>
          </w:p>
          <w:p>
            <w:pPr>
              <w:pStyle w:val="141"/>
            </w:pPr>
            <w:r>
              <w:t>污染</w:t>
            </w:r>
          </w:p>
          <w:p>
            <w:pPr>
              <w:pStyle w:val="141"/>
            </w:pPr>
            <w:r>
              <w:t>物</w:t>
            </w:r>
          </w:p>
        </w:tc>
        <w:tc>
          <w:tcPr>
            <w:tcW w:w="402" w:type="pct"/>
            <w:vMerge w:val="restart"/>
            <w:tcBorders>
              <w:tl2br w:val="nil"/>
              <w:tr2bl w:val="nil"/>
            </w:tcBorders>
            <w:vAlign w:val="center"/>
          </w:tcPr>
          <w:p>
            <w:pPr>
              <w:pStyle w:val="141"/>
            </w:pPr>
            <w:r>
              <w:rPr>
                <w:rFonts w:hint="eastAsia"/>
              </w:rPr>
              <w:t>施工期</w:t>
            </w:r>
          </w:p>
        </w:tc>
        <w:tc>
          <w:tcPr>
            <w:tcW w:w="693" w:type="pct"/>
            <w:tcBorders>
              <w:tl2br w:val="nil"/>
              <w:tr2bl w:val="nil"/>
            </w:tcBorders>
            <w:vAlign w:val="center"/>
          </w:tcPr>
          <w:p>
            <w:pPr>
              <w:pStyle w:val="141"/>
            </w:pPr>
            <w:r>
              <w:rPr>
                <w:rFonts w:hint="eastAsia"/>
              </w:rPr>
              <w:t>大气扬尘</w:t>
            </w:r>
          </w:p>
        </w:tc>
        <w:tc>
          <w:tcPr>
            <w:tcW w:w="1080" w:type="pct"/>
            <w:tcBorders>
              <w:tl2br w:val="nil"/>
              <w:tr2bl w:val="nil"/>
            </w:tcBorders>
            <w:vAlign w:val="center"/>
          </w:tcPr>
          <w:p>
            <w:pPr>
              <w:pStyle w:val="141"/>
            </w:pPr>
            <w:r>
              <w:rPr>
                <w:rFonts w:hint="eastAsia"/>
              </w:rPr>
              <w:t>总悬浮颗粒物</w:t>
            </w:r>
          </w:p>
        </w:tc>
        <w:tc>
          <w:tcPr>
            <w:tcW w:w="1311" w:type="pct"/>
            <w:tcBorders>
              <w:tl2br w:val="nil"/>
              <w:tr2bl w:val="nil"/>
            </w:tcBorders>
            <w:vAlign w:val="center"/>
          </w:tcPr>
          <w:p>
            <w:pPr>
              <w:pStyle w:val="141"/>
            </w:pPr>
            <w:r>
              <w:rPr>
                <w:rFonts w:hint="eastAsia"/>
              </w:rPr>
              <w:t>车辆采用封闭方式运输；工地及时洒水，出口处设浅水池</w:t>
            </w:r>
          </w:p>
        </w:tc>
        <w:tc>
          <w:tcPr>
            <w:tcW w:w="1080" w:type="pct"/>
            <w:vMerge w:val="restart"/>
            <w:tcBorders>
              <w:tl2br w:val="nil"/>
              <w:tr2bl w:val="nil"/>
            </w:tcBorders>
            <w:vAlign w:val="center"/>
          </w:tcPr>
          <w:p>
            <w:pPr>
              <w:pStyle w:val="141"/>
            </w:pPr>
            <w:r>
              <w:rPr>
                <w:rFonts w:hint="eastAsia"/>
              </w:rPr>
              <w:t>达到广东省《大气</w:t>
            </w:r>
          </w:p>
          <w:p>
            <w:pPr>
              <w:pStyle w:val="141"/>
            </w:pPr>
            <w:r>
              <w:rPr>
                <w:rFonts w:hint="eastAsia"/>
              </w:rPr>
              <w:t>污染物排放限值》（DB44/27-2001）第二时段无组织排放监控浓度限值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431" w:type="pct"/>
            <w:vMerge w:val="continue"/>
            <w:tcBorders>
              <w:tl2br w:val="nil"/>
              <w:tr2bl w:val="nil"/>
            </w:tcBorders>
          </w:tcPr>
          <w:p>
            <w:pPr>
              <w:pStyle w:val="141"/>
            </w:pPr>
          </w:p>
        </w:tc>
        <w:tc>
          <w:tcPr>
            <w:tcW w:w="402" w:type="pct"/>
            <w:vMerge w:val="continue"/>
            <w:tcBorders>
              <w:tl2br w:val="nil"/>
              <w:tr2bl w:val="nil"/>
            </w:tcBorders>
            <w:vAlign w:val="center"/>
          </w:tcPr>
          <w:p>
            <w:pPr>
              <w:pStyle w:val="141"/>
            </w:pPr>
          </w:p>
        </w:tc>
        <w:tc>
          <w:tcPr>
            <w:tcW w:w="693" w:type="pct"/>
            <w:tcBorders>
              <w:tl2br w:val="nil"/>
              <w:tr2bl w:val="nil"/>
            </w:tcBorders>
            <w:vAlign w:val="center"/>
          </w:tcPr>
          <w:p>
            <w:pPr>
              <w:pStyle w:val="141"/>
            </w:pPr>
            <w:r>
              <w:rPr>
                <w:rFonts w:hint="eastAsia"/>
              </w:rPr>
              <w:t>燃料废气</w:t>
            </w:r>
          </w:p>
        </w:tc>
        <w:tc>
          <w:tcPr>
            <w:tcW w:w="1080" w:type="pct"/>
            <w:tcBorders>
              <w:tl2br w:val="nil"/>
              <w:tr2bl w:val="nil"/>
            </w:tcBorders>
            <w:vAlign w:val="center"/>
          </w:tcPr>
          <w:p>
            <w:pPr>
              <w:pStyle w:val="141"/>
            </w:pPr>
            <w:r>
              <w:rPr>
                <w:rFonts w:hint="eastAsia"/>
              </w:rPr>
              <w:t>C</w:t>
            </w:r>
            <w:r>
              <w:t>O</w:t>
            </w:r>
            <w:r>
              <w:rPr>
                <w:rFonts w:hint="eastAsia"/>
              </w:rPr>
              <w:t>、H</w:t>
            </w:r>
            <w:r>
              <w:t>C</w:t>
            </w:r>
            <w:r>
              <w:rPr>
                <w:rFonts w:hint="eastAsia"/>
              </w:rPr>
              <w:t>、N</w:t>
            </w:r>
            <w:r>
              <w:t>Ox</w:t>
            </w:r>
          </w:p>
        </w:tc>
        <w:tc>
          <w:tcPr>
            <w:tcW w:w="1311" w:type="pct"/>
            <w:tcBorders>
              <w:tl2br w:val="nil"/>
              <w:tr2bl w:val="nil"/>
            </w:tcBorders>
            <w:vAlign w:val="center"/>
          </w:tcPr>
          <w:p>
            <w:pPr>
              <w:pStyle w:val="141"/>
            </w:pPr>
            <w:r>
              <w:rPr>
                <w:rFonts w:hint="eastAsia"/>
              </w:rPr>
              <w:t>加强通风</w:t>
            </w:r>
          </w:p>
        </w:tc>
        <w:tc>
          <w:tcPr>
            <w:tcW w:w="1080" w:type="pct"/>
            <w:vMerge w:val="continue"/>
            <w:tcBorders>
              <w:tl2br w:val="nil"/>
              <w:tr2bl w:val="nil"/>
            </w:tcBorders>
            <w:vAlign w:val="center"/>
          </w:tcPr>
          <w:p>
            <w:pPr>
              <w:pStyle w:val="141"/>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431" w:type="pct"/>
            <w:vMerge w:val="continue"/>
            <w:tcBorders>
              <w:tl2br w:val="nil"/>
              <w:tr2bl w:val="nil"/>
            </w:tcBorders>
          </w:tcPr>
          <w:p>
            <w:pPr>
              <w:pStyle w:val="141"/>
            </w:pPr>
          </w:p>
        </w:tc>
        <w:tc>
          <w:tcPr>
            <w:tcW w:w="402" w:type="pct"/>
            <w:vMerge w:val="continue"/>
            <w:tcBorders>
              <w:tl2br w:val="nil"/>
              <w:tr2bl w:val="nil"/>
            </w:tcBorders>
            <w:vAlign w:val="center"/>
          </w:tcPr>
          <w:p>
            <w:pPr>
              <w:pStyle w:val="141"/>
            </w:pPr>
          </w:p>
        </w:tc>
        <w:tc>
          <w:tcPr>
            <w:tcW w:w="693" w:type="pct"/>
            <w:tcBorders>
              <w:tl2br w:val="nil"/>
              <w:tr2bl w:val="nil"/>
            </w:tcBorders>
            <w:vAlign w:val="center"/>
          </w:tcPr>
          <w:p>
            <w:pPr>
              <w:pStyle w:val="141"/>
            </w:pPr>
            <w:r>
              <w:rPr>
                <w:rFonts w:hint="eastAsia"/>
              </w:rPr>
              <w:t>装修材料</w:t>
            </w:r>
          </w:p>
        </w:tc>
        <w:tc>
          <w:tcPr>
            <w:tcW w:w="1080" w:type="pct"/>
            <w:tcBorders>
              <w:tl2br w:val="nil"/>
              <w:tr2bl w:val="nil"/>
            </w:tcBorders>
            <w:vAlign w:val="center"/>
          </w:tcPr>
          <w:p>
            <w:pPr>
              <w:pStyle w:val="141"/>
            </w:pPr>
            <w:r>
              <w:rPr>
                <w:rFonts w:hint="eastAsia"/>
              </w:rPr>
              <w:t>挥发性有机化合物V</w:t>
            </w:r>
            <w:r>
              <w:t>OC</w:t>
            </w:r>
          </w:p>
        </w:tc>
        <w:tc>
          <w:tcPr>
            <w:tcW w:w="1311" w:type="pct"/>
            <w:tcBorders>
              <w:tl2br w:val="nil"/>
              <w:tr2bl w:val="nil"/>
            </w:tcBorders>
            <w:vAlign w:val="center"/>
          </w:tcPr>
          <w:p>
            <w:pPr>
              <w:pStyle w:val="141"/>
            </w:pPr>
            <w:r>
              <w:rPr>
                <w:rFonts w:hint="eastAsia"/>
              </w:rPr>
              <w:t>采用绿色原料、加强通风</w:t>
            </w:r>
          </w:p>
        </w:tc>
        <w:tc>
          <w:tcPr>
            <w:tcW w:w="1080" w:type="pct"/>
            <w:vMerge w:val="continue"/>
            <w:tcBorders>
              <w:tl2br w:val="nil"/>
              <w:tr2bl w:val="nil"/>
            </w:tcBorders>
            <w:vAlign w:val="center"/>
          </w:tcPr>
          <w:p>
            <w:pPr>
              <w:pStyle w:val="141"/>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431" w:type="pct"/>
            <w:vMerge w:val="continue"/>
            <w:tcBorders>
              <w:tl2br w:val="nil"/>
              <w:tr2bl w:val="nil"/>
            </w:tcBorders>
          </w:tcPr>
          <w:p>
            <w:pPr>
              <w:pStyle w:val="141"/>
            </w:pPr>
          </w:p>
        </w:tc>
        <w:tc>
          <w:tcPr>
            <w:tcW w:w="402" w:type="pct"/>
            <w:vMerge w:val="restart"/>
            <w:tcBorders>
              <w:tl2br w:val="nil"/>
              <w:tr2bl w:val="nil"/>
            </w:tcBorders>
            <w:vAlign w:val="center"/>
          </w:tcPr>
          <w:p>
            <w:pPr>
              <w:pStyle w:val="141"/>
            </w:pPr>
            <w:r>
              <w:rPr>
                <w:rFonts w:hint="eastAsia"/>
              </w:rPr>
              <w:t>营运期</w:t>
            </w:r>
          </w:p>
        </w:tc>
        <w:tc>
          <w:tcPr>
            <w:tcW w:w="693" w:type="pct"/>
            <w:tcBorders>
              <w:tl2br w:val="nil"/>
              <w:tr2bl w:val="nil"/>
            </w:tcBorders>
            <w:vAlign w:val="center"/>
          </w:tcPr>
          <w:p>
            <w:pPr>
              <w:pStyle w:val="141"/>
            </w:pPr>
            <w:r>
              <w:rPr>
                <w:rFonts w:hint="eastAsia"/>
              </w:rPr>
              <w:t>油气</w:t>
            </w:r>
          </w:p>
        </w:tc>
        <w:tc>
          <w:tcPr>
            <w:tcW w:w="1080" w:type="pct"/>
            <w:tcBorders>
              <w:tl2br w:val="nil"/>
              <w:tr2bl w:val="nil"/>
            </w:tcBorders>
            <w:vAlign w:val="center"/>
          </w:tcPr>
          <w:p>
            <w:pPr>
              <w:pStyle w:val="141"/>
            </w:pPr>
            <w:r>
              <w:rPr>
                <w:rFonts w:hint="eastAsia"/>
              </w:rPr>
              <w:t>非甲烷总烃</w:t>
            </w:r>
          </w:p>
        </w:tc>
        <w:tc>
          <w:tcPr>
            <w:tcW w:w="1311" w:type="pct"/>
            <w:tcBorders>
              <w:tl2br w:val="nil"/>
              <w:tr2bl w:val="nil"/>
            </w:tcBorders>
            <w:vAlign w:val="center"/>
          </w:tcPr>
          <w:p>
            <w:pPr>
              <w:pStyle w:val="141"/>
            </w:pPr>
            <w:r>
              <w:rPr>
                <w:rFonts w:hint="eastAsia"/>
              </w:rPr>
              <w:t>加强管理，规范装卸车，做好储罐隔热措施，采用一、二级油气回收系统</w:t>
            </w:r>
          </w:p>
        </w:tc>
        <w:tc>
          <w:tcPr>
            <w:tcW w:w="1080" w:type="pct"/>
            <w:tcBorders>
              <w:tl2br w:val="nil"/>
              <w:tr2bl w:val="nil"/>
            </w:tcBorders>
            <w:vAlign w:val="center"/>
          </w:tcPr>
          <w:p>
            <w:pPr>
              <w:pStyle w:val="141"/>
            </w:pPr>
            <w:r>
              <w:rPr>
                <w:rFonts w:hint="eastAsia"/>
              </w:rPr>
              <w:t>达到广东省《大气污染物排放限值》（DB44/27-2001）第二时段无组织排放监控浓度限值及《挥发性有机物无</w:t>
            </w:r>
          </w:p>
          <w:p>
            <w:pPr>
              <w:pStyle w:val="141"/>
            </w:pPr>
            <w:r>
              <w:rPr>
                <w:rFonts w:hint="eastAsia"/>
              </w:rPr>
              <w:t>组织排放控制标准》（GB37822-2019）有关标准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431" w:type="pct"/>
            <w:vMerge w:val="continue"/>
            <w:tcBorders>
              <w:tl2br w:val="nil"/>
              <w:tr2bl w:val="nil"/>
            </w:tcBorders>
          </w:tcPr>
          <w:p>
            <w:pPr>
              <w:pStyle w:val="141"/>
            </w:pPr>
          </w:p>
        </w:tc>
        <w:tc>
          <w:tcPr>
            <w:tcW w:w="402" w:type="pct"/>
            <w:vMerge w:val="continue"/>
            <w:tcBorders>
              <w:tl2br w:val="nil"/>
              <w:tr2bl w:val="nil"/>
            </w:tcBorders>
            <w:vAlign w:val="center"/>
          </w:tcPr>
          <w:p>
            <w:pPr>
              <w:pStyle w:val="141"/>
            </w:pPr>
          </w:p>
        </w:tc>
        <w:tc>
          <w:tcPr>
            <w:tcW w:w="693" w:type="pct"/>
            <w:tcBorders>
              <w:tl2br w:val="nil"/>
              <w:tr2bl w:val="nil"/>
            </w:tcBorders>
            <w:vAlign w:val="center"/>
          </w:tcPr>
          <w:p>
            <w:pPr>
              <w:pStyle w:val="141"/>
            </w:pPr>
            <w:r>
              <w:rPr>
                <w:rFonts w:hint="eastAsia"/>
              </w:rPr>
              <w:t>发电机尾气</w:t>
            </w:r>
          </w:p>
        </w:tc>
        <w:tc>
          <w:tcPr>
            <w:tcW w:w="1080" w:type="pct"/>
            <w:tcBorders>
              <w:tl2br w:val="nil"/>
              <w:tr2bl w:val="nil"/>
            </w:tcBorders>
            <w:vAlign w:val="center"/>
          </w:tcPr>
          <w:p>
            <w:pPr>
              <w:pStyle w:val="141"/>
            </w:pPr>
            <w:r>
              <w:rPr>
                <w:rFonts w:hint="eastAsia"/>
              </w:rPr>
              <w:t>烟尘、S</w:t>
            </w:r>
            <w:r>
              <w:t>O</w:t>
            </w:r>
            <w:r>
              <w:rPr>
                <w:vertAlign w:val="subscript"/>
              </w:rPr>
              <w:t>2</w:t>
            </w:r>
            <w:r>
              <w:rPr>
                <w:rFonts w:hint="eastAsia"/>
              </w:rPr>
              <w:t>、N</w:t>
            </w:r>
            <w:r>
              <w:t>O</w:t>
            </w:r>
            <w:r>
              <w:rPr>
                <w:vertAlign w:val="subscript"/>
              </w:rPr>
              <w:t>X</w:t>
            </w:r>
          </w:p>
        </w:tc>
        <w:tc>
          <w:tcPr>
            <w:tcW w:w="1311" w:type="pct"/>
            <w:tcBorders>
              <w:tl2br w:val="nil"/>
              <w:tr2bl w:val="nil"/>
            </w:tcBorders>
            <w:vAlign w:val="center"/>
          </w:tcPr>
          <w:p>
            <w:pPr>
              <w:pStyle w:val="141"/>
            </w:pPr>
            <w:r>
              <w:rPr>
                <w:rFonts w:hint="eastAsia"/>
              </w:rPr>
              <w:t>经设置自带水喷淋装置处理后引至室外排放</w:t>
            </w:r>
          </w:p>
        </w:tc>
        <w:tc>
          <w:tcPr>
            <w:tcW w:w="1080" w:type="pct"/>
            <w:vMerge w:val="restart"/>
            <w:tcBorders>
              <w:tl2br w:val="nil"/>
              <w:tr2bl w:val="nil"/>
            </w:tcBorders>
            <w:vAlign w:val="center"/>
          </w:tcPr>
          <w:p>
            <w:pPr>
              <w:pStyle w:val="141"/>
            </w:pPr>
            <w:r>
              <w:rPr>
                <w:rFonts w:hint="eastAsia"/>
              </w:rPr>
              <w:t>广东省《大气污染物排放限值》（DB44/27-2001）第二时段二级标准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431" w:type="pct"/>
            <w:vMerge w:val="continue"/>
            <w:tcBorders>
              <w:tl2br w:val="nil"/>
              <w:tr2bl w:val="nil"/>
            </w:tcBorders>
          </w:tcPr>
          <w:p>
            <w:pPr>
              <w:pStyle w:val="141"/>
            </w:pPr>
          </w:p>
        </w:tc>
        <w:tc>
          <w:tcPr>
            <w:tcW w:w="402" w:type="pct"/>
            <w:vMerge w:val="continue"/>
            <w:tcBorders>
              <w:tl2br w:val="nil"/>
              <w:tr2bl w:val="nil"/>
            </w:tcBorders>
            <w:vAlign w:val="center"/>
          </w:tcPr>
          <w:p>
            <w:pPr>
              <w:pStyle w:val="141"/>
            </w:pPr>
          </w:p>
        </w:tc>
        <w:tc>
          <w:tcPr>
            <w:tcW w:w="693" w:type="pct"/>
            <w:tcBorders>
              <w:tl2br w:val="nil"/>
              <w:tr2bl w:val="nil"/>
            </w:tcBorders>
            <w:vAlign w:val="center"/>
          </w:tcPr>
          <w:p>
            <w:pPr>
              <w:pStyle w:val="141"/>
            </w:pPr>
            <w:r>
              <w:rPr>
                <w:rFonts w:hint="eastAsia"/>
              </w:rPr>
              <w:t>车辆尾气</w:t>
            </w:r>
          </w:p>
        </w:tc>
        <w:tc>
          <w:tcPr>
            <w:tcW w:w="1080" w:type="pct"/>
            <w:tcBorders>
              <w:tl2br w:val="nil"/>
              <w:tr2bl w:val="nil"/>
            </w:tcBorders>
            <w:vAlign w:val="center"/>
          </w:tcPr>
          <w:p>
            <w:pPr>
              <w:pStyle w:val="141"/>
            </w:pPr>
            <w:r>
              <w:rPr>
                <w:rFonts w:hint="eastAsia"/>
              </w:rPr>
              <w:t>NOx、碳氢化合物、CO等</w:t>
            </w:r>
          </w:p>
        </w:tc>
        <w:tc>
          <w:tcPr>
            <w:tcW w:w="1311" w:type="pct"/>
            <w:tcBorders>
              <w:tl2br w:val="nil"/>
              <w:tr2bl w:val="nil"/>
            </w:tcBorders>
            <w:vAlign w:val="center"/>
          </w:tcPr>
          <w:p>
            <w:pPr>
              <w:pStyle w:val="141"/>
            </w:pPr>
            <w:r>
              <w:rPr>
                <w:rFonts w:hint="eastAsia"/>
              </w:rPr>
              <w:t>开阔场地，加强绿化</w:t>
            </w:r>
          </w:p>
        </w:tc>
        <w:tc>
          <w:tcPr>
            <w:tcW w:w="1080" w:type="pct"/>
            <w:vMerge w:val="continue"/>
            <w:tcBorders>
              <w:tl2br w:val="nil"/>
              <w:tr2bl w:val="nil"/>
            </w:tcBorders>
            <w:vAlign w:val="center"/>
          </w:tcPr>
          <w:p>
            <w:pPr>
              <w:pStyle w:val="141"/>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31" w:type="pct"/>
            <w:vMerge w:val="restart"/>
            <w:tcBorders>
              <w:tl2br w:val="nil"/>
              <w:tr2bl w:val="nil"/>
            </w:tcBorders>
            <w:vAlign w:val="center"/>
          </w:tcPr>
          <w:p>
            <w:pPr>
              <w:pStyle w:val="141"/>
            </w:pPr>
            <w:r>
              <w:t>水</w:t>
            </w:r>
          </w:p>
          <w:p>
            <w:pPr>
              <w:pStyle w:val="141"/>
            </w:pPr>
            <w:r>
              <w:t>污</w:t>
            </w:r>
          </w:p>
          <w:p>
            <w:pPr>
              <w:pStyle w:val="141"/>
            </w:pPr>
            <w:r>
              <w:t>染</w:t>
            </w:r>
          </w:p>
          <w:p>
            <w:pPr>
              <w:pStyle w:val="141"/>
            </w:pPr>
            <w:r>
              <w:t>物</w:t>
            </w:r>
          </w:p>
        </w:tc>
        <w:tc>
          <w:tcPr>
            <w:tcW w:w="402" w:type="pct"/>
            <w:vMerge w:val="restart"/>
            <w:tcBorders>
              <w:tl2br w:val="nil"/>
              <w:tr2bl w:val="nil"/>
            </w:tcBorders>
            <w:vAlign w:val="center"/>
          </w:tcPr>
          <w:p>
            <w:pPr>
              <w:pStyle w:val="141"/>
            </w:pPr>
            <w:r>
              <w:rPr>
                <w:rFonts w:hint="eastAsia"/>
              </w:rPr>
              <w:t>施工期</w:t>
            </w:r>
          </w:p>
        </w:tc>
        <w:tc>
          <w:tcPr>
            <w:tcW w:w="693" w:type="pct"/>
            <w:tcBorders>
              <w:tl2br w:val="nil"/>
              <w:tr2bl w:val="nil"/>
            </w:tcBorders>
            <w:vAlign w:val="center"/>
          </w:tcPr>
          <w:p>
            <w:pPr>
              <w:pStyle w:val="141"/>
            </w:pPr>
            <w:r>
              <w:rPr>
                <w:rFonts w:hint="eastAsia"/>
              </w:rPr>
              <w:t>施工废水</w:t>
            </w:r>
          </w:p>
        </w:tc>
        <w:tc>
          <w:tcPr>
            <w:tcW w:w="1080" w:type="pct"/>
            <w:tcBorders>
              <w:tl2br w:val="nil"/>
              <w:tr2bl w:val="nil"/>
            </w:tcBorders>
            <w:vAlign w:val="center"/>
          </w:tcPr>
          <w:p>
            <w:pPr>
              <w:pStyle w:val="141"/>
            </w:pPr>
            <w:r>
              <w:rPr>
                <w:rFonts w:hint="eastAsia"/>
              </w:rPr>
              <w:t>SS、石油</w:t>
            </w:r>
          </w:p>
        </w:tc>
        <w:tc>
          <w:tcPr>
            <w:tcW w:w="1311" w:type="pct"/>
            <w:tcBorders>
              <w:tl2br w:val="nil"/>
              <w:tr2bl w:val="nil"/>
            </w:tcBorders>
            <w:vAlign w:val="center"/>
          </w:tcPr>
          <w:p>
            <w:pPr>
              <w:pStyle w:val="141"/>
            </w:pPr>
            <w:r>
              <w:rPr>
                <w:rFonts w:hint="eastAsia"/>
              </w:rPr>
              <w:t>经沉淀处理后用于施工道路场地洒</w:t>
            </w:r>
          </w:p>
        </w:tc>
        <w:tc>
          <w:tcPr>
            <w:tcW w:w="1080" w:type="pct"/>
            <w:vMerge w:val="restart"/>
            <w:tcBorders>
              <w:tl2br w:val="nil"/>
              <w:tr2bl w:val="nil"/>
            </w:tcBorders>
            <w:vAlign w:val="center"/>
          </w:tcPr>
          <w:p>
            <w:pPr>
              <w:pStyle w:val="141"/>
            </w:pPr>
            <w:r>
              <w:rPr>
                <w:rFonts w:hint="eastAsia"/>
              </w:rPr>
              <w:t>不会对周边地表水体产生明显影响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31" w:type="pct"/>
            <w:vMerge w:val="continue"/>
            <w:tcBorders>
              <w:tl2br w:val="nil"/>
              <w:tr2bl w:val="nil"/>
            </w:tcBorders>
            <w:vAlign w:val="center"/>
          </w:tcPr>
          <w:p>
            <w:pPr>
              <w:pStyle w:val="141"/>
            </w:pPr>
          </w:p>
        </w:tc>
        <w:tc>
          <w:tcPr>
            <w:tcW w:w="402" w:type="pct"/>
            <w:vMerge w:val="continue"/>
            <w:tcBorders>
              <w:tl2br w:val="nil"/>
              <w:tr2bl w:val="nil"/>
            </w:tcBorders>
            <w:vAlign w:val="center"/>
          </w:tcPr>
          <w:p>
            <w:pPr>
              <w:pStyle w:val="141"/>
            </w:pPr>
          </w:p>
        </w:tc>
        <w:tc>
          <w:tcPr>
            <w:tcW w:w="693" w:type="pct"/>
            <w:tcBorders>
              <w:tl2br w:val="nil"/>
              <w:tr2bl w:val="nil"/>
            </w:tcBorders>
            <w:vAlign w:val="center"/>
          </w:tcPr>
          <w:p>
            <w:pPr>
              <w:pStyle w:val="141"/>
            </w:pPr>
            <w:r>
              <w:rPr>
                <w:rFonts w:hint="eastAsia"/>
              </w:rPr>
              <w:t>生活污水</w:t>
            </w:r>
          </w:p>
        </w:tc>
        <w:tc>
          <w:tcPr>
            <w:tcW w:w="1080" w:type="pct"/>
            <w:tcBorders>
              <w:tl2br w:val="nil"/>
              <w:tr2bl w:val="nil"/>
            </w:tcBorders>
            <w:vAlign w:val="center"/>
          </w:tcPr>
          <w:p>
            <w:pPr>
              <w:pStyle w:val="141"/>
            </w:pPr>
            <w:r>
              <w:rPr>
                <w:rFonts w:hint="eastAsia"/>
              </w:rPr>
              <w:t>COD 、BOD</w:t>
            </w:r>
            <w:r>
              <w:rPr>
                <w:rFonts w:hint="eastAsia"/>
                <w:vertAlign w:val="subscript"/>
              </w:rPr>
              <w:t>5</w:t>
            </w:r>
            <w:r>
              <w:rPr>
                <w:rFonts w:hint="eastAsia"/>
              </w:rPr>
              <w:t>、SS、氨氮</w:t>
            </w:r>
          </w:p>
        </w:tc>
        <w:tc>
          <w:tcPr>
            <w:tcW w:w="1311" w:type="pct"/>
            <w:tcBorders>
              <w:tl2br w:val="nil"/>
              <w:tr2bl w:val="nil"/>
            </w:tcBorders>
            <w:vAlign w:val="center"/>
          </w:tcPr>
          <w:p>
            <w:pPr>
              <w:pStyle w:val="141"/>
            </w:pPr>
            <w:r>
              <w:rPr>
                <w:rFonts w:hint="eastAsia"/>
              </w:rPr>
              <w:t>建立流动厕所，收集统一处理</w:t>
            </w:r>
          </w:p>
        </w:tc>
        <w:tc>
          <w:tcPr>
            <w:tcW w:w="1080" w:type="pct"/>
            <w:vMerge w:val="continue"/>
            <w:tcBorders>
              <w:tl2br w:val="nil"/>
              <w:tr2bl w:val="nil"/>
            </w:tcBorders>
            <w:vAlign w:val="center"/>
          </w:tcPr>
          <w:p>
            <w:pPr>
              <w:pStyle w:val="141"/>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31" w:type="pct"/>
            <w:vMerge w:val="continue"/>
            <w:tcBorders>
              <w:tl2br w:val="nil"/>
              <w:tr2bl w:val="nil"/>
            </w:tcBorders>
            <w:vAlign w:val="center"/>
          </w:tcPr>
          <w:p>
            <w:pPr>
              <w:pStyle w:val="141"/>
            </w:pPr>
          </w:p>
        </w:tc>
        <w:tc>
          <w:tcPr>
            <w:tcW w:w="402" w:type="pct"/>
            <w:vMerge w:val="restart"/>
            <w:tcBorders>
              <w:tl2br w:val="nil"/>
              <w:tr2bl w:val="nil"/>
            </w:tcBorders>
            <w:vAlign w:val="center"/>
          </w:tcPr>
          <w:p>
            <w:pPr>
              <w:pStyle w:val="141"/>
            </w:pPr>
            <w:r>
              <w:rPr>
                <w:rFonts w:hint="eastAsia"/>
              </w:rPr>
              <w:t>营运期</w:t>
            </w:r>
          </w:p>
        </w:tc>
        <w:tc>
          <w:tcPr>
            <w:tcW w:w="693" w:type="pct"/>
            <w:tcBorders>
              <w:tl2br w:val="nil"/>
              <w:tr2bl w:val="nil"/>
            </w:tcBorders>
            <w:vAlign w:val="center"/>
          </w:tcPr>
          <w:p>
            <w:pPr>
              <w:pStyle w:val="141"/>
            </w:pPr>
            <w:r>
              <w:rPr>
                <w:rFonts w:hint="eastAsia"/>
              </w:rPr>
              <w:t>生活污水</w:t>
            </w:r>
          </w:p>
        </w:tc>
        <w:tc>
          <w:tcPr>
            <w:tcW w:w="1080" w:type="pct"/>
            <w:tcBorders>
              <w:tl2br w:val="nil"/>
              <w:tr2bl w:val="nil"/>
            </w:tcBorders>
            <w:vAlign w:val="center"/>
          </w:tcPr>
          <w:p>
            <w:pPr>
              <w:pStyle w:val="141"/>
              <w:jc w:val="center"/>
            </w:pPr>
            <w:r>
              <w:t>COD</w:t>
            </w:r>
            <w:r>
              <w:rPr>
                <w:rFonts w:hint="eastAsia"/>
              </w:rPr>
              <w:t>、</w:t>
            </w:r>
            <w:r>
              <w:t>BOD</w:t>
            </w:r>
            <w:r>
              <w:rPr>
                <w:vertAlign w:val="subscript"/>
              </w:rPr>
              <w:t>5</w:t>
            </w:r>
            <w:r>
              <w:rPr>
                <w:rFonts w:hint="eastAsia"/>
              </w:rPr>
              <w:t>、</w:t>
            </w:r>
            <w:r>
              <w:t>SS</w:t>
            </w:r>
          </w:p>
        </w:tc>
        <w:tc>
          <w:tcPr>
            <w:tcW w:w="1311" w:type="pct"/>
            <w:tcBorders>
              <w:tl2br w:val="nil"/>
              <w:tr2bl w:val="nil"/>
            </w:tcBorders>
          </w:tcPr>
          <w:p>
            <w:pPr>
              <w:pStyle w:val="141"/>
            </w:pPr>
            <w:r>
              <w:rPr>
                <w:rFonts w:hint="eastAsia"/>
              </w:rPr>
              <w:t>经三级化粪处理后，由附近村民定期清掏用于肥田</w:t>
            </w:r>
          </w:p>
        </w:tc>
        <w:tc>
          <w:tcPr>
            <w:tcW w:w="1080" w:type="pct"/>
            <w:vMerge w:val="restart"/>
            <w:tcBorders>
              <w:tl2br w:val="nil"/>
              <w:tr2bl w:val="nil"/>
            </w:tcBorders>
            <w:vAlign w:val="center"/>
          </w:tcPr>
          <w:p>
            <w:pPr>
              <w:pStyle w:val="141"/>
              <w:jc w:val="center"/>
            </w:pPr>
            <w:r>
              <w:rPr>
                <w:rFonts w:hint="eastAsia"/>
              </w:rPr>
              <w:t>不会对周边地表水体产生明显影响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31" w:type="pct"/>
            <w:vMerge w:val="continue"/>
            <w:tcBorders>
              <w:tl2br w:val="nil"/>
              <w:tr2bl w:val="nil"/>
            </w:tcBorders>
            <w:vAlign w:val="center"/>
          </w:tcPr>
          <w:p>
            <w:pPr>
              <w:pStyle w:val="141"/>
            </w:pPr>
          </w:p>
        </w:tc>
        <w:tc>
          <w:tcPr>
            <w:tcW w:w="402" w:type="pct"/>
            <w:vMerge w:val="continue"/>
            <w:tcBorders>
              <w:tl2br w:val="nil"/>
              <w:tr2bl w:val="nil"/>
            </w:tcBorders>
            <w:vAlign w:val="center"/>
          </w:tcPr>
          <w:p>
            <w:pPr>
              <w:pStyle w:val="141"/>
            </w:pPr>
          </w:p>
        </w:tc>
        <w:tc>
          <w:tcPr>
            <w:tcW w:w="693" w:type="pct"/>
            <w:tcBorders>
              <w:tl2br w:val="nil"/>
              <w:tr2bl w:val="nil"/>
            </w:tcBorders>
            <w:vAlign w:val="center"/>
          </w:tcPr>
          <w:p>
            <w:pPr>
              <w:pStyle w:val="141"/>
            </w:pPr>
            <w:r>
              <w:rPr>
                <w:rFonts w:hint="eastAsia"/>
              </w:rPr>
              <w:t>清洗废水</w:t>
            </w:r>
          </w:p>
        </w:tc>
        <w:tc>
          <w:tcPr>
            <w:tcW w:w="1080" w:type="pct"/>
            <w:tcBorders>
              <w:tl2br w:val="nil"/>
              <w:tr2bl w:val="nil"/>
            </w:tcBorders>
            <w:vAlign w:val="center"/>
          </w:tcPr>
          <w:p>
            <w:pPr>
              <w:pStyle w:val="141"/>
              <w:jc w:val="center"/>
            </w:pPr>
            <w:r>
              <w:rPr>
                <w:rFonts w:hint="eastAsia"/>
              </w:rPr>
              <w:t>COD、SS、石油类</w:t>
            </w:r>
          </w:p>
        </w:tc>
        <w:tc>
          <w:tcPr>
            <w:tcW w:w="1311" w:type="pct"/>
            <w:tcBorders>
              <w:tl2br w:val="nil"/>
              <w:tr2bl w:val="nil"/>
            </w:tcBorders>
          </w:tcPr>
          <w:p>
            <w:pPr>
              <w:pStyle w:val="141"/>
              <w:rPr>
                <w:rFonts w:hint="default" w:eastAsia="宋体"/>
                <w:lang w:val="en-US" w:eastAsia="zh-CN"/>
              </w:rPr>
            </w:pPr>
            <w:r>
              <w:rPr>
                <w:rFonts w:hint="eastAsia"/>
              </w:rPr>
              <w:t>经隔油池、三级沉淀池处理后回用</w:t>
            </w:r>
            <w:r>
              <w:rPr>
                <w:rFonts w:hint="eastAsia"/>
                <w:lang w:val="en-US" w:eastAsia="zh-CN"/>
              </w:rPr>
              <w:t>站内洒水降尘和站内绿化</w:t>
            </w:r>
          </w:p>
        </w:tc>
        <w:tc>
          <w:tcPr>
            <w:tcW w:w="1080" w:type="pct"/>
            <w:vMerge w:val="continue"/>
            <w:tcBorders>
              <w:tl2br w:val="nil"/>
              <w:tr2bl w:val="nil"/>
            </w:tcBorders>
          </w:tcPr>
          <w:p>
            <w:pPr>
              <w:pStyle w:val="141"/>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31" w:type="pct"/>
            <w:vMerge w:val="continue"/>
            <w:tcBorders>
              <w:tl2br w:val="nil"/>
              <w:tr2bl w:val="nil"/>
            </w:tcBorders>
            <w:vAlign w:val="center"/>
          </w:tcPr>
          <w:p>
            <w:pPr>
              <w:pStyle w:val="141"/>
            </w:pPr>
          </w:p>
        </w:tc>
        <w:tc>
          <w:tcPr>
            <w:tcW w:w="402" w:type="pct"/>
            <w:vMerge w:val="continue"/>
            <w:tcBorders>
              <w:tl2br w:val="nil"/>
              <w:tr2bl w:val="nil"/>
            </w:tcBorders>
            <w:vAlign w:val="center"/>
          </w:tcPr>
          <w:p>
            <w:pPr>
              <w:pStyle w:val="141"/>
            </w:pPr>
          </w:p>
        </w:tc>
        <w:tc>
          <w:tcPr>
            <w:tcW w:w="693" w:type="pct"/>
            <w:tcBorders>
              <w:tl2br w:val="nil"/>
              <w:tr2bl w:val="nil"/>
            </w:tcBorders>
            <w:vAlign w:val="center"/>
          </w:tcPr>
          <w:p>
            <w:pPr>
              <w:pStyle w:val="141"/>
            </w:pPr>
            <w:r>
              <w:rPr>
                <w:rFonts w:hint="eastAsia"/>
              </w:rPr>
              <w:t>初期雨水</w:t>
            </w:r>
          </w:p>
        </w:tc>
        <w:tc>
          <w:tcPr>
            <w:tcW w:w="1080" w:type="pct"/>
            <w:tcBorders>
              <w:tl2br w:val="nil"/>
              <w:tr2bl w:val="nil"/>
            </w:tcBorders>
            <w:vAlign w:val="center"/>
          </w:tcPr>
          <w:p>
            <w:pPr>
              <w:pStyle w:val="141"/>
              <w:jc w:val="center"/>
            </w:pPr>
            <w:r>
              <w:rPr>
                <w:rFonts w:hint="eastAsia"/>
              </w:rPr>
              <w:t>SS、石油类</w:t>
            </w:r>
          </w:p>
        </w:tc>
        <w:tc>
          <w:tcPr>
            <w:tcW w:w="1311" w:type="pct"/>
            <w:tcBorders>
              <w:tl2br w:val="nil"/>
              <w:tr2bl w:val="nil"/>
            </w:tcBorders>
          </w:tcPr>
          <w:p>
            <w:pPr>
              <w:pStyle w:val="141"/>
              <w:rPr>
                <w:rFonts w:hint="default" w:eastAsia="宋体"/>
                <w:lang w:val="en-US" w:eastAsia="zh-CN"/>
              </w:rPr>
            </w:pPr>
            <w:r>
              <w:rPr>
                <w:rFonts w:hint="eastAsia"/>
              </w:rPr>
              <w:t>初期雨水经截流沟收集并进入隔油池、三级沉淀池处理后回用</w:t>
            </w:r>
            <w:r>
              <w:rPr>
                <w:rFonts w:hint="eastAsia"/>
                <w:lang w:val="en-US" w:eastAsia="zh-CN"/>
              </w:rPr>
              <w:t>站内洒水降尘</w:t>
            </w:r>
          </w:p>
        </w:tc>
        <w:tc>
          <w:tcPr>
            <w:tcW w:w="1080" w:type="pct"/>
            <w:tcBorders>
              <w:tl2br w:val="nil"/>
              <w:tr2bl w:val="nil"/>
            </w:tcBorders>
            <w:vAlign w:val="center"/>
          </w:tcPr>
          <w:p>
            <w:pPr>
              <w:pStyle w:val="141"/>
              <w:jc w:val="center"/>
            </w:pPr>
            <w:r>
              <w:rPr>
                <w:rFonts w:hint="eastAsia"/>
              </w:rPr>
              <w:t>不会对周边地表水体产生明显影响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1" w:type="pct"/>
            <w:vMerge w:val="restart"/>
            <w:tcBorders>
              <w:tl2br w:val="nil"/>
              <w:tr2bl w:val="nil"/>
            </w:tcBorders>
            <w:vAlign w:val="center"/>
          </w:tcPr>
          <w:p>
            <w:pPr>
              <w:pStyle w:val="141"/>
            </w:pPr>
            <w:r>
              <w:t>固</w:t>
            </w:r>
          </w:p>
          <w:p>
            <w:pPr>
              <w:pStyle w:val="141"/>
            </w:pPr>
            <w:r>
              <w:t>体</w:t>
            </w:r>
          </w:p>
          <w:p>
            <w:pPr>
              <w:pStyle w:val="141"/>
            </w:pPr>
            <w:r>
              <w:t>废</w:t>
            </w:r>
          </w:p>
          <w:p>
            <w:pPr>
              <w:pStyle w:val="141"/>
            </w:pPr>
            <w:r>
              <w:t>物</w:t>
            </w:r>
          </w:p>
        </w:tc>
        <w:tc>
          <w:tcPr>
            <w:tcW w:w="402" w:type="pct"/>
            <w:vMerge w:val="restart"/>
            <w:tcBorders>
              <w:tl2br w:val="nil"/>
              <w:tr2bl w:val="nil"/>
            </w:tcBorders>
            <w:vAlign w:val="center"/>
          </w:tcPr>
          <w:p>
            <w:pPr>
              <w:pStyle w:val="141"/>
            </w:pPr>
            <w:r>
              <w:rPr>
                <w:rFonts w:hint="eastAsia"/>
              </w:rPr>
              <w:t>施工期</w:t>
            </w:r>
          </w:p>
        </w:tc>
        <w:tc>
          <w:tcPr>
            <w:tcW w:w="693" w:type="pct"/>
            <w:tcBorders>
              <w:tl2br w:val="nil"/>
              <w:tr2bl w:val="nil"/>
            </w:tcBorders>
            <w:vAlign w:val="center"/>
          </w:tcPr>
          <w:p>
            <w:pPr>
              <w:pStyle w:val="141"/>
            </w:pPr>
            <w:r>
              <w:rPr>
                <w:rFonts w:hint="eastAsia"/>
              </w:rPr>
              <w:t>建筑垃圾</w:t>
            </w:r>
          </w:p>
        </w:tc>
        <w:tc>
          <w:tcPr>
            <w:tcW w:w="1080" w:type="pct"/>
            <w:tcBorders>
              <w:tl2br w:val="nil"/>
              <w:tr2bl w:val="nil"/>
            </w:tcBorders>
            <w:vAlign w:val="center"/>
          </w:tcPr>
          <w:p>
            <w:pPr>
              <w:pStyle w:val="141"/>
            </w:pPr>
            <w:r>
              <w:rPr>
                <w:rFonts w:hint="eastAsia"/>
              </w:rPr>
              <w:t>建筑垃圾</w:t>
            </w:r>
          </w:p>
        </w:tc>
        <w:tc>
          <w:tcPr>
            <w:tcW w:w="1311" w:type="pct"/>
            <w:tcBorders>
              <w:tl2br w:val="nil"/>
              <w:tr2bl w:val="nil"/>
            </w:tcBorders>
            <w:vAlign w:val="center"/>
          </w:tcPr>
          <w:p>
            <w:pPr>
              <w:pStyle w:val="141"/>
            </w:pPr>
            <w:r>
              <w:rPr>
                <w:rFonts w:hint="eastAsia"/>
              </w:rPr>
              <w:t>运往建筑垃圾弃料场</w:t>
            </w:r>
          </w:p>
        </w:tc>
        <w:tc>
          <w:tcPr>
            <w:tcW w:w="1080" w:type="pct"/>
            <w:vMerge w:val="restart"/>
            <w:tcBorders>
              <w:tl2br w:val="nil"/>
              <w:tr2bl w:val="nil"/>
            </w:tcBorders>
            <w:vAlign w:val="center"/>
          </w:tcPr>
          <w:p>
            <w:pPr>
              <w:pStyle w:val="141"/>
            </w:pPr>
            <w:r>
              <w:rPr>
                <w:rFonts w:hint="eastAsia" w:ascii="宋体" w:cs="宋体"/>
              </w:rPr>
              <w:t>不会对项目周围环</w:t>
            </w:r>
            <w:r>
              <w:rPr>
                <w:rFonts w:hint="eastAsia"/>
              </w:rPr>
              <w:t>境产生不良影响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1" w:type="pct"/>
            <w:vMerge w:val="continue"/>
            <w:tcBorders>
              <w:tl2br w:val="nil"/>
              <w:tr2bl w:val="nil"/>
            </w:tcBorders>
            <w:vAlign w:val="center"/>
          </w:tcPr>
          <w:p>
            <w:pPr>
              <w:pStyle w:val="141"/>
            </w:pPr>
          </w:p>
        </w:tc>
        <w:tc>
          <w:tcPr>
            <w:tcW w:w="402" w:type="pct"/>
            <w:vMerge w:val="continue"/>
            <w:tcBorders>
              <w:tl2br w:val="nil"/>
              <w:tr2bl w:val="nil"/>
            </w:tcBorders>
            <w:vAlign w:val="center"/>
          </w:tcPr>
          <w:p>
            <w:pPr>
              <w:pStyle w:val="141"/>
            </w:pPr>
          </w:p>
        </w:tc>
        <w:tc>
          <w:tcPr>
            <w:tcW w:w="693" w:type="pct"/>
            <w:tcBorders>
              <w:tl2br w:val="nil"/>
              <w:tr2bl w:val="nil"/>
            </w:tcBorders>
            <w:vAlign w:val="center"/>
          </w:tcPr>
          <w:p>
            <w:pPr>
              <w:pStyle w:val="141"/>
            </w:pPr>
            <w:r>
              <w:rPr>
                <w:rFonts w:hint="eastAsia"/>
              </w:rPr>
              <w:t>余泥</w:t>
            </w:r>
          </w:p>
        </w:tc>
        <w:tc>
          <w:tcPr>
            <w:tcW w:w="1080" w:type="pct"/>
            <w:tcBorders>
              <w:tl2br w:val="nil"/>
              <w:tr2bl w:val="nil"/>
            </w:tcBorders>
            <w:vAlign w:val="center"/>
          </w:tcPr>
          <w:p>
            <w:pPr>
              <w:pStyle w:val="141"/>
            </w:pPr>
            <w:r>
              <w:rPr>
                <w:rFonts w:hint="eastAsia"/>
              </w:rPr>
              <w:t>土石方</w:t>
            </w:r>
          </w:p>
        </w:tc>
        <w:tc>
          <w:tcPr>
            <w:tcW w:w="1311" w:type="pct"/>
            <w:tcBorders>
              <w:tl2br w:val="nil"/>
              <w:tr2bl w:val="nil"/>
            </w:tcBorders>
            <w:vAlign w:val="center"/>
          </w:tcPr>
          <w:p>
            <w:pPr>
              <w:pStyle w:val="141"/>
            </w:pPr>
            <w:r>
              <w:rPr>
                <w:rFonts w:hint="eastAsia" w:ascii="宋体" w:cs="宋体"/>
              </w:rPr>
              <w:t>基础填方、站内道路及绿化</w:t>
            </w:r>
            <w:r>
              <w:rPr>
                <w:rFonts w:hint="eastAsia"/>
              </w:rPr>
              <w:t>建筑，没有外排土方</w:t>
            </w:r>
          </w:p>
        </w:tc>
        <w:tc>
          <w:tcPr>
            <w:tcW w:w="1080" w:type="pct"/>
            <w:vMerge w:val="continue"/>
            <w:tcBorders>
              <w:tl2br w:val="nil"/>
              <w:tr2bl w:val="nil"/>
            </w:tcBorders>
            <w:vAlign w:val="center"/>
          </w:tcPr>
          <w:p>
            <w:pPr>
              <w:pStyle w:val="141"/>
              <w:rPr>
                <w:rFonts w:ascii="宋体" w:hAnsi="宋体" w:cs="宋体"/>
                <w:szCs w:val="22"/>
                <w:lang w:val="zh-CN" w:bidi="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1" w:type="pct"/>
            <w:vMerge w:val="continue"/>
            <w:tcBorders>
              <w:tl2br w:val="nil"/>
              <w:tr2bl w:val="nil"/>
            </w:tcBorders>
            <w:vAlign w:val="center"/>
          </w:tcPr>
          <w:p>
            <w:pPr>
              <w:pStyle w:val="141"/>
            </w:pPr>
          </w:p>
        </w:tc>
        <w:tc>
          <w:tcPr>
            <w:tcW w:w="402" w:type="pct"/>
            <w:vMerge w:val="continue"/>
            <w:tcBorders>
              <w:tl2br w:val="nil"/>
              <w:tr2bl w:val="nil"/>
            </w:tcBorders>
            <w:vAlign w:val="center"/>
          </w:tcPr>
          <w:p>
            <w:pPr>
              <w:pStyle w:val="141"/>
            </w:pPr>
          </w:p>
        </w:tc>
        <w:tc>
          <w:tcPr>
            <w:tcW w:w="693" w:type="pct"/>
            <w:tcBorders>
              <w:tl2br w:val="nil"/>
              <w:tr2bl w:val="nil"/>
            </w:tcBorders>
            <w:vAlign w:val="center"/>
          </w:tcPr>
          <w:p>
            <w:pPr>
              <w:pStyle w:val="141"/>
            </w:pPr>
            <w:r>
              <w:rPr>
                <w:rFonts w:hint="eastAsia"/>
              </w:rPr>
              <w:t>生活垃圾</w:t>
            </w:r>
          </w:p>
        </w:tc>
        <w:tc>
          <w:tcPr>
            <w:tcW w:w="1080" w:type="pct"/>
            <w:tcBorders>
              <w:tl2br w:val="nil"/>
              <w:tr2bl w:val="nil"/>
            </w:tcBorders>
            <w:vAlign w:val="center"/>
          </w:tcPr>
          <w:p>
            <w:pPr>
              <w:pStyle w:val="141"/>
            </w:pPr>
            <w:r>
              <w:rPr>
                <w:rFonts w:hint="eastAsia"/>
              </w:rPr>
              <w:t>生活垃圾</w:t>
            </w:r>
          </w:p>
        </w:tc>
        <w:tc>
          <w:tcPr>
            <w:tcW w:w="1311" w:type="pct"/>
            <w:tcBorders>
              <w:tl2br w:val="nil"/>
              <w:tr2bl w:val="nil"/>
            </w:tcBorders>
            <w:vAlign w:val="center"/>
          </w:tcPr>
          <w:p>
            <w:pPr>
              <w:pStyle w:val="141"/>
            </w:pPr>
            <w:r>
              <w:rPr>
                <w:rFonts w:hint="eastAsia"/>
              </w:rPr>
              <w:t>分类收集后，日产日清</w:t>
            </w:r>
          </w:p>
        </w:tc>
        <w:tc>
          <w:tcPr>
            <w:tcW w:w="1080" w:type="pct"/>
            <w:vMerge w:val="continue"/>
            <w:tcBorders>
              <w:tl2br w:val="nil"/>
              <w:tr2bl w:val="nil"/>
            </w:tcBorders>
            <w:vAlign w:val="center"/>
          </w:tcPr>
          <w:p>
            <w:pPr>
              <w:pStyle w:val="141"/>
              <w:rPr>
                <w:rFonts w:ascii="宋体" w:hAnsi="宋体" w:cs="宋体"/>
                <w:szCs w:val="22"/>
                <w:lang w:val="zh-CN" w:bidi="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1" w:type="pct"/>
            <w:vMerge w:val="continue"/>
            <w:tcBorders>
              <w:tl2br w:val="nil"/>
              <w:tr2bl w:val="nil"/>
            </w:tcBorders>
            <w:vAlign w:val="center"/>
          </w:tcPr>
          <w:p>
            <w:pPr>
              <w:pStyle w:val="141"/>
            </w:pPr>
          </w:p>
        </w:tc>
        <w:tc>
          <w:tcPr>
            <w:tcW w:w="402" w:type="pct"/>
            <w:vMerge w:val="restart"/>
            <w:tcBorders>
              <w:tl2br w:val="nil"/>
              <w:tr2bl w:val="nil"/>
            </w:tcBorders>
            <w:vAlign w:val="center"/>
          </w:tcPr>
          <w:p>
            <w:pPr>
              <w:pStyle w:val="141"/>
            </w:pPr>
            <w:r>
              <w:rPr>
                <w:rFonts w:hint="eastAsia"/>
              </w:rPr>
              <w:t>营运期</w:t>
            </w:r>
          </w:p>
        </w:tc>
        <w:tc>
          <w:tcPr>
            <w:tcW w:w="693" w:type="pct"/>
            <w:tcBorders>
              <w:tl2br w:val="nil"/>
              <w:tr2bl w:val="nil"/>
            </w:tcBorders>
            <w:vAlign w:val="center"/>
          </w:tcPr>
          <w:p>
            <w:pPr>
              <w:pStyle w:val="141"/>
            </w:pPr>
            <w:r>
              <w:rPr>
                <w:rFonts w:hint="eastAsia"/>
              </w:rPr>
              <w:t>危险废物</w:t>
            </w:r>
          </w:p>
        </w:tc>
        <w:tc>
          <w:tcPr>
            <w:tcW w:w="1080" w:type="pct"/>
            <w:tcBorders>
              <w:tl2br w:val="nil"/>
              <w:tr2bl w:val="nil"/>
            </w:tcBorders>
            <w:vAlign w:val="center"/>
          </w:tcPr>
          <w:p>
            <w:pPr>
              <w:pStyle w:val="141"/>
            </w:pPr>
            <w:r>
              <w:rPr>
                <w:rFonts w:hint="eastAsia"/>
              </w:rPr>
              <w:t>废含油抹布、废油、油泥</w:t>
            </w:r>
          </w:p>
        </w:tc>
        <w:tc>
          <w:tcPr>
            <w:tcW w:w="1311" w:type="pct"/>
            <w:tcBorders>
              <w:tl2br w:val="nil"/>
              <w:tr2bl w:val="nil"/>
            </w:tcBorders>
            <w:vAlign w:val="center"/>
          </w:tcPr>
          <w:p>
            <w:pPr>
              <w:pStyle w:val="141"/>
            </w:pPr>
            <w:r>
              <w:rPr>
                <w:rFonts w:hint="eastAsia"/>
              </w:rPr>
              <w:t>委托有相关资质单位收运处理</w:t>
            </w:r>
          </w:p>
        </w:tc>
        <w:tc>
          <w:tcPr>
            <w:tcW w:w="1080" w:type="pct"/>
            <w:vMerge w:val="continue"/>
            <w:tcBorders>
              <w:tl2br w:val="nil"/>
              <w:tr2bl w:val="nil"/>
            </w:tcBorders>
            <w:vAlign w:val="center"/>
          </w:tcPr>
          <w:p>
            <w:pPr>
              <w:pStyle w:val="141"/>
              <w:rPr>
                <w:rFonts w:ascii="宋体" w:hAnsi="宋体" w:cs="宋体"/>
                <w:szCs w:val="22"/>
                <w:lang w:val="zh-CN" w:bidi="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1" w:type="pct"/>
            <w:vMerge w:val="continue"/>
            <w:tcBorders>
              <w:tl2br w:val="nil"/>
              <w:tr2bl w:val="nil"/>
            </w:tcBorders>
            <w:vAlign w:val="center"/>
          </w:tcPr>
          <w:p>
            <w:pPr>
              <w:pStyle w:val="141"/>
            </w:pPr>
          </w:p>
        </w:tc>
        <w:tc>
          <w:tcPr>
            <w:tcW w:w="402" w:type="pct"/>
            <w:vMerge w:val="continue"/>
            <w:tcBorders>
              <w:tl2br w:val="nil"/>
              <w:tr2bl w:val="nil"/>
            </w:tcBorders>
            <w:vAlign w:val="center"/>
          </w:tcPr>
          <w:p>
            <w:pPr>
              <w:pStyle w:val="141"/>
            </w:pPr>
          </w:p>
        </w:tc>
        <w:tc>
          <w:tcPr>
            <w:tcW w:w="693" w:type="pct"/>
            <w:tcBorders>
              <w:tl2br w:val="nil"/>
              <w:tr2bl w:val="nil"/>
            </w:tcBorders>
            <w:vAlign w:val="center"/>
          </w:tcPr>
          <w:p>
            <w:pPr>
              <w:pStyle w:val="141"/>
            </w:pPr>
            <w:r>
              <w:rPr>
                <w:rFonts w:hint="eastAsia"/>
              </w:rPr>
              <w:t>生活垃圾</w:t>
            </w:r>
          </w:p>
        </w:tc>
        <w:tc>
          <w:tcPr>
            <w:tcW w:w="1080" w:type="pct"/>
            <w:tcBorders>
              <w:tl2br w:val="nil"/>
              <w:tr2bl w:val="nil"/>
            </w:tcBorders>
            <w:vAlign w:val="center"/>
          </w:tcPr>
          <w:p>
            <w:pPr>
              <w:pStyle w:val="141"/>
            </w:pPr>
            <w:r>
              <w:rPr>
                <w:rFonts w:hint="eastAsia"/>
              </w:rPr>
              <w:t>生活垃圾</w:t>
            </w:r>
          </w:p>
        </w:tc>
        <w:tc>
          <w:tcPr>
            <w:tcW w:w="1311" w:type="pct"/>
            <w:tcBorders>
              <w:tl2br w:val="nil"/>
              <w:tr2bl w:val="nil"/>
            </w:tcBorders>
            <w:vAlign w:val="center"/>
          </w:tcPr>
          <w:p>
            <w:pPr>
              <w:pStyle w:val="141"/>
            </w:pPr>
            <w:r>
              <w:rPr>
                <w:rFonts w:hint="eastAsia"/>
              </w:rPr>
              <w:t>由环卫部门统一处理</w:t>
            </w:r>
          </w:p>
        </w:tc>
        <w:tc>
          <w:tcPr>
            <w:tcW w:w="1080" w:type="pct"/>
            <w:vMerge w:val="continue"/>
            <w:tcBorders>
              <w:tl2br w:val="nil"/>
              <w:tr2bl w:val="nil"/>
            </w:tcBorders>
            <w:vAlign w:val="center"/>
          </w:tcPr>
          <w:p>
            <w:pPr>
              <w:pStyle w:val="141"/>
              <w:rPr>
                <w:rFonts w:ascii="宋体" w:hAnsi="宋体" w:cs="宋体"/>
                <w:szCs w:val="22"/>
                <w:lang w:val="zh-CN" w:bidi="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1" w:type="pct"/>
            <w:vMerge w:val="restart"/>
            <w:tcBorders>
              <w:tl2br w:val="nil"/>
              <w:tr2bl w:val="nil"/>
            </w:tcBorders>
            <w:vAlign w:val="center"/>
          </w:tcPr>
          <w:p>
            <w:pPr>
              <w:pStyle w:val="141"/>
            </w:pPr>
            <w:r>
              <w:rPr>
                <w:rFonts w:hint="eastAsia"/>
              </w:rPr>
              <w:t>噪</w:t>
            </w:r>
          </w:p>
          <w:p>
            <w:pPr>
              <w:pStyle w:val="141"/>
            </w:pPr>
            <w:r>
              <w:rPr>
                <w:rFonts w:hint="eastAsia"/>
              </w:rPr>
              <w:t>声</w:t>
            </w:r>
          </w:p>
        </w:tc>
        <w:tc>
          <w:tcPr>
            <w:tcW w:w="402" w:type="pct"/>
            <w:tcBorders>
              <w:tl2br w:val="nil"/>
              <w:tr2bl w:val="nil"/>
            </w:tcBorders>
            <w:vAlign w:val="center"/>
          </w:tcPr>
          <w:p>
            <w:pPr>
              <w:pStyle w:val="141"/>
            </w:pPr>
            <w:r>
              <w:rPr>
                <w:rFonts w:hAnsi="宋体"/>
              </w:rPr>
              <w:t>施工期</w:t>
            </w:r>
          </w:p>
        </w:tc>
        <w:tc>
          <w:tcPr>
            <w:tcW w:w="1774" w:type="pct"/>
            <w:gridSpan w:val="2"/>
            <w:tcBorders>
              <w:tl2br w:val="nil"/>
              <w:tr2bl w:val="nil"/>
            </w:tcBorders>
            <w:vAlign w:val="center"/>
          </w:tcPr>
          <w:p>
            <w:pPr>
              <w:pStyle w:val="141"/>
              <w:rPr>
                <w:rFonts w:ascii="宋体" w:cs="宋体"/>
              </w:rPr>
            </w:pPr>
            <w:r>
              <w:rPr>
                <w:rFonts w:hint="eastAsia" w:ascii="宋体" w:cs="宋体"/>
              </w:rPr>
              <w:t>挖掘机、混凝土搅拌机、</w:t>
            </w:r>
          </w:p>
          <w:p>
            <w:pPr>
              <w:pStyle w:val="141"/>
            </w:pPr>
            <w:r>
              <w:rPr>
                <w:rFonts w:hint="eastAsia" w:ascii="宋体" w:cs="宋体"/>
              </w:rPr>
              <w:t>电钻等机械设备</w:t>
            </w:r>
          </w:p>
        </w:tc>
        <w:tc>
          <w:tcPr>
            <w:tcW w:w="1311" w:type="pct"/>
            <w:tcBorders>
              <w:tl2br w:val="nil"/>
              <w:tr2bl w:val="nil"/>
            </w:tcBorders>
            <w:vAlign w:val="center"/>
          </w:tcPr>
          <w:p>
            <w:pPr>
              <w:pStyle w:val="141"/>
            </w:pPr>
            <w:r>
              <w:rPr>
                <w:rFonts w:hint="eastAsia" w:ascii="宋体" w:cs="宋体"/>
              </w:rPr>
              <w:t>使用低噪声设备，合理安排高噪声设备作业时段，采用隔声、消声、减振等措施</w:t>
            </w:r>
          </w:p>
        </w:tc>
        <w:tc>
          <w:tcPr>
            <w:tcW w:w="1080" w:type="pct"/>
            <w:tcBorders>
              <w:tl2br w:val="nil"/>
              <w:tr2bl w:val="nil"/>
            </w:tcBorders>
            <w:vAlign w:val="center"/>
          </w:tcPr>
          <w:p>
            <w:pPr>
              <w:pStyle w:val="141"/>
            </w:pPr>
            <w:r>
              <w:rPr>
                <w:rFonts w:hint="eastAsia" w:ascii="宋体" w:cs="宋体"/>
              </w:rPr>
              <w:t>达到《建筑施工场界环境噪声排放标准》（</w:t>
            </w:r>
            <w:r>
              <w:rPr>
                <w:rFonts w:ascii="TimesNewRomanPSMT" w:eastAsia="TimesNewRomanPSMT" w:cs="TimesNewRomanPSMT"/>
              </w:rPr>
              <w:t>GB12523-2011</w:t>
            </w:r>
            <w:r>
              <w:rPr>
                <w:rFonts w:hint="eastAsia" w:ascii="宋体" w:cs="宋体"/>
              </w:rPr>
              <w:t>）要求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1" w:type="pct"/>
            <w:vMerge w:val="continue"/>
            <w:tcBorders>
              <w:tl2br w:val="nil"/>
              <w:tr2bl w:val="nil"/>
            </w:tcBorders>
            <w:vAlign w:val="center"/>
          </w:tcPr>
          <w:p>
            <w:pPr>
              <w:pStyle w:val="141"/>
            </w:pPr>
          </w:p>
        </w:tc>
        <w:tc>
          <w:tcPr>
            <w:tcW w:w="402" w:type="pct"/>
            <w:tcBorders>
              <w:tl2br w:val="nil"/>
              <w:tr2bl w:val="nil"/>
            </w:tcBorders>
            <w:vAlign w:val="center"/>
          </w:tcPr>
          <w:p>
            <w:pPr>
              <w:pStyle w:val="141"/>
            </w:pPr>
            <w:r>
              <w:rPr>
                <w:rFonts w:hAnsi="宋体"/>
              </w:rPr>
              <w:t>营运期</w:t>
            </w:r>
          </w:p>
        </w:tc>
        <w:tc>
          <w:tcPr>
            <w:tcW w:w="1774" w:type="pct"/>
            <w:gridSpan w:val="2"/>
            <w:tcBorders>
              <w:tl2br w:val="nil"/>
              <w:tr2bl w:val="nil"/>
            </w:tcBorders>
            <w:vAlign w:val="center"/>
          </w:tcPr>
          <w:p>
            <w:pPr>
              <w:pStyle w:val="141"/>
              <w:rPr>
                <w:rFonts w:ascii="宋体" w:cs="宋体"/>
              </w:rPr>
            </w:pPr>
            <w:r>
              <w:rPr>
                <w:rFonts w:hint="eastAsia" w:ascii="宋体" w:cs="宋体"/>
              </w:rPr>
              <w:t>生产设备及辅助设备噪</w:t>
            </w:r>
          </w:p>
          <w:p>
            <w:pPr>
              <w:pStyle w:val="141"/>
            </w:pPr>
            <w:r>
              <w:rPr>
                <w:rFonts w:hint="eastAsia" w:ascii="宋体" w:cs="宋体"/>
              </w:rPr>
              <w:t>声</w:t>
            </w:r>
          </w:p>
        </w:tc>
        <w:tc>
          <w:tcPr>
            <w:tcW w:w="1311" w:type="pct"/>
            <w:tcBorders>
              <w:tl2br w:val="nil"/>
              <w:tr2bl w:val="nil"/>
            </w:tcBorders>
            <w:vAlign w:val="center"/>
          </w:tcPr>
          <w:p>
            <w:pPr>
              <w:pStyle w:val="141"/>
              <w:rPr>
                <w:rFonts w:hAnsi="宋体"/>
              </w:rPr>
            </w:pPr>
            <w:r>
              <w:rPr>
                <w:rFonts w:hint="eastAsia" w:ascii="宋体" w:cs="宋体"/>
              </w:rPr>
              <w:t>使用低噪声设备，合理安排高噪声设备作业时段，采用隔声、消声、减振等措施</w:t>
            </w:r>
          </w:p>
        </w:tc>
        <w:tc>
          <w:tcPr>
            <w:tcW w:w="1080" w:type="pct"/>
            <w:tcBorders>
              <w:tl2br w:val="nil"/>
              <w:tr2bl w:val="nil"/>
            </w:tcBorders>
            <w:vAlign w:val="center"/>
          </w:tcPr>
          <w:p>
            <w:pPr>
              <w:pStyle w:val="141"/>
              <w:rPr>
                <w:rFonts w:ascii="宋体" w:cs="宋体"/>
              </w:rPr>
            </w:pPr>
            <w:r>
              <w:rPr>
                <w:rFonts w:hint="eastAsia" w:ascii="宋体" w:cs="宋体"/>
              </w:rPr>
              <w:t>达到《工业企业厂界环境噪声排放标</w:t>
            </w:r>
          </w:p>
          <w:p>
            <w:pPr>
              <w:pStyle w:val="141"/>
              <w:rPr>
                <w:rFonts w:ascii="TimesNewRomanPSMT" w:eastAsia="TimesNewRomanPSMT" w:cs="TimesNewRomanPSMT"/>
              </w:rPr>
            </w:pPr>
            <w:r>
              <w:rPr>
                <w:rFonts w:hint="eastAsia" w:ascii="宋体" w:cs="宋体"/>
              </w:rPr>
              <w:t>准》</w:t>
            </w:r>
            <w:r>
              <w:rPr>
                <w:rFonts w:ascii="TimesNewRomanPSMT" w:eastAsia="TimesNewRomanPSMT" w:cs="TimesNewRomanPSMT"/>
              </w:rPr>
              <w:t>(GBl2348-2008)2</w:t>
            </w:r>
          </w:p>
          <w:p>
            <w:pPr>
              <w:pStyle w:val="141"/>
            </w:pPr>
            <w:r>
              <w:rPr>
                <w:rFonts w:hint="eastAsia" w:ascii="宋体" w:cs="宋体"/>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1" w:type="pct"/>
            <w:tcBorders>
              <w:tl2br w:val="nil"/>
              <w:tr2bl w:val="nil"/>
            </w:tcBorders>
            <w:vAlign w:val="center"/>
          </w:tcPr>
          <w:p>
            <w:pPr>
              <w:pStyle w:val="141"/>
            </w:pPr>
            <w:r>
              <w:t>其他</w:t>
            </w:r>
          </w:p>
        </w:tc>
        <w:tc>
          <w:tcPr>
            <w:tcW w:w="4568" w:type="pct"/>
            <w:gridSpan w:val="5"/>
            <w:tcBorders>
              <w:tl2br w:val="nil"/>
              <w:tr2bl w:val="nil"/>
            </w:tcBorders>
            <w:vAlign w:val="center"/>
          </w:tcPr>
          <w:p>
            <w:pPr>
              <w:pStyle w:val="141"/>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7" w:hRule="atLeast"/>
          <w:jc w:val="center"/>
        </w:trPr>
        <w:tc>
          <w:tcPr>
            <w:tcW w:w="5000" w:type="pct"/>
            <w:gridSpan w:val="6"/>
            <w:tcBorders>
              <w:tl2br w:val="nil"/>
              <w:tr2bl w:val="nil"/>
            </w:tcBorders>
          </w:tcPr>
          <w:p>
            <w:pPr>
              <w:pStyle w:val="137"/>
              <w:keepNext w:val="0"/>
              <w:keepLines w:val="0"/>
              <w:pageBreakBefore w:val="0"/>
              <w:widowControl w:val="0"/>
              <w:kinsoku/>
              <w:wordWrap/>
              <w:overflowPunct/>
              <w:topLinePunct w:val="0"/>
              <w:autoSpaceDE/>
              <w:autoSpaceDN/>
              <w:bidi w:val="0"/>
              <w:adjustRightInd/>
              <w:snapToGrid/>
              <w:ind w:firstLine="0" w:firstLineChars="0"/>
              <w:jc w:val="left"/>
              <w:textAlignment w:val="auto"/>
            </w:pPr>
            <w:r>
              <w:rPr>
                <w:rFonts w:hint="eastAsia"/>
                <w:b/>
                <w:bCs/>
              </w:rPr>
              <w:t>生态保护措施及预期效果</w:t>
            </w:r>
            <w:r>
              <w:rPr>
                <w:rFonts w:hint="eastAsia"/>
              </w:rPr>
              <w:t>：</w:t>
            </w:r>
          </w:p>
          <w:p>
            <w:pPr>
              <w:pStyle w:val="137"/>
              <w:ind w:firstLine="480"/>
            </w:pPr>
            <w:r>
              <w:rPr>
                <w:rFonts w:hint="eastAsia"/>
              </w:rPr>
              <w:t>项目施工扬尘、施工废水、施工噪声以及施工人员的生活垃圾等，会暂时影响项目所在地的环境。施工期应做好水土保持工作，在雨季施工应防止大量表土被大雨冲刷流入灌渠造成淤塞。</w:t>
            </w:r>
          </w:p>
          <w:p>
            <w:pPr>
              <w:pStyle w:val="137"/>
              <w:ind w:firstLine="480"/>
            </w:pPr>
            <w:r>
              <w:rPr>
                <w:rFonts w:hint="eastAsia"/>
              </w:rPr>
              <w:t>营运期主要污染经采取相应防治措施后，基本不会对生态环境造成影响。</w:t>
            </w:r>
          </w:p>
          <w:p>
            <w:pPr>
              <w:pStyle w:val="137"/>
              <w:ind w:firstLine="480"/>
            </w:pPr>
          </w:p>
          <w:p>
            <w:pPr>
              <w:pStyle w:val="141"/>
            </w:pPr>
          </w:p>
          <w:p>
            <w:pPr>
              <w:pStyle w:val="141"/>
            </w:pPr>
          </w:p>
          <w:p>
            <w:pPr>
              <w:pStyle w:val="137"/>
              <w:ind w:firstLine="480"/>
            </w:pPr>
          </w:p>
          <w:p>
            <w:pPr>
              <w:pStyle w:val="137"/>
              <w:ind w:firstLine="480"/>
            </w:pPr>
          </w:p>
          <w:p>
            <w:pPr>
              <w:pStyle w:val="137"/>
              <w:ind w:firstLine="480"/>
            </w:pPr>
          </w:p>
          <w:p>
            <w:pPr>
              <w:pStyle w:val="137"/>
              <w:ind w:firstLine="480"/>
            </w:pPr>
          </w:p>
          <w:p>
            <w:pPr>
              <w:pStyle w:val="137"/>
              <w:ind w:firstLine="480"/>
            </w:pPr>
          </w:p>
          <w:p>
            <w:pPr>
              <w:pStyle w:val="137"/>
              <w:ind w:firstLine="0" w:firstLineChars="0"/>
            </w:pPr>
          </w:p>
          <w:p>
            <w:pPr>
              <w:pStyle w:val="137"/>
              <w:ind w:firstLine="480"/>
            </w:pPr>
          </w:p>
          <w:p>
            <w:pPr>
              <w:pStyle w:val="137"/>
              <w:ind w:firstLine="480"/>
            </w:pPr>
          </w:p>
          <w:p>
            <w:pPr>
              <w:pStyle w:val="137"/>
              <w:ind w:firstLine="0" w:firstLineChars="0"/>
            </w:pPr>
          </w:p>
          <w:p>
            <w:pPr>
              <w:pStyle w:val="137"/>
              <w:ind w:firstLine="480"/>
            </w:pPr>
          </w:p>
          <w:p>
            <w:pPr>
              <w:pStyle w:val="137"/>
              <w:ind w:firstLine="480"/>
            </w:pPr>
          </w:p>
          <w:p>
            <w:pPr>
              <w:pStyle w:val="137"/>
              <w:ind w:firstLine="480"/>
            </w:pPr>
          </w:p>
        </w:tc>
      </w:tr>
    </w:tbl>
    <w:p>
      <w:pPr>
        <w:adjustRightInd/>
        <w:spacing w:line="320" w:lineRule="exact"/>
        <w:textAlignment w:val="auto"/>
        <w:rPr>
          <w:rFonts w:ascii="宋体" w:hAnsi="宋体"/>
          <w:b/>
          <w:kern w:val="2"/>
          <w:sz w:val="30"/>
          <w:szCs w:val="24"/>
        </w:rPr>
        <w:sectPr>
          <w:pgSz w:w="11907" w:h="16840"/>
          <w:pgMar w:top="1418" w:right="1418" w:bottom="1418" w:left="1418" w:header="851" w:footer="992" w:gutter="113"/>
          <w:pgBorders>
            <w:top w:val="none" w:sz="0" w:space="0"/>
            <w:left w:val="none" w:sz="0" w:space="0"/>
            <w:bottom w:val="none" w:sz="0" w:space="0"/>
            <w:right w:val="none" w:sz="0" w:space="0"/>
          </w:pgBorders>
          <w:cols w:space="720" w:num="1"/>
          <w:titlePg/>
          <w:docGrid w:type="lines" w:linePitch="312" w:charSpace="0"/>
        </w:sectPr>
      </w:pPr>
    </w:p>
    <w:p>
      <w:pPr>
        <w:adjustRightInd/>
        <w:spacing w:line="320" w:lineRule="exact"/>
        <w:textAlignment w:val="auto"/>
        <w:outlineLvl w:val="0"/>
        <w:rPr>
          <w:rFonts w:ascii="宋体" w:hAnsi="宋体"/>
          <w:b/>
          <w:kern w:val="2"/>
          <w:sz w:val="30"/>
          <w:szCs w:val="24"/>
        </w:rPr>
      </w:pPr>
      <w:bookmarkStart w:id="52" w:name="_Toc5070"/>
      <w:r>
        <w:rPr>
          <w:rFonts w:hint="eastAsia" w:ascii="宋体" w:hAnsi="宋体"/>
          <w:b/>
          <w:kern w:val="2"/>
          <w:sz w:val="30"/>
          <w:szCs w:val="24"/>
        </w:rPr>
        <w:t>结论与建议</w:t>
      </w:r>
      <w:bookmarkEnd w:id="52"/>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1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9174" w:type="dxa"/>
            <w:tcBorders>
              <w:tl2br w:val="nil"/>
              <w:tr2bl w:val="nil"/>
            </w:tcBorders>
          </w:tcPr>
          <w:p>
            <w:pPr>
              <w:tabs>
                <w:tab w:val="left" w:pos="0"/>
              </w:tabs>
              <w:adjustRightInd/>
              <w:spacing w:line="360" w:lineRule="auto"/>
              <w:jc w:val="left"/>
              <w:rPr>
                <w:rFonts w:hint="default" w:ascii="Times New Roman" w:hAnsi="Times New Roman" w:cs="Times New Roman"/>
                <w:b/>
                <w:sz w:val="28"/>
                <w:szCs w:val="28"/>
              </w:rPr>
            </w:pPr>
            <w:r>
              <w:rPr>
                <w:rFonts w:hint="default" w:ascii="Times New Roman" w:hAnsi="Times New Roman" w:cs="Times New Roman"/>
                <w:b/>
                <w:sz w:val="28"/>
                <w:szCs w:val="28"/>
              </w:rPr>
              <w:t>一、结论</w:t>
            </w:r>
          </w:p>
          <w:p>
            <w:pPr>
              <w:pStyle w:val="161"/>
              <w:rPr>
                <w:rFonts w:hint="default" w:ascii="Times New Roman" w:hAnsi="Times New Roman" w:cs="Times New Roman"/>
              </w:rPr>
            </w:pPr>
            <w:r>
              <w:rPr>
                <w:rFonts w:hint="default" w:ascii="Times New Roman" w:hAnsi="Times New Roman" w:cs="Times New Roman"/>
              </w:rPr>
              <w:t>1、项目概括</w:t>
            </w:r>
          </w:p>
          <w:p>
            <w:pPr>
              <w:pStyle w:val="137"/>
              <w:ind w:firstLine="480"/>
              <w:rPr>
                <w:rFonts w:hint="default" w:ascii="Times New Roman" w:hAnsi="Times New Roman" w:cs="Times New Roman"/>
              </w:rPr>
            </w:pPr>
            <w:r>
              <w:rPr>
                <w:rFonts w:hint="default" w:ascii="Times New Roman" w:hAnsi="Times New Roman" w:cs="Times New Roman"/>
              </w:rPr>
              <w:t>雷州市雷高镇海东加油站拟投资200万元人民币在雷州市雷高镇雷调公路东侧（N 20°48'43.89"，E 110°11'25.75"）建设一座加油站，项目占地面积为1414.90m</w:t>
            </w:r>
            <w:r>
              <w:rPr>
                <w:rFonts w:hint="default" w:ascii="Times New Roman" w:hAnsi="Times New Roman" w:cs="Times New Roman"/>
                <w:vertAlign w:val="superscript"/>
              </w:rPr>
              <w:t>2</w:t>
            </w:r>
            <w:r>
              <w:rPr>
                <w:rFonts w:hint="default" w:ascii="Times New Roman" w:hAnsi="Times New Roman" w:cs="Times New Roman"/>
              </w:rPr>
              <w:t>，建成后，预计年销售油品500t，环保投资27万元。</w:t>
            </w:r>
          </w:p>
          <w:p>
            <w:pPr>
              <w:pStyle w:val="137"/>
              <w:ind w:firstLine="480"/>
              <w:rPr>
                <w:rFonts w:hint="default" w:ascii="Times New Roman" w:hAnsi="Times New Roman" w:cs="Times New Roman"/>
              </w:rPr>
            </w:pPr>
            <w:r>
              <w:rPr>
                <w:rFonts w:hint="default" w:ascii="Times New Roman" w:hAnsi="Times New Roman" w:cs="Times New Roman"/>
              </w:rPr>
              <w:t>2、环境质量现状评价结论</w:t>
            </w:r>
          </w:p>
          <w:p>
            <w:pPr>
              <w:pStyle w:val="137"/>
              <w:ind w:firstLine="480"/>
              <w:rPr>
                <w:rFonts w:hint="default" w:ascii="Times New Roman" w:hAnsi="Times New Roman" w:cs="Times New Roman"/>
              </w:rPr>
            </w:pPr>
            <w:r>
              <w:rPr>
                <w:rFonts w:hint="default" w:ascii="Times New Roman" w:hAnsi="Times New Roman" w:cs="Times New Roman"/>
              </w:rPr>
              <w:t>（1）大气环境质量现状</w:t>
            </w:r>
          </w:p>
          <w:p>
            <w:pPr>
              <w:pStyle w:val="137"/>
              <w:ind w:firstLine="480"/>
              <w:rPr>
                <w:rFonts w:hint="default" w:ascii="Times New Roman" w:hAnsi="Times New Roman" w:cs="Times New Roman"/>
              </w:rPr>
            </w:pPr>
            <w:r>
              <w:rPr>
                <w:rFonts w:hint="default" w:ascii="Times New Roman" w:hAnsi="Times New Roman" w:cs="Times New Roman"/>
              </w:rPr>
              <w:t>2019年湛江市SO</w:t>
            </w:r>
            <w:r>
              <w:rPr>
                <w:rFonts w:hint="default" w:ascii="Times New Roman" w:hAnsi="Times New Roman" w:cs="Times New Roman"/>
                <w:sz w:val="18"/>
                <w:vertAlign w:val="subscript"/>
              </w:rPr>
              <w:t>2</w:t>
            </w:r>
            <w:r>
              <w:rPr>
                <w:rFonts w:hint="default" w:ascii="Times New Roman" w:hAnsi="Times New Roman" w:cs="Times New Roman"/>
              </w:rPr>
              <w:t>、NO</w:t>
            </w:r>
            <w:r>
              <w:rPr>
                <w:rFonts w:hint="default" w:ascii="Times New Roman" w:hAnsi="Times New Roman" w:cs="Times New Roman"/>
                <w:sz w:val="18"/>
                <w:vertAlign w:val="subscript"/>
              </w:rPr>
              <w:t>2</w:t>
            </w:r>
            <w:r>
              <w:rPr>
                <w:rFonts w:hint="default" w:ascii="Times New Roman" w:hAnsi="Times New Roman" w:cs="Times New Roman"/>
              </w:rPr>
              <w:t>、PM</w:t>
            </w:r>
            <w:r>
              <w:rPr>
                <w:rFonts w:hint="default" w:ascii="Times New Roman" w:hAnsi="Times New Roman" w:cs="Times New Roman"/>
                <w:sz w:val="18"/>
                <w:vertAlign w:val="subscript"/>
              </w:rPr>
              <w:t>10</w:t>
            </w:r>
            <w:r>
              <w:rPr>
                <w:rFonts w:hint="default" w:ascii="Times New Roman" w:hAnsi="Times New Roman" w:cs="Times New Roman"/>
              </w:rPr>
              <w:t>、CO、O</w:t>
            </w:r>
            <w:r>
              <w:rPr>
                <w:rFonts w:hint="default" w:ascii="Times New Roman" w:hAnsi="Times New Roman" w:cs="Times New Roman"/>
                <w:sz w:val="18"/>
                <w:vertAlign w:val="subscript"/>
              </w:rPr>
              <w:t>3</w:t>
            </w:r>
            <w:r>
              <w:rPr>
                <w:rFonts w:hint="default" w:ascii="Times New Roman" w:hAnsi="Times New Roman" w:cs="Times New Roman"/>
              </w:rPr>
              <w:t>的年平均浓度、24小时平均或日最大8h平均浓度和相应百分位数均能达到环境空气质量二级标准限值。因此，本项目所在区域为大气环境质量达标区。</w:t>
            </w:r>
          </w:p>
          <w:p>
            <w:pPr>
              <w:pStyle w:val="137"/>
              <w:ind w:firstLine="480"/>
              <w:rPr>
                <w:rFonts w:hint="default" w:ascii="Times New Roman" w:hAnsi="Times New Roman" w:cs="Times New Roman"/>
              </w:rPr>
            </w:pPr>
            <w:r>
              <w:rPr>
                <w:rFonts w:hint="default" w:ascii="Times New Roman" w:hAnsi="Times New Roman" w:cs="Times New Roman"/>
              </w:rPr>
              <w:t>（2）水环境质量现状</w:t>
            </w:r>
          </w:p>
          <w:p>
            <w:pPr>
              <w:pStyle w:val="137"/>
              <w:ind w:firstLine="480"/>
              <w:rPr>
                <w:rFonts w:hint="default" w:ascii="Times New Roman" w:hAnsi="Times New Roman" w:cs="Times New Roman"/>
              </w:rPr>
            </w:pPr>
            <w:r>
              <w:rPr>
                <w:rFonts w:hint="default" w:ascii="Times New Roman" w:hAnsi="Times New Roman" w:cs="Times New Roman"/>
              </w:rPr>
              <w:t>南渡河桥断面的各项指标均符合《地表水环境质量标准 》(GB3838-2002) Ⅲ类标准要求。</w:t>
            </w:r>
          </w:p>
          <w:p>
            <w:pPr>
              <w:pStyle w:val="137"/>
              <w:ind w:firstLine="480"/>
              <w:rPr>
                <w:rFonts w:hint="default" w:ascii="Times New Roman" w:hAnsi="Times New Roman" w:cs="Times New Roman"/>
              </w:rPr>
            </w:pPr>
            <w:r>
              <w:rPr>
                <w:rFonts w:hint="default" w:ascii="Times New Roman" w:hAnsi="Times New Roman" w:cs="Times New Roman"/>
              </w:rPr>
              <w:t>（3）声环境质量现状</w:t>
            </w:r>
          </w:p>
          <w:p>
            <w:pPr>
              <w:pStyle w:val="137"/>
              <w:ind w:firstLine="480"/>
              <w:rPr>
                <w:rFonts w:hint="default" w:ascii="Times New Roman" w:hAnsi="Times New Roman" w:cs="Times New Roman"/>
              </w:rPr>
            </w:pPr>
            <w:r>
              <w:rPr>
                <w:rFonts w:hint="default" w:ascii="Times New Roman" w:hAnsi="Times New Roman" w:cs="Times New Roman"/>
              </w:rPr>
              <w:t>该区域声环境满足《声环境质量标准》（GB3096-2008）中的2类标准要求（昼间60dB（A），夜间50dB（A））。</w:t>
            </w:r>
          </w:p>
          <w:p>
            <w:pPr>
              <w:pStyle w:val="137"/>
              <w:ind w:firstLine="480"/>
              <w:rPr>
                <w:rFonts w:hint="default" w:ascii="Times New Roman" w:hAnsi="Times New Roman" w:cs="Times New Roman"/>
              </w:rPr>
            </w:pPr>
            <w:r>
              <w:rPr>
                <w:rFonts w:hint="default" w:ascii="Times New Roman" w:hAnsi="Times New Roman" w:cs="Times New Roman"/>
              </w:rPr>
              <w:t>3、环境影响评价结论</w:t>
            </w:r>
          </w:p>
          <w:p>
            <w:pPr>
              <w:pStyle w:val="137"/>
              <w:ind w:firstLine="480"/>
              <w:rPr>
                <w:rFonts w:hint="default" w:ascii="Times New Roman" w:hAnsi="Times New Roman" w:cs="Times New Roman"/>
              </w:rPr>
            </w:pPr>
            <w:r>
              <w:rPr>
                <w:rFonts w:hint="default" w:ascii="Times New Roman" w:hAnsi="Times New Roman" w:cs="Times New Roman"/>
              </w:rPr>
              <w:t>（1）施工期环境影响评价结论</w:t>
            </w:r>
          </w:p>
          <w:p>
            <w:pPr>
              <w:pStyle w:val="137"/>
              <w:ind w:firstLine="480"/>
              <w:rPr>
                <w:rFonts w:hint="default" w:ascii="Times New Roman" w:hAnsi="Times New Roman" w:cs="Times New Roman"/>
              </w:rPr>
            </w:pPr>
            <w:r>
              <w:rPr>
                <w:rFonts w:hint="default" w:ascii="Times New Roman" w:hAnsi="Times New Roman" w:cs="Times New Roman"/>
              </w:rPr>
              <w:t>①水土流失分析结论</w:t>
            </w:r>
          </w:p>
          <w:p>
            <w:pPr>
              <w:pStyle w:val="137"/>
              <w:ind w:firstLine="480"/>
              <w:rPr>
                <w:rFonts w:hint="default" w:ascii="Times New Roman" w:hAnsi="Times New Roman" w:cs="Times New Roman"/>
              </w:rPr>
            </w:pPr>
            <w:r>
              <w:rPr>
                <w:rFonts w:hint="default" w:ascii="Times New Roman" w:hAnsi="Times New Roman" w:cs="Times New Roman"/>
              </w:rPr>
              <w:t>项目施工过程中，土壤的侵蚀、场地的平整、土方的填挖，将会引起一定程度上的水土流失，但通过采取该报告表所提出的相应措施后，将大大减轻其对环境造成的影响。</w:t>
            </w:r>
          </w:p>
          <w:p>
            <w:pPr>
              <w:pStyle w:val="137"/>
              <w:ind w:firstLine="480"/>
              <w:rPr>
                <w:rFonts w:hint="default" w:ascii="Times New Roman" w:hAnsi="Times New Roman" w:cs="Times New Roman"/>
              </w:rPr>
            </w:pPr>
            <w:r>
              <w:rPr>
                <w:rFonts w:hint="default" w:ascii="Times New Roman" w:hAnsi="Times New Roman" w:cs="Times New Roman"/>
              </w:rPr>
              <w:t>②环境空气分析结论</w:t>
            </w:r>
          </w:p>
          <w:p>
            <w:pPr>
              <w:pStyle w:val="137"/>
              <w:ind w:firstLine="480"/>
              <w:rPr>
                <w:rFonts w:hint="default" w:ascii="Times New Roman" w:hAnsi="Times New Roman" w:cs="Times New Roman"/>
              </w:rPr>
            </w:pPr>
            <w:r>
              <w:rPr>
                <w:rFonts w:hint="default" w:ascii="Times New Roman" w:hAnsi="Times New Roman" w:cs="Times New Roman"/>
              </w:rPr>
              <w:t>项目施工期大气污染物主要是施工工地扬尘及施工车辆尾气。施工过程中、土壤的裸露，建材载运储存产生的尘土，施工车辆排放的尾气通过风吹作用，将会给周围大气环境带来一定的影响，但通过采取该报告表所提出的相应措施后，可以大大降低施工给环境带来的影响。</w:t>
            </w:r>
          </w:p>
          <w:p>
            <w:pPr>
              <w:pStyle w:val="137"/>
              <w:ind w:firstLine="480"/>
              <w:rPr>
                <w:rFonts w:hint="default" w:ascii="Times New Roman" w:hAnsi="Times New Roman" w:cs="Times New Roman"/>
              </w:rPr>
            </w:pPr>
            <w:r>
              <w:rPr>
                <w:rFonts w:hint="default" w:ascii="Times New Roman" w:hAnsi="Times New Roman" w:cs="Times New Roman"/>
              </w:rPr>
              <w:t>③水环境分析结论</w:t>
            </w:r>
          </w:p>
          <w:p>
            <w:pPr>
              <w:pStyle w:val="137"/>
              <w:ind w:firstLine="480"/>
              <w:rPr>
                <w:rFonts w:hint="default" w:ascii="Times New Roman" w:hAnsi="Times New Roman" w:cs="Times New Roman"/>
              </w:rPr>
            </w:pPr>
            <w:r>
              <w:rPr>
                <w:rFonts w:hint="default" w:ascii="Times New Roman" w:hAnsi="Times New Roman" w:cs="Times New Roman"/>
              </w:rPr>
              <w:t>项目施工期污水主要是施工期废水和生活污水。要求加强施工管理，施工废水经隔油沉淀后回用于施工现场。应在施工区设置流动厕所，并定期清运垃圾粪便，可有效防止施工人员产生的生活污水对水环境造成污染。</w:t>
            </w:r>
          </w:p>
          <w:p>
            <w:pPr>
              <w:pStyle w:val="137"/>
              <w:ind w:firstLine="480"/>
              <w:rPr>
                <w:rFonts w:hint="default" w:ascii="Times New Roman" w:hAnsi="Times New Roman" w:cs="Times New Roman"/>
              </w:rPr>
            </w:pPr>
            <w:r>
              <w:rPr>
                <w:rFonts w:hint="default" w:ascii="Times New Roman" w:hAnsi="Times New Roman" w:cs="Times New Roman"/>
              </w:rPr>
              <w:t>④声环境分析结论</w:t>
            </w:r>
          </w:p>
          <w:p>
            <w:pPr>
              <w:pStyle w:val="137"/>
              <w:ind w:firstLine="480"/>
              <w:rPr>
                <w:rFonts w:hint="default" w:ascii="Times New Roman" w:hAnsi="Times New Roman" w:cs="Times New Roman"/>
              </w:rPr>
            </w:pPr>
            <w:r>
              <w:rPr>
                <w:rFonts w:hint="default" w:ascii="Times New Roman" w:hAnsi="Times New Roman" w:cs="Times New Roman"/>
              </w:rPr>
              <w:t>项目施工期噪声主要来自运输车辆与施工机械，但其噪声影响是暂时性的， 通过距离衰减及采取该报告表所提出的相应措施，则项目施工期间噪声对项目周边声环境影响不大，且随施工期结束而结束。</w:t>
            </w:r>
          </w:p>
          <w:p>
            <w:pPr>
              <w:pStyle w:val="137"/>
              <w:ind w:firstLine="480"/>
              <w:rPr>
                <w:rFonts w:hint="default" w:ascii="Times New Roman" w:hAnsi="Times New Roman" w:cs="Times New Roman"/>
              </w:rPr>
            </w:pPr>
            <w:r>
              <w:rPr>
                <w:rFonts w:hint="default" w:ascii="Times New Roman" w:hAnsi="Times New Roman" w:cs="Times New Roman"/>
              </w:rPr>
              <w:t>⑥固体废物分析结论</w:t>
            </w:r>
          </w:p>
          <w:p>
            <w:pPr>
              <w:pStyle w:val="137"/>
              <w:ind w:firstLine="480"/>
              <w:rPr>
                <w:rFonts w:hint="default" w:ascii="Times New Roman" w:hAnsi="Times New Roman" w:cs="Times New Roman"/>
              </w:rPr>
            </w:pPr>
            <w:r>
              <w:rPr>
                <w:rFonts w:hint="default" w:ascii="Times New Roman" w:hAnsi="Times New Roman" w:cs="Times New Roman"/>
              </w:rPr>
              <w:t>施工期固体废物主要来自建筑垃圾以及施工人员产生的生活垃圾，建设单位应适地取材，分类收集，及时清理，并采取相应措施进行处理，则项目施工期固废对周围环境基本不造成影响。</w:t>
            </w:r>
          </w:p>
          <w:p>
            <w:pPr>
              <w:pStyle w:val="137"/>
              <w:ind w:firstLine="480"/>
              <w:rPr>
                <w:rFonts w:hint="default" w:ascii="Times New Roman" w:hAnsi="Times New Roman" w:cs="Times New Roman"/>
              </w:rPr>
            </w:pPr>
            <w:r>
              <w:rPr>
                <w:rFonts w:hint="default" w:ascii="Times New Roman" w:hAnsi="Times New Roman" w:cs="Times New Roman"/>
              </w:rPr>
              <w:t>（2）营运期环境影响评价结论</w:t>
            </w:r>
          </w:p>
          <w:p>
            <w:pPr>
              <w:pStyle w:val="137"/>
              <w:ind w:firstLine="480"/>
              <w:rPr>
                <w:rFonts w:hint="default" w:ascii="Times New Roman" w:hAnsi="Times New Roman" w:cs="Times New Roman"/>
              </w:rPr>
            </w:pPr>
            <w:r>
              <w:rPr>
                <w:rFonts w:hint="default" w:ascii="Times New Roman" w:hAnsi="Times New Roman" w:cs="Times New Roman"/>
              </w:rPr>
              <w:t>①大气环境影响评价结论</w:t>
            </w:r>
          </w:p>
          <w:p>
            <w:pPr>
              <w:pStyle w:val="137"/>
              <w:ind w:firstLine="480"/>
              <w:rPr>
                <w:rFonts w:hint="default" w:ascii="Times New Roman" w:hAnsi="Times New Roman" w:cs="Times New Roman"/>
              </w:rPr>
            </w:pPr>
            <w:r>
              <w:rPr>
                <w:rFonts w:hint="default" w:ascii="Times New Roman" w:hAnsi="Times New Roman" w:cs="Times New Roman"/>
              </w:rPr>
              <w:t>a.非甲烷总烃</w:t>
            </w:r>
          </w:p>
          <w:p>
            <w:pPr>
              <w:pStyle w:val="137"/>
              <w:ind w:firstLine="480"/>
              <w:rPr>
                <w:rFonts w:hint="default" w:ascii="Times New Roman" w:hAnsi="Times New Roman" w:cs="Times New Roman"/>
              </w:rPr>
            </w:pPr>
            <w:r>
              <w:rPr>
                <w:rFonts w:hint="default" w:ascii="Times New Roman" w:hAnsi="Times New Roman" w:cs="Times New Roman"/>
              </w:rPr>
              <w:t>本项目拟采用一、二级油气回收系统对项目的油气进行处理，经处理后非甲烷总烃排放浓度可满足广东省《大气污染物排放限值》（DB44/27-2001）第二时段无组织排放监控限值及《挥发性有机物无组织排放控制标准》（GB37822-2019） 有关标准，不会对周边居民的日常生活造成明显影响。</w:t>
            </w:r>
          </w:p>
          <w:p>
            <w:pPr>
              <w:pStyle w:val="137"/>
              <w:ind w:firstLine="480"/>
              <w:rPr>
                <w:rFonts w:hint="default" w:ascii="Times New Roman" w:hAnsi="Times New Roman" w:cs="Times New Roman"/>
              </w:rPr>
            </w:pPr>
            <w:r>
              <w:rPr>
                <w:rFonts w:hint="default" w:ascii="Times New Roman" w:hAnsi="Times New Roman" w:cs="Times New Roman"/>
              </w:rPr>
              <w:t>b.备用发电机尾气</w:t>
            </w:r>
          </w:p>
          <w:p>
            <w:pPr>
              <w:pStyle w:val="137"/>
              <w:ind w:firstLine="480"/>
              <w:rPr>
                <w:rFonts w:hint="default" w:ascii="Times New Roman" w:hAnsi="Times New Roman" w:cs="Times New Roman"/>
              </w:rPr>
            </w:pPr>
            <w:r>
              <w:rPr>
                <w:rFonts w:hint="default" w:ascii="Times New Roman" w:hAnsi="Times New Roman" w:cs="Times New Roman"/>
              </w:rPr>
              <w:t>项目备用柴油发电机运行时间短，尾气经设备自带水喷淋装置处理后引至室外排放，可满足广东省《大气污染物排放限值》（</w:t>
            </w:r>
            <w:r>
              <w:rPr>
                <w:rFonts w:hint="default" w:ascii="Times New Roman" w:hAnsi="Times New Roman" w:eastAsia="Times New Roman" w:cs="Times New Roman"/>
              </w:rPr>
              <w:t>DB44/27-2001</w:t>
            </w:r>
            <w:r>
              <w:rPr>
                <w:rFonts w:hint="default" w:ascii="Times New Roman" w:hAnsi="Times New Roman" w:cs="Times New Roman"/>
              </w:rPr>
              <w:t>）第二时段二级标准，对项目周围大气环境影响不大。</w:t>
            </w:r>
          </w:p>
          <w:p>
            <w:pPr>
              <w:pStyle w:val="137"/>
              <w:ind w:firstLine="480"/>
              <w:rPr>
                <w:rFonts w:hint="default" w:ascii="Times New Roman" w:hAnsi="Times New Roman" w:cs="Times New Roman"/>
              </w:rPr>
            </w:pPr>
            <w:r>
              <w:rPr>
                <w:rFonts w:hint="default" w:ascii="Times New Roman" w:hAnsi="Times New Roman" w:cs="Times New Roman"/>
              </w:rPr>
              <w:t>c.车辆尾气</w:t>
            </w:r>
          </w:p>
          <w:p>
            <w:pPr>
              <w:pStyle w:val="137"/>
              <w:ind w:firstLine="480"/>
              <w:rPr>
                <w:rFonts w:hint="default" w:ascii="Times New Roman" w:hAnsi="Times New Roman" w:cs="Times New Roman"/>
              </w:rPr>
            </w:pPr>
            <w:r>
              <w:rPr>
                <w:rFonts w:hint="default" w:ascii="Times New Roman" w:hAnsi="Times New Roman" w:cs="Times New Roman"/>
              </w:rPr>
              <w:t xml:space="preserve">运输槽车主要以柴油为燃料，都会产生一定量的废气，包括 </w:t>
            </w:r>
            <w:r>
              <w:rPr>
                <w:rFonts w:hint="default" w:ascii="Times New Roman" w:hAnsi="Times New Roman" w:eastAsia="Times New Roman" w:cs="Times New Roman"/>
              </w:rPr>
              <w:t>CO</w:t>
            </w:r>
            <w:r>
              <w:rPr>
                <w:rFonts w:hint="default" w:ascii="Times New Roman" w:hAnsi="Times New Roman" w:cs="Times New Roman"/>
              </w:rPr>
              <w:t>、</w:t>
            </w:r>
            <w:r>
              <w:rPr>
                <w:rFonts w:hint="default" w:ascii="Times New Roman" w:hAnsi="Times New Roman" w:eastAsia="Times New Roman" w:cs="Times New Roman"/>
              </w:rPr>
              <w:t>THC</w:t>
            </w:r>
            <w:r>
              <w:rPr>
                <w:rFonts w:hint="default" w:ascii="Times New Roman" w:hAnsi="Times New Roman" w:cs="Times New Roman"/>
              </w:rPr>
              <w:t>、</w:t>
            </w:r>
            <w:r>
              <w:rPr>
                <w:rFonts w:hint="default" w:ascii="Times New Roman" w:hAnsi="Times New Roman" w:eastAsia="Times New Roman" w:cs="Times New Roman"/>
              </w:rPr>
              <w:t>NOx</w:t>
            </w:r>
            <w:r>
              <w:rPr>
                <w:rFonts w:hint="default" w:ascii="Times New Roman" w:hAnsi="Times New Roman" w:cs="Times New Roman"/>
              </w:rPr>
              <w:t>、</w:t>
            </w:r>
            <w:r>
              <w:rPr>
                <w:rFonts w:hint="default" w:ascii="Times New Roman" w:hAnsi="Times New Roman" w:eastAsia="Times New Roman" w:cs="Times New Roman"/>
              </w:rPr>
              <w:t>SO</w:t>
            </w:r>
            <w:r>
              <w:rPr>
                <w:rFonts w:hint="default" w:ascii="Times New Roman" w:hAnsi="Times New Roman" w:eastAsia="Times New Roman" w:cs="Times New Roman"/>
                <w:vertAlign w:val="subscript"/>
              </w:rPr>
              <w:t>2</w:t>
            </w:r>
            <w:r>
              <w:rPr>
                <w:rFonts w:hint="default" w:ascii="Times New Roman" w:hAnsi="Times New Roman" w:cs="Times New Roman"/>
              </w:rPr>
              <w:t xml:space="preserve">、烟尘等，为无组织排放，主要对站区周围和运输路线两侧局部范围产生一定影响，由于排放量不大，项目站区空旷且面积较大，影响的程度与范围相对小。项目在运营期给机动车加油过程中，机动车进站减速加速等过程中会产生汽车尾气，汽车尾气主要污染物含有 </w:t>
            </w:r>
            <w:r>
              <w:rPr>
                <w:rFonts w:hint="default" w:ascii="Times New Roman" w:hAnsi="Times New Roman" w:eastAsia="Times New Roman" w:cs="Times New Roman"/>
              </w:rPr>
              <w:t>CO</w:t>
            </w:r>
            <w:r>
              <w:rPr>
                <w:rFonts w:hint="default" w:ascii="Times New Roman" w:hAnsi="Times New Roman" w:cs="Times New Roman"/>
              </w:rPr>
              <w:t>、</w:t>
            </w:r>
            <w:r>
              <w:rPr>
                <w:rFonts w:hint="default" w:ascii="Times New Roman" w:hAnsi="Times New Roman" w:eastAsia="Times New Roman" w:cs="Times New Roman"/>
              </w:rPr>
              <w:t>CO</w:t>
            </w:r>
            <w:r>
              <w:rPr>
                <w:rFonts w:hint="default" w:ascii="Times New Roman" w:hAnsi="Times New Roman" w:eastAsia="Times New Roman" w:cs="Times New Roman"/>
                <w:vertAlign w:val="subscript"/>
              </w:rPr>
              <w:t>2</w:t>
            </w:r>
            <w:r>
              <w:rPr>
                <w:rFonts w:hint="default" w:ascii="Times New Roman" w:hAnsi="Times New Roman" w:cs="Times New Roman"/>
              </w:rPr>
              <w:t>、</w:t>
            </w:r>
            <w:r>
              <w:rPr>
                <w:rFonts w:hint="default" w:ascii="Times New Roman" w:hAnsi="Times New Roman" w:eastAsia="Times New Roman" w:cs="Times New Roman"/>
              </w:rPr>
              <w:t>NO</w:t>
            </w:r>
            <w:r>
              <w:rPr>
                <w:rFonts w:hint="default" w:ascii="Times New Roman" w:hAnsi="Times New Roman" w:eastAsia="Times New Roman" w:cs="Times New Roman"/>
                <w:vertAlign w:val="subscript"/>
              </w:rPr>
              <w:t xml:space="preserve">X </w:t>
            </w:r>
            <w:r>
              <w:rPr>
                <w:rFonts w:hint="default" w:ascii="Times New Roman" w:hAnsi="Times New Roman" w:cs="Times New Roman"/>
              </w:rPr>
              <w:t>及总烃。这些污染物以无组织形式排放，经空气稀释、周围绿化带吸附后对周围环境影响较小。</w:t>
            </w:r>
          </w:p>
          <w:p>
            <w:pPr>
              <w:pStyle w:val="137"/>
              <w:ind w:firstLine="480"/>
              <w:rPr>
                <w:rFonts w:hint="default" w:ascii="Times New Roman" w:hAnsi="Times New Roman" w:cs="Times New Roman"/>
              </w:rPr>
            </w:pPr>
            <w:r>
              <w:rPr>
                <w:rFonts w:hint="default" w:ascii="Times New Roman" w:hAnsi="Times New Roman" w:cs="Times New Roman"/>
              </w:rPr>
              <w:t>（2）水环境影响评价结论</w:t>
            </w:r>
          </w:p>
          <w:p>
            <w:pPr>
              <w:pStyle w:val="137"/>
              <w:ind w:firstLine="480"/>
              <w:rPr>
                <w:rFonts w:hint="default" w:ascii="Times New Roman" w:hAnsi="Times New Roman" w:cs="Times New Roman"/>
              </w:rPr>
            </w:pPr>
            <w:r>
              <w:rPr>
                <w:rFonts w:hint="default" w:ascii="Times New Roman" w:hAnsi="Times New Roman" w:cs="Times New Roman"/>
              </w:rPr>
              <w:t>生活污水经三级化粪处理后，由附近村民定期清掏用于肥田回用，清洗废水、洗车废水经隔油池、三级沉淀池处理后回用，初期雨水经截流沟收集并进入隔油池、三级沉淀池处理后回用，不会对周围水环境产生明显影响。</w:t>
            </w:r>
          </w:p>
          <w:p>
            <w:pPr>
              <w:pStyle w:val="137"/>
              <w:ind w:firstLine="480"/>
              <w:rPr>
                <w:rFonts w:hint="default" w:ascii="Times New Roman" w:hAnsi="Times New Roman" w:cs="Times New Roman"/>
              </w:rPr>
            </w:pPr>
            <w:r>
              <w:rPr>
                <w:rFonts w:hint="default" w:ascii="Times New Roman" w:hAnsi="Times New Roman" w:cs="Times New Roman"/>
              </w:rPr>
              <w:t>项目化粪池、隔油池、沉淀池及埋罐区经采取防渗、防漏措施，对所在区域地下水环境质影响不大。</w:t>
            </w:r>
          </w:p>
          <w:p>
            <w:pPr>
              <w:pStyle w:val="137"/>
              <w:ind w:firstLine="480"/>
              <w:rPr>
                <w:rFonts w:hint="default" w:ascii="Times New Roman" w:hAnsi="Times New Roman" w:cs="Times New Roman"/>
              </w:rPr>
            </w:pPr>
            <w:r>
              <w:rPr>
                <w:rFonts w:hint="default" w:ascii="Times New Roman" w:hAnsi="Times New Roman" w:cs="Times New Roman"/>
              </w:rPr>
              <w:t>（3）声环境影响评价结论</w:t>
            </w:r>
          </w:p>
          <w:p>
            <w:pPr>
              <w:pStyle w:val="137"/>
              <w:ind w:firstLine="480"/>
              <w:rPr>
                <w:rFonts w:hint="default" w:ascii="Times New Roman" w:hAnsi="Times New Roman" w:cs="Times New Roman"/>
              </w:rPr>
            </w:pPr>
            <w:r>
              <w:rPr>
                <w:rFonts w:hint="default" w:ascii="Times New Roman" w:hAnsi="Times New Roman" w:cs="Times New Roman"/>
              </w:rPr>
              <w:t>项目主要噪声来源有：进出站车辆产生的交通噪声，加油机工作时油泵产生的噪声，备用发电机运行时产生的噪声，经采取报告中提出的措施处理后，项目四周场界噪声均可达到《工业企业厂界噪声排放标准》</w:t>
            </w:r>
            <w:r>
              <w:rPr>
                <w:rFonts w:hint="default" w:ascii="Times New Roman" w:hAnsi="Times New Roman" w:eastAsia="Times New Roman" w:cs="Times New Roman"/>
              </w:rPr>
              <w:t xml:space="preserve">(GB12348-2008)2 </w:t>
            </w:r>
            <w:r>
              <w:rPr>
                <w:rFonts w:hint="default" w:ascii="Times New Roman" w:hAnsi="Times New Roman" w:cs="Times New Roman"/>
              </w:rPr>
              <w:t>类标准，项目运营期噪声对周围环境影响较小。</w:t>
            </w:r>
          </w:p>
          <w:p>
            <w:pPr>
              <w:pStyle w:val="137"/>
              <w:ind w:firstLine="480"/>
              <w:rPr>
                <w:rFonts w:hint="default" w:ascii="Times New Roman" w:hAnsi="Times New Roman" w:cs="Times New Roman"/>
              </w:rPr>
            </w:pPr>
            <w:r>
              <w:rPr>
                <w:rFonts w:hint="default" w:ascii="Times New Roman" w:hAnsi="Times New Roman" w:cs="Times New Roman"/>
              </w:rPr>
              <w:t>（4）固体废物环境影响评价结论</w:t>
            </w:r>
          </w:p>
          <w:p>
            <w:pPr>
              <w:pStyle w:val="137"/>
              <w:ind w:firstLine="480"/>
              <w:rPr>
                <w:rFonts w:hint="default" w:ascii="Times New Roman" w:hAnsi="Times New Roman" w:cs="Times New Roman"/>
              </w:rPr>
            </w:pPr>
            <w:r>
              <w:rPr>
                <w:rFonts w:hint="default" w:ascii="Times New Roman" w:hAnsi="Times New Roman" w:cs="Times New Roman"/>
              </w:rPr>
              <w:t>生活垃圾经收集后由当地环卫部门统一清运；废油、油泥及废含油抹布等属于危险废物，交由有资质的单位收运处理。项目固体废物经以上措施处理后，对周围环境影响较小。</w:t>
            </w:r>
          </w:p>
          <w:p>
            <w:pPr>
              <w:pStyle w:val="137"/>
              <w:ind w:firstLine="480"/>
              <w:rPr>
                <w:rFonts w:hint="default" w:ascii="Times New Roman" w:hAnsi="Times New Roman" w:cs="Times New Roman"/>
              </w:rPr>
            </w:pPr>
            <w:r>
              <w:rPr>
                <w:rFonts w:hint="default" w:ascii="Times New Roman" w:hAnsi="Times New Roman" w:eastAsia="Times New Roman" w:cs="Times New Roman"/>
              </w:rPr>
              <w:t>5</w:t>
            </w:r>
            <w:r>
              <w:rPr>
                <w:rFonts w:hint="default" w:ascii="Times New Roman" w:hAnsi="Times New Roman" w:cs="Times New Roman"/>
              </w:rPr>
              <w:t>、项目选址合理性分析结论</w:t>
            </w:r>
          </w:p>
          <w:p>
            <w:pPr>
              <w:pStyle w:val="137"/>
              <w:ind w:firstLine="480"/>
              <w:rPr>
                <w:rFonts w:hint="default" w:ascii="Times New Roman" w:hAnsi="Times New Roman" w:cs="Times New Roman"/>
              </w:rPr>
            </w:pPr>
            <w:r>
              <w:rPr>
                <w:rFonts w:hint="default" w:ascii="Times New Roman" w:hAnsi="Times New Roman" w:cs="Times New Roman"/>
              </w:rPr>
              <w:t>本项目属</w:t>
            </w:r>
            <w:r>
              <w:rPr>
                <w:rFonts w:hint="eastAsia" w:cs="Times New Roman"/>
                <w:lang w:val="en-US" w:eastAsia="zh-CN"/>
              </w:rPr>
              <w:t>三</w:t>
            </w:r>
            <w:r>
              <w:rPr>
                <w:rFonts w:hint="default" w:ascii="Times New Roman" w:hAnsi="Times New Roman" w:cs="Times New Roman"/>
              </w:rPr>
              <w:t>级加油站，根据选址符合性对照表，本项目符合《汽车加油加气站设计与施工规范》（</w:t>
            </w:r>
            <w:r>
              <w:rPr>
                <w:rFonts w:hint="default" w:ascii="Times New Roman" w:hAnsi="Times New Roman" w:eastAsia="Times New Roman" w:cs="Times New Roman"/>
              </w:rPr>
              <w:t>GB50156-2012</w:t>
            </w:r>
            <w:r>
              <w:rPr>
                <w:rFonts w:hint="default" w:ascii="Times New Roman" w:hAnsi="Times New Roman" w:cs="Times New Roman"/>
              </w:rPr>
              <w:t>，</w:t>
            </w:r>
            <w:r>
              <w:rPr>
                <w:rFonts w:hint="default" w:ascii="Times New Roman" w:hAnsi="Times New Roman" w:eastAsia="Times New Roman" w:cs="Times New Roman"/>
              </w:rPr>
              <w:t>2014</w:t>
            </w:r>
            <w:r>
              <w:rPr>
                <w:rFonts w:hint="default" w:ascii="Times New Roman" w:hAnsi="Times New Roman" w:cs="Times New Roman"/>
              </w:rPr>
              <w:t>年局部修订版）中站址选择的相关条件，符合当地规划要求，汽油、柴油设备与站外建（构）筑物的安全间距均满足防火间距的要求。根据《关于雷州市雷高镇海东加油站用地地块规划用途的说明》（附件5）。项目用地符合《雷州市土地利用总体规划》。</w:t>
            </w:r>
          </w:p>
          <w:p>
            <w:pPr>
              <w:pStyle w:val="137"/>
              <w:ind w:firstLine="480"/>
              <w:rPr>
                <w:rFonts w:hint="default" w:ascii="Times New Roman" w:hAnsi="Times New Roman" w:cs="Times New Roman"/>
              </w:rPr>
            </w:pPr>
            <w:r>
              <w:rPr>
                <w:rFonts w:hint="default" w:ascii="Times New Roman" w:hAnsi="Times New Roman" w:cs="Times New Roman"/>
              </w:rPr>
              <w:t>项目所在区域空气环境功能为二类区；声环境为2类功能区；项目区域地表水体为项目西面的南渡河属于Ⅲ类水，不属于饮用水源保护区。项目运营期产生的废水、废气、噪声等通过采取报告中提出的措施进行处理后不会改变区域环境功能。</w:t>
            </w:r>
          </w:p>
          <w:p>
            <w:pPr>
              <w:pStyle w:val="137"/>
              <w:ind w:firstLine="480"/>
              <w:rPr>
                <w:rFonts w:hint="default" w:ascii="Times New Roman" w:hAnsi="Times New Roman" w:cs="Times New Roman"/>
              </w:rPr>
            </w:pPr>
            <w:r>
              <w:rPr>
                <w:rFonts w:hint="default" w:ascii="Times New Roman" w:hAnsi="Times New Roman" w:cs="Times New Roman"/>
              </w:rPr>
              <w:t>综上所述，项目用地性质为建设用地，选址不属于水源保护区，符合当地用地规划和环境保护规划，选址基本合理。</w:t>
            </w:r>
          </w:p>
          <w:p>
            <w:pPr>
              <w:pStyle w:val="137"/>
              <w:ind w:firstLine="480"/>
              <w:rPr>
                <w:rFonts w:hint="default" w:ascii="Times New Roman" w:hAnsi="Times New Roman" w:cs="Times New Roman"/>
              </w:rPr>
            </w:pPr>
            <w:r>
              <w:rPr>
                <w:rFonts w:hint="default" w:ascii="Times New Roman" w:hAnsi="Times New Roman" w:cs="Times New Roman"/>
              </w:rPr>
              <w:t>6、与现行产业政策符合性分析</w:t>
            </w:r>
          </w:p>
          <w:p>
            <w:pPr>
              <w:pStyle w:val="137"/>
              <w:ind w:firstLine="480"/>
              <w:rPr>
                <w:rFonts w:hint="default" w:ascii="Times New Roman" w:hAnsi="Times New Roman" w:cs="Times New Roman"/>
              </w:rPr>
            </w:pPr>
            <w:r>
              <w:rPr>
                <w:rFonts w:hint="default" w:ascii="Times New Roman" w:hAnsi="Times New Roman" w:cs="Times New Roman"/>
              </w:rPr>
              <w:t>（1）与《产业结构调整指导目录》（</w:t>
            </w:r>
            <w:r>
              <w:rPr>
                <w:rFonts w:hint="default" w:ascii="Times New Roman" w:hAnsi="Times New Roman" w:eastAsia="Times New Roman" w:cs="Times New Roman"/>
              </w:rPr>
              <w:t>2019</w:t>
            </w:r>
            <w:r>
              <w:rPr>
                <w:rFonts w:hint="default" w:ascii="Times New Roman" w:hAnsi="Times New Roman" w:cs="Times New Roman"/>
              </w:rPr>
              <w:t>年本）符合性分析</w:t>
            </w:r>
          </w:p>
          <w:p>
            <w:pPr>
              <w:pStyle w:val="137"/>
              <w:ind w:firstLine="480"/>
              <w:rPr>
                <w:rFonts w:hint="default" w:ascii="Times New Roman" w:hAnsi="Times New Roman" w:cs="Times New Roman"/>
              </w:rPr>
            </w:pPr>
            <w:r>
              <w:rPr>
                <w:rFonts w:hint="default" w:ascii="Times New Roman" w:hAnsi="Times New Roman" w:cs="Times New Roman"/>
              </w:rPr>
              <w:t>本项目属机动车燃料零售，查阅《产业结构调整指导目录》（2019年本）, 项目不属于其中所列禁止、鼓励及限制类项目，属于允许类项目。查阅《市场准入负面清单（2019年本）》，本项目不属于其中列明的建设项目，故项目建设符合国家及地方相关产业政策。</w:t>
            </w:r>
          </w:p>
          <w:p>
            <w:pPr>
              <w:pStyle w:val="137"/>
              <w:ind w:firstLine="480"/>
              <w:rPr>
                <w:rFonts w:hint="default" w:ascii="Times New Roman" w:hAnsi="Times New Roman" w:cs="Times New Roman"/>
              </w:rPr>
            </w:pPr>
            <w:r>
              <w:rPr>
                <w:rFonts w:hint="default" w:ascii="Times New Roman" w:hAnsi="Times New Roman" w:cs="Times New Roman"/>
              </w:rPr>
              <w:t>（2）与《挥发性有机物污染防治技术政策》的相符性分析</w:t>
            </w:r>
          </w:p>
          <w:p>
            <w:pPr>
              <w:pStyle w:val="137"/>
              <w:ind w:firstLine="480"/>
              <w:rPr>
                <w:rFonts w:hint="default" w:ascii="Times New Roman" w:hAnsi="Times New Roman" w:cs="Times New Roman"/>
              </w:rPr>
            </w:pPr>
            <w:r>
              <w:rPr>
                <w:rFonts w:hint="default" w:ascii="Times New Roman" w:hAnsi="Times New Roman" w:cs="Times New Roman"/>
              </w:rPr>
              <w:t>2013年5月24日国家环保部发布了《挥发性有机物污染繁殖技术政策》（公告2013 年第31号 2013-05-24 实施），其中要求：“储油库、加油站和油罐车宜配备相应的油气收集系统，储油库、加油站宜配备相应的油气回收系统。”本项目采用具有油气回收功能的油枪，并设置一、二次油气护手装置。</w:t>
            </w:r>
          </w:p>
          <w:p>
            <w:pPr>
              <w:pStyle w:val="137"/>
              <w:ind w:firstLine="480"/>
              <w:rPr>
                <w:rFonts w:hint="default" w:ascii="Times New Roman" w:hAnsi="Times New Roman" w:cs="Times New Roman"/>
              </w:rPr>
            </w:pPr>
            <w:r>
              <w:rPr>
                <w:rFonts w:hint="default" w:ascii="Times New Roman" w:hAnsi="Times New Roman" w:cs="Times New Roman"/>
              </w:rPr>
              <w:t>因此，本项目建设符合《挥发性有机物污染防治技术政策》的相关要求。</w:t>
            </w:r>
          </w:p>
          <w:p>
            <w:pPr>
              <w:pStyle w:val="137"/>
              <w:ind w:firstLine="480"/>
              <w:rPr>
                <w:rFonts w:hint="default" w:ascii="Times New Roman" w:hAnsi="Times New Roman" w:cs="Times New Roman"/>
              </w:rPr>
            </w:pPr>
            <w:r>
              <w:rPr>
                <w:rFonts w:hint="default" w:ascii="Times New Roman" w:hAnsi="Times New Roman" w:cs="Times New Roman"/>
              </w:rPr>
              <w:t>综上，项目符合相关产业政策要求。</w:t>
            </w:r>
          </w:p>
          <w:p>
            <w:pPr>
              <w:pStyle w:val="137"/>
              <w:ind w:firstLine="480"/>
              <w:rPr>
                <w:rFonts w:hint="default" w:ascii="Times New Roman" w:hAnsi="Times New Roman" w:cs="Times New Roman"/>
              </w:rPr>
            </w:pPr>
            <w:r>
              <w:rPr>
                <w:rFonts w:hint="default" w:ascii="Times New Roman" w:hAnsi="Times New Roman" w:cs="Times New Roman"/>
              </w:rPr>
              <w:t>7、环境风险事故防范措施分析结论</w:t>
            </w:r>
          </w:p>
          <w:p>
            <w:pPr>
              <w:pStyle w:val="137"/>
              <w:ind w:firstLine="480"/>
              <w:rPr>
                <w:rFonts w:hint="default" w:ascii="Times New Roman" w:hAnsi="Times New Roman" w:cs="Times New Roman"/>
              </w:rPr>
            </w:pPr>
            <w:r>
              <w:rPr>
                <w:rFonts w:hint="default" w:ascii="Times New Roman" w:hAnsi="Times New Roman" w:cs="Times New Roman"/>
              </w:rPr>
              <w:t>本项目涉及易燃易爆物质，生产设备处在常温常压条件下，具有一定的潜在危险性，主要潜在风险事故为油品泄漏，但其最大风险值属于可接受水平。经预测，项目发生泄漏事故时，会导致环境空气质量变差，对外环境有很大的影响。拟建项目存在一定潜在风险，但只要将本评价中制定的相关应急预案及防治措施落实后，可将该项目风险值降到最低，其对周边环境的影响在可接受范围内。</w:t>
            </w:r>
          </w:p>
          <w:p>
            <w:pPr>
              <w:pStyle w:val="137"/>
              <w:ind w:firstLine="480"/>
              <w:rPr>
                <w:rFonts w:hint="default" w:ascii="Times New Roman" w:hAnsi="Times New Roman" w:cs="Times New Roman"/>
              </w:rPr>
            </w:pPr>
            <w:r>
              <w:rPr>
                <w:rFonts w:hint="default" w:ascii="Times New Roman" w:hAnsi="Times New Roman" w:cs="Times New Roman"/>
              </w:rPr>
              <w:t>8、环境监测计划结论</w:t>
            </w:r>
          </w:p>
          <w:p>
            <w:pPr>
              <w:pStyle w:val="137"/>
              <w:ind w:firstLine="480"/>
              <w:rPr>
                <w:rFonts w:hint="default" w:ascii="Times New Roman" w:hAnsi="Times New Roman" w:cs="Times New Roman"/>
              </w:rPr>
            </w:pPr>
            <w:r>
              <w:rPr>
                <w:rFonts w:hint="default" w:ascii="Times New Roman" w:hAnsi="Times New Roman" w:cs="Times New Roman"/>
              </w:rPr>
              <w:t>项目拟按照《环境监测技术规范》、《空气和废气监测分析方法》、《水和污水监测分析方法》及《加油站大气污染物排放标准》（GB20952-2007）等技术文件的相关要求，对废气、废水、噪声等污染源进行现状监测，确保项目各项污染因子均达标排放，不会对周边环境造成明显影响。</w:t>
            </w:r>
          </w:p>
          <w:p>
            <w:pPr>
              <w:pStyle w:val="137"/>
              <w:ind w:firstLine="480"/>
              <w:rPr>
                <w:rFonts w:hint="default" w:ascii="Times New Roman" w:hAnsi="Times New Roman" w:cs="Times New Roman"/>
              </w:rPr>
            </w:pPr>
            <w:r>
              <w:rPr>
                <w:rFonts w:hint="default" w:ascii="Times New Roman" w:hAnsi="Times New Roman" w:cs="Times New Roman"/>
              </w:rPr>
              <w:t>9、环保投资、验收的内容</w:t>
            </w:r>
          </w:p>
          <w:p>
            <w:pPr>
              <w:pStyle w:val="137"/>
              <w:ind w:firstLine="480"/>
              <w:rPr>
                <w:rFonts w:hint="default" w:ascii="Times New Roman" w:hAnsi="Times New Roman" w:cs="Times New Roman"/>
              </w:rPr>
            </w:pPr>
            <w:r>
              <w:rPr>
                <w:rFonts w:hint="default" w:ascii="Times New Roman" w:hAnsi="Times New Roman" w:cs="Times New Roman"/>
              </w:rPr>
              <w:t>环保工程内容包括隔油池、化粪池、沉淀池、油气回收系统、垃圾分类收运系统、噪声设备采取消声隔声减震等措施。该项目所涉及到的各项环保措施在确保环保工程按规范建设，则项目产生的废水、固体废物、噪声、废气对周围的环境产生的影响在可接受范围内。</w:t>
            </w:r>
          </w:p>
          <w:p>
            <w:pPr>
              <w:pStyle w:val="137"/>
              <w:ind w:firstLine="480"/>
              <w:rPr>
                <w:rFonts w:hint="default" w:ascii="Times New Roman" w:hAnsi="Times New Roman" w:cs="Times New Roman"/>
              </w:rPr>
            </w:pPr>
            <w:r>
              <w:rPr>
                <w:rFonts w:hint="default" w:ascii="Times New Roman" w:hAnsi="Times New Roman" w:cs="Times New Roman"/>
              </w:rPr>
              <w:t>10、综合结论</w:t>
            </w:r>
          </w:p>
          <w:p>
            <w:pPr>
              <w:pStyle w:val="137"/>
              <w:ind w:firstLine="480"/>
              <w:rPr>
                <w:rFonts w:hint="default" w:ascii="Times New Roman" w:hAnsi="Times New Roman" w:cs="Times New Roman"/>
              </w:rPr>
            </w:pPr>
            <w:r>
              <w:rPr>
                <w:rFonts w:hint="default" w:ascii="Times New Roman" w:hAnsi="Times New Roman" w:cs="Times New Roman"/>
              </w:rPr>
              <w:t>本项目符合国家及地方产业政策要求，选址合理。建设过程中各类污染物经本评价提出的污染防治措施治理后均可达标排放，污染防治措施可行，建设过程污染治理工程与主体工程实施“三同时”，则本项目对周围环境不会产生明显的不利影响。从环境保护角度分析，本项目的建设是可行的。本项目若新增设施， 须向有审批权的环境保护主管部门另行申报。</w:t>
            </w:r>
          </w:p>
          <w:p>
            <w:pPr>
              <w:adjustRightInd/>
              <w:spacing w:line="360" w:lineRule="auto"/>
              <w:ind w:firstLine="480" w:firstLineChars="200"/>
              <w:textAlignment w:val="auto"/>
              <w:rPr>
                <w:rFonts w:hint="default" w:ascii="Times New Roman" w:hAnsi="Times New Roman" w:cs="Times New Roman"/>
                <w:kern w:val="2"/>
                <w:sz w:val="24"/>
                <w:szCs w:val="24"/>
              </w:rPr>
            </w:pPr>
          </w:p>
          <w:p>
            <w:pPr>
              <w:adjustRightInd/>
              <w:spacing w:line="360" w:lineRule="auto"/>
              <w:ind w:firstLine="480" w:firstLineChars="200"/>
              <w:textAlignment w:val="auto"/>
              <w:rPr>
                <w:rFonts w:hint="default" w:ascii="Times New Roman" w:hAnsi="Times New Roman" w:cs="Times New Roman"/>
                <w:kern w:val="2"/>
                <w:sz w:val="24"/>
                <w:szCs w:val="24"/>
              </w:rPr>
            </w:pPr>
          </w:p>
          <w:p>
            <w:pPr>
              <w:adjustRightInd/>
              <w:spacing w:line="360" w:lineRule="auto"/>
              <w:ind w:firstLine="480" w:firstLineChars="200"/>
              <w:textAlignment w:val="auto"/>
              <w:rPr>
                <w:rFonts w:hint="default" w:ascii="Times New Roman" w:hAnsi="Times New Roman" w:cs="Times New Roman"/>
                <w:kern w:val="2"/>
                <w:sz w:val="24"/>
                <w:szCs w:val="24"/>
              </w:rPr>
            </w:pPr>
          </w:p>
          <w:p>
            <w:pPr>
              <w:adjustRightInd/>
              <w:spacing w:line="360" w:lineRule="auto"/>
              <w:ind w:firstLine="480" w:firstLineChars="200"/>
              <w:textAlignment w:val="auto"/>
              <w:rPr>
                <w:rFonts w:hint="default" w:ascii="Times New Roman" w:hAnsi="Times New Roman" w:cs="Times New Roman"/>
                <w:kern w:val="2"/>
                <w:sz w:val="24"/>
                <w:szCs w:val="24"/>
              </w:rPr>
            </w:pPr>
          </w:p>
          <w:p>
            <w:pPr>
              <w:adjustRightInd/>
              <w:spacing w:line="360" w:lineRule="auto"/>
              <w:ind w:firstLine="480" w:firstLineChars="200"/>
              <w:textAlignment w:val="auto"/>
              <w:rPr>
                <w:rFonts w:hint="default" w:ascii="Times New Roman" w:hAnsi="Times New Roman" w:cs="Times New Roman"/>
                <w:kern w:val="2"/>
                <w:sz w:val="24"/>
                <w:szCs w:val="24"/>
              </w:rPr>
            </w:pPr>
          </w:p>
          <w:p>
            <w:pPr>
              <w:adjustRightInd/>
              <w:spacing w:line="360" w:lineRule="auto"/>
              <w:ind w:firstLine="480" w:firstLineChars="200"/>
              <w:textAlignment w:val="auto"/>
              <w:rPr>
                <w:rFonts w:hint="default" w:ascii="Times New Roman" w:hAnsi="Times New Roman" w:cs="Times New Roman"/>
                <w:kern w:val="2"/>
                <w:sz w:val="24"/>
                <w:szCs w:val="24"/>
              </w:rPr>
            </w:pPr>
          </w:p>
          <w:p>
            <w:pPr>
              <w:adjustRightInd/>
              <w:spacing w:line="360" w:lineRule="auto"/>
              <w:ind w:firstLine="480" w:firstLineChars="200"/>
              <w:textAlignment w:val="auto"/>
              <w:rPr>
                <w:rFonts w:hint="default" w:ascii="Times New Roman" w:hAnsi="Times New Roman" w:cs="Times New Roman"/>
                <w:kern w:val="2"/>
                <w:sz w:val="24"/>
                <w:szCs w:val="24"/>
              </w:rPr>
            </w:pPr>
          </w:p>
          <w:p>
            <w:pPr>
              <w:adjustRightInd/>
              <w:spacing w:line="360" w:lineRule="auto"/>
              <w:ind w:firstLine="480" w:firstLineChars="200"/>
              <w:textAlignment w:val="auto"/>
              <w:rPr>
                <w:rFonts w:hint="default" w:ascii="Times New Roman" w:hAnsi="Times New Roman" w:cs="Times New Roman"/>
                <w:kern w:val="2"/>
                <w:sz w:val="24"/>
                <w:szCs w:val="24"/>
              </w:rPr>
            </w:pPr>
          </w:p>
          <w:p>
            <w:pPr>
              <w:adjustRightInd/>
              <w:spacing w:line="360" w:lineRule="auto"/>
              <w:ind w:firstLine="480" w:firstLineChars="200"/>
              <w:textAlignment w:val="auto"/>
              <w:rPr>
                <w:rFonts w:hint="default" w:ascii="Times New Roman" w:hAnsi="Times New Roman" w:cs="Times New Roman"/>
                <w:kern w:val="2"/>
                <w:sz w:val="24"/>
                <w:szCs w:val="24"/>
              </w:rPr>
            </w:pPr>
          </w:p>
          <w:p>
            <w:pPr>
              <w:adjustRightInd/>
              <w:spacing w:line="360" w:lineRule="auto"/>
              <w:ind w:firstLine="480" w:firstLineChars="200"/>
              <w:textAlignment w:val="auto"/>
              <w:rPr>
                <w:rFonts w:hint="default" w:ascii="Times New Roman" w:hAnsi="Times New Roman" w:cs="Times New Roman"/>
                <w:kern w:val="2"/>
                <w:sz w:val="24"/>
                <w:szCs w:val="24"/>
              </w:rPr>
            </w:pPr>
          </w:p>
          <w:p>
            <w:pPr>
              <w:adjustRightInd/>
              <w:spacing w:line="360" w:lineRule="auto"/>
              <w:ind w:firstLine="480" w:firstLineChars="200"/>
              <w:textAlignment w:val="auto"/>
              <w:rPr>
                <w:rFonts w:hint="default" w:ascii="Times New Roman" w:hAnsi="Times New Roman" w:cs="Times New Roman"/>
                <w:kern w:val="2"/>
                <w:sz w:val="24"/>
                <w:szCs w:val="24"/>
              </w:rPr>
            </w:pPr>
          </w:p>
          <w:p>
            <w:pPr>
              <w:adjustRightInd/>
              <w:spacing w:line="360" w:lineRule="auto"/>
              <w:ind w:firstLine="480" w:firstLineChars="200"/>
              <w:textAlignment w:val="auto"/>
              <w:rPr>
                <w:rFonts w:hint="default" w:ascii="Times New Roman" w:hAnsi="Times New Roman" w:cs="Times New Roman"/>
                <w:kern w:val="2"/>
                <w:sz w:val="24"/>
                <w:szCs w:val="24"/>
              </w:rPr>
            </w:pPr>
          </w:p>
          <w:p>
            <w:pPr>
              <w:adjustRightInd/>
              <w:spacing w:line="360" w:lineRule="auto"/>
              <w:ind w:firstLine="480" w:firstLineChars="200"/>
              <w:textAlignment w:val="auto"/>
              <w:rPr>
                <w:rFonts w:hint="default" w:ascii="Times New Roman" w:hAnsi="Times New Roman" w:cs="Times New Roman"/>
                <w:kern w:val="2"/>
                <w:sz w:val="24"/>
                <w:szCs w:val="24"/>
              </w:rPr>
            </w:pPr>
          </w:p>
          <w:p>
            <w:pPr>
              <w:adjustRightInd/>
              <w:spacing w:line="360" w:lineRule="auto"/>
              <w:ind w:firstLine="480" w:firstLineChars="200"/>
              <w:textAlignment w:val="auto"/>
              <w:rPr>
                <w:rFonts w:hint="default" w:ascii="Times New Roman" w:hAnsi="Times New Roman" w:cs="Times New Roman"/>
                <w:kern w:val="2"/>
                <w:sz w:val="24"/>
                <w:szCs w:val="24"/>
              </w:rPr>
            </w:pPr>
          </w:p>
          <w:p>
            <w:pPr>
              <w:adjustRightInd/>
              <w:spacing w:line="360" w:lineRule="auto"/>
              <w:ind w:firstLine="480" w:firstLineChars="200"/>
              <w:textAlignment w:val="auto"/>
              <w:rPr>
                <w:rFonts w:hint="default" w:ascii="Times New Roman" w:hAnsi="Times New Roman" w:cs="Times New Roman"/>
                <w:kern w:val="2"/>
                <w:sz w:val="24"/>
                <w:szCs w:val="24"/>
              </w:rPr>
            </w:pPr>
          </w:p>
          <w:p>
            <w:pPr>
              <w:adjustRightInd/>
              <w:spacing w:line="360" w:lineRule="auto"/>
              <w:ind w:firstLine="480" w:firstLineChars="200"/>
              <w:textAlignment w:val="auto"/>
              <w:rPr>
                <w:rFonts w:hint="default" w:ascii="Times New Roman" w:hAnsi="Times New Roman" w:cs="Times New Roman"/>
                <w:kern w:val="2"/>
                <w:sz w:val="24"/>
                <w:szCs w:val="24"/>
              </w:rPr>
            </w:pPr>
          </w:p>
          <w:p>
            <w:pPr>
              <w:adjustRightInd/>
              <w:spacing w:line="360" w:lineRule="auto"/>
              <w:ind w:firstLine="480" w:firstLineChars="200"/>
              <w:textAlignment w:val="auto"/>
              <w:rPr>
                <w:rFonts w:hint="default" w:ascii="Times New Roman" w:hAnsi="Times New Roman" w:cs="Times New Roman"/>
                <w:kern w:val="2"/>
                <w:sz w:val="24"/>
                <w:szCs w:val="24"/>
              </w:rPr>
            </w:pPr>
          </w:p>
          <w:p>
            <w:pPr>
              <w:adjustRightInd/>
              <w:spacing w:line="360" w:lineRule="auto"/>
              <w:ind w:firstLine="480" w:firstLineChars="200"/>
              <w:textAlignment w:val="auto"/>
              <w:rPr>
                <w:rFonts w:hint="default" w:ascii="Times New Roman" w:hAnsi="Times New Roman" w:cs="Times New Roman"/>
                <w:kern w:val="2"/>
                <w:sz w:val="24"/>
                <w:szCs w:val="24"/>
              </w:rPr>
            </w:pPr>
          </w:p>
          <w:p>
            <w:pPr>
              <w:adjustRightInd/>
              <w:spacing w:line="360" w:lineRule="auto"/>
              <w:ind w:firstLine="480" w:firstLineChars="200"/>
              <w:textAlignment w:val="auto"/>
              <w:rPr>
                <w:rFonts w:hint="default" w:ascii="Times New Roman" w:hAnsi="Times New Roman" w:cs="Times New Roman"/>
                <w:kern w:val="2"/>
                <w:sz w:val="24"/>
                <w:szCs w:val="24"/>
              </w:rPr>
            </w:pPr>
          </w:p>
          <w:p>
            <w:pPr>
              <w:adjustRightInd/>
              <w:spacing w:line="360" w:lineRule="auto"/>
              <w:ind w:firstLine="480" w:firstLineChars="200"/>
              <w:textAlignment w:val="auto"/>
              <w:rPr>
                <w:rFonts w:hint="default" w:ascii="Times New Roman" w:hAnsi="Times New Roman" w:cs="Times New Roman"/>
                <w:kern w:val="2"/>
                <w:sz w:val="24"/>
                <w:szCs w:val="24"/>
              </w:rPr>
            </w:pPr>
          </w:p>
          <w:p>
            <w:pPr>
              <w:adjustRightInd/>
              <w:spacing w:line="360" w:lineRule="auto"/>
              <w:ind w:firstLine="480" w:firstLineChars="200"/>
              <w:textAlignment w:val="auto"/>
              <w:rPr>
                <w:rFonts w:hint="default" w:ascii="Times New Roman" w:hAnsi="Times New Roman" w:cs="Times New Roman"/>
                <w:kern w:val="2"/>
                <w:sz w:val="24"/>
                <w:szCs w:val="24"/>
              </w:rPr>
            </w:pPr>
          </w:p>
          <w:p>
            <w:pPr>
              <w:adjustRightInd/>
              <w:spacing w:line="360" w:lineRule="auto"/>
              <w:ind w:firstLine="480" w:firstLineChars="200"/>
              <w:textAlignment w:val="auto"/>
              <w:rPr>
                <w:rFonts w:hint="default" w:ascii="Times New Roman" w:hAnsi="Times New Roman" w:cs="Times New Roman"/>
                <w:kern w:val="2"/>
                <w:sz w:val="24"/>
                <w:szCs w:val="24"/>
              </w:rPr>
            </w:pPr>
          </w:p>
          <w:p>
            <w:pPr>
              <w:adjustRightInd/>
              <w:spacing w:line="360" w:lineRule="auto"/>
              <w:ind w:firstLine="480" w:firstLineChars="200"/>
              <w:textAlignment w:val="auto"/>
              <w:rPr>
                <w:rFonts w:hint="default" w:ascii="Times New Roman" w:hAnsi="Times New Roman" w:cs="Times New Roman"/>
                <w:kern w:val="2"/>
                <w:sz w:val="24"/>
                <w:szCs w:val="24"/>
              </w:rPr>
            </w:pPr>
          </w:p>
          <w:p>
            <w:pPr>
              <w:adjustRightInd/>
              <w:spacing w:line="360" w:lineRule="auto"/>
              <w:ind w:firstLine="480" w:firstLineChars="200"/>
              <w:textAlignment w:val="auto"/>
              <w:rPr>
                <w:rFonts w:hint="default" w:ascii="Times New Roman" w:hAnsi="Times New Roman" w:cs="Times New Roman"/>
                <w:kern w:val="2"/>
                <w:sz w:val="24"/>
                <w:szCs w:val="24"/>
              </w:rPr>
            </w:pPr>
          </w:p>
          <w:p>
            <w:pPr>
              <w:adjustRightInd/>
              <w:spacing w:line="360" w:lineRule="auto"/>
              <w:ind w:firstLine="480" w:firstLineChars="200"/>
              <w:textAlignment w:val="auto"/>
              <w:rPr>
                <w:rFonts w:hint="default" w:ascii="Times New Roman" w:hAnsi="Times New Roman" w:cs="Times New Roman"/>
                <w:kern w:val="2"/>
                <w:sz w:val="24"/>
                <w:szCs w:val="24"/>
              </w:rPr>
            </w:pPr>
          </w:p>
          <w:p>
            <w:pPr>
              <w:adjustRightInd/>
              <w:spacing w:line="360" w:lineRule="auto"/>
              <w:ind w:firstLine="480" w:firstLineChars="200"/>
              <w:textAlignment w:val="auto"/>
              <w:rPr>
                <w:rFonts w:hint="default" w:ascii="Times New Roman" w:hAnsi="Times New Roman" w:cs="Times New Roman"/>
                <w:kern w:val="2"/>
                <w:sz w:val="24"/>
                <w:szCs w:val="24"/>
              </w:rPr>
            </w:pPr>
          </w:p>
          <w:p>
            <w:pPr>
              <w:adjustRightInd/>
              <w:spacing w:line="360" w:lineRule="auto"/>
              <w:ind w:firstLine="480" w:firstLineChars="200"/>
              <w:textAlignment w:val="auto"/>
              <w:rPr>
                <w:rFonts w:hint="default" w:ascii="Times New Roman" w:hAnsi="Times New Roman" w:cs="Times New Roman"/>
                <w:kern w:val="2"/>
                <w:sz w:val="24"/>
                <w:szCs w:val="24"/>
              </w:rPr>
            </w:pPr>
          </w:p>
          <w:p>
            <w:pPr>
              <w:adjustRightInd/>
              <w:spacing w:line="360" w:lineRule="auto"/>
              <w:ind w:firstLine="480" w:firstLineChars="200"/>
              <w:textAlignment w:val="auto"/>
              <w:rPr>
                <w:rFonts w:hint="default" w:ascii="Times New Roman" w:hAnsi="Times New Roman" w:cs="Times New Roman"/>
                <w:kern w:val="2"/>
                <w:sz w:val="24"/>
                <w:szCs w:val="24"/>
              </w:rPr>
            </w:pPr>
          </w:p>
        </w:tc>
      </w:tr>
    </w:tbl>
    <w:p>
      <w:pPr>
        <w:sectPr>
          <w:footerReference r:id="rId7" w:type="default"/>
          <w:pgSz w:w="11907" w:h="16840"/>
          <w:pgMar w:top="1418" w:right="1418" w:bottom="1418" w:left="1418" w:header="851" w:footer="992" w:gutter="113"/>
          <w:pgBorders>
            <w:top w:val="none" w:sz="0" w:space="0"/>
            <w:left w:val="none" w:sz="0" w:space="0"/>
            <w:bottom w:val="none" w:sz="0" w:space="0"/>
            <w:right w:val="none" w:sz="0" w:space="0"/>
          </w:pgBorders>
          <w:cols w:space="720" w:num="1"/>
          <w:titlePg/>
          <w:docGrid w:type="lines" w:linePitch="312" w:charSpace="0"/>
        </w:sect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1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4" w:hRule="atLeast"/>
          <w:jc w:val="center"/>
        </w:trPr>
        <w:tc>
          <w:tcPr>
            <w:tcW w:w="9174" w:type="dxa"/>
            <w:tcBorders>
              <w:tl2br w:val="nil"/>
              <w:tr2bl w:val="nil"/>
            </w:tcBorders>
          </w:tcPr>
          <w:p>
            <w:pPr>
              <w:spacing w:line="360" w:lineRule="auto"/>
              <w:rPr>
                <w:b/>
                <w:sz w:val="28"/>
              </w:rPr>
            </w:pPr>
            <w:r>
              <w:rPr>
                <w:b/>
                <w:sz w:val="28"/>
              </w:rPr>
              <w:t>预审意见：</w:t>
            </w:r>
          </w:p>
          <w:p>
            <w:pPr>
              <w:spacing w:line="360" w:lineRule="auto"/>
              <w:ind w:firstLine="560"/>
              <w:rPr>
                <w:sz w:val="28"/>
              </w:rPr>
            </w:pPr>
          </w:p>
          <w:p>
            <w:pPr>
              <w:spacing w:line="360" w:lineRule="auto"/>
              <w:ind w:firstLine="560"/>
              <w:rPr>
                <w:sz w:val="28"/>
              </w:rPr>
            </w:pPr>
          </w:p>
          <w:p>
            <w:pPr>
              <w:spacing w:line="360" w:lineRule="auto"/>
              <w:ind w:firstLine="560"/>
              <w:rPr>
                <w:sz w:val="28"/>
              </w:rPr>
            </w:pPr>
          </w:p>
          <w:p>
            <w:pPr>
              <w:spacing w:line="360" w:lineRule="auto"/>
              <w:ind w:firstLine="560"/>
              <w:rPr>
                <w:sz w:val="28"/>
              </w:rPr>
            </w:pPr>
          </w:p>
          <w:p>
            <w:pPr>
              <w:spacing w:line="360" w:lineRule="auto"/>
              <w:ind w:firstLine="560"/>
              <w:rPr>
                <w:sz w:val="28"/>
              </w:rPr>
            </w:pPr>
          </w:p>
          <w:p>
            <w:pPr>
              <w:spacing w:line="360" w:lineRule="auto"/>
              <w:ind w:firstLine="560"/>
              <w:rPr>
                <w:sz w:val="28"/>
              </w:rPr>
            </w:pPr>
          </w:p>
          <w:p>
            <w:pPr>
              <w:spacing w:line="360" w:lineRule="auto"/>
              <w:ind w:firstLine="560"/>
              <w:rPr>
                <w:sz w:val="28"/>
              </w:rPr>
            </w:pPr>
          </w:p>
          <w:p>
            <w:pPr>
              <w:spacing w:line="360" w:lineRule="auto"/>
              <w:ind w:firstLine="560"/>
              <w:rPr>
                <w:sz w:val="28"/>
              </w:rPr>
            </w:pPr>
          </w:p>
          <w:p>
            <w:pPr>
              <w:spacing w:line="360" w:lineRule="auto"/>
              <w:ind w:firstLine="560"/>
              <w:rPr>
                <w:sz w:val="28"/>
              </w:rPr>
            </w:pPr>
          </w:p>
          <w:p>
            <w:pPr>
              <w:spacing w:line="360" w:lineRule="auto"/>
              <w:ind w:firstLine="560"/>
              <w:rPr>
                <w:sz w:val="28"/>
              </w:rPr>
            </w:pPr>
          </w:p>
          <w:p>
            <w:pPr>
              <w:spacing w:line="360" w:lineRule="auto"/>
              <w:ind w:firstLine="560"/>
              <w:rPr>
                <w:sz w:val="28"/>
              </w:rPr>
            </w:pPr>
          </w:p>
          <w:p>
            <w:pPr>
              <w:spacing w:line="360" w:lineRule="auto"/>
              <w:ind w:firstLine="560"/>
              <w:rPr>
                <w:sz w:val="28"/>
              </w:rPr>
            </w:pPr>
          </w:p>
          <w:p>
            <w:pPr>
              <w:spacing w:line="360" w:lineRule="auto"/>
              <w:ind w:firstLine="560"/>
              <w:rPr>
                <w:sz w:val="28"/>
              </w:rPr>
            </w:pPr>
          </w:p>
          <w:p>
            <w:pPr>
              <w:spacing w:line="360" w:lineRule="auto"/>
              <w:ind w:firstLine="560"/>
              <w:rPr>
                <w:sz w:val="28"/>
              </w:rPr>
            </w:pPr>
          </w:p>
          <w:p>
            <w:pPr>
              <w:spacing w:line="360" w:lineRule="auto"/>
              <w:ind w:firstLine="560"/>
              <w:rPr>
                <w:sz w:val="28"/>
              </w:rPr>
            </w:pPr>
          </w:p>
          <w:p>
            <w:pPr>
              <w:spacing w:line="360" w:lineRule="auto"/>
              <w:ind w:firstLine="560"/>
              <w:rPr>
                <w:sz w:val="28"/>
              </w:rPr>
            </w:pPr>
          </w:p>
          <w:p>
            <w:pPr>
              <w:spacing w:line="360" w:lineRule="auto"/>
              <w:ind w:firstLine="560"/>
              <w:rPr>
                <w:sz w:val="28"/>
              </w:rPr>
            </w:pPr>
          </w:p>
          <w:p>
            <w:pPr>
              <w:spacing w:line="360" w:lineRule="auto"/>
              <w:ind w:firstLine="560"/>
              <w:rPr>
                <w:sz w:val="28"/>
              </w:rPr>
            </w:pPr>
          </w:p>
          <w:p>
            <w:pPr>
              <w:spacing w:line="360" w:lineRule="auto"/>
              <w:ind w:firstLine="560"/>
              <w:rPr>
                <w:sz w:val="28"/>
              </w:rPr>
            </w:pPr>
          </w:p>
          <w:p>
            <w:pPr>
              <w:spacing w:line="360" w:lineRule="auto"/>
              <w:ind w:firstLine="560"/>
              <w:rPr>
                <w:sz w:val="28"/>
              </w:rPr>
            </w:pPr>
          </w:p>
          <w:p>
            <w:pPr>
              <w:spacing w:line="360" w:lineRule="auto"/>
              <w:ind w:firstLine="560"/>
              <w:rPr>
                <w:sz w:val="28"/>
              </w:rPr>
            </w:pPr>
          </w:p>
          <w:p>
            <w:pPr>
              <w:spacing w:line="360" w:lineRule="auto"/>
              <w:ind w:firstLine="560"/>
              <w:rPr>
                <w:sz w:val="28"/>
              </w:rPr>
            </w:pPr>
          </w:p>
          <w:p>
            <w:pPr>
              <w:spacing w:line="360" w:lineRule="auto"/>
              <w:ind w:firstLine="560"/>
              <w:rPr>
                <w:sz w:val="28"/>
              </w:rPr>
            </w:pPr>
          </w:p>
          <w:p>
            <w:pPr>
              <w:spacing w:line="360" w:lineRule="auto"/>
              <w:rPr>
                <w:sz w:val="28"/>
              </w:rPr>
            </w:pPr>
          </w:p>
          <w:p>
            <w:pPr>
              <w:spacing w:line="360" w:lineRule="auto"/>
              <w:rPr>
                <w:sz w:val="28"/>
              </w:rPr>
            </w:pPr>
          </w:p>
          <w:p>
            <w:pPr>
              <w:spacing w:line="360" w:lineRule="auto"/>
              <w:ind w:firstLine="560"/>
              <w:rPr>
                <w:b/>
                <w:sz w:val="28"/>
              </w:rPr>
            </w:pPr>
            <w:r>
              <w:rPr>
                <w:sz w:val="28"/>
              </w:rPr>
              <w:t xml:space="preserve">                                         </w:t>
            </w:r>
            <w:r>
              <w:rPr>
                <w:rFonts w:hint="eastAsia"/>
                <w:sz w:val="28"/>
              </w:rPr>
              <w:t xml:space="preserve"> </w:t>
            </w:r>
            <w:r>
              <w:rPr>
                <w:b/>
                <w:sz w:val="28"/>
              </w:rPr>
              <w:t>公  章</w:t>
            </w:r>
          </w:p>
          <w:p>
            <w:pPr>
              <w:spacing w:line="360" w:lineRule="auto"/>
              <w:ind w:firstLine="562"/>
              <w:rPr>
                <w:b/>
                <w:sz w:val="28"/>
              </w:rPr>
            </w:pPr>
            <w:r>
              <w:rPr>
                <w:b/>
                <w:sz w:val="28"/>
              </w:rPr>
              <w:t>经办人：                              年    月    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11" w:hRule="atLeast"/>
          <w:jc w:val="center"/>
        </w:trPr>
        <w:tc>
          <w:tcPr>
            <w:tcW w:w="9174" w:type="dxa"/>
            <w:tcBorders>
              <w:tl2br w:val="nil"/>
              <w:tr2bl w:val="nil"/>
            </w:tcBorders>
          </w:tcPr>
          <w:p>
            <w:pPr>
              <w:spacing w:line="360" w:lineRule="auto"/>
              <w:rPr>
                <w:b/>
                <w:sz w:val="28"/>
              </w:rPr>
            </w:pPr>
            <w:r>
              <w:rPr>
                <w:b/>
                <w:sz w:val="28"/>
              </w:rPr>
              <w:t>下一级环境保护行政主管部门审查意见：</w:t>
            </w:r>
          </w:p>
          <w:p>
            <w:pPr>
              <w:spacing w:line="360" w:lineRule="auto"/>
              <w:ind w:firstLine="560"/>
              <w:rPr>
                <w:sz w:val="28"/>
              </w:rPr>
            </w:pPr>
          </w:p>
          <w:p>
            <w:pPr>
              <w:spacing w:line="360" w:lineRule="auto"/>
              <w:ind w:firstLine="560"/>
              <w:rPr>
                <w:sz w:val="28"/>
              </w:rPr>
            </w:pPr>
          </w:p>
          <w:p>
            <w:pPr>
              <w:spacing w:line="360" w:lineRule="auto"/>
              <w:ind w:firstLine="560"/>
              <w:rPr>
                <w:sz w:val="28"/>
              </w:rPr>
            </w:pPr>
          </w:p>
          <w:p>
            <w:pPr>
              <w:spacing w:line="360" w:lineRule="auto"/>
              <w:ind w:firstLine="560"/>
              <w:rPr>
                <w:sz w:val="28"/>
              </w:rPr>
            </w:pPr>
          </w:p>
          <w:p>
            <w:pPr>
              <w:spacing w:line="360" w:lineRule="auto"/>
              <w:ind w:firstLine="560"/>
              <w:rPr>
                <w:sz w:val="28"/>
              </w:rPr>
            </w:pPr>
          </w:p>
          <w:p>
            <w:pPr>
              <w:spacing w:line="360" w:lineRule="auto"/>
              <w:ind w:firstLine="560"/>
              <w:rPr>
                <w:sz w:val="28"/>
              </w:rPr>
            </w:pPr>
          </w:p>
          <w:p>
            <w:pPr>
              <w:spacing w:line="360" w:lineRule="auto"/>
              <w:ind w:firstLine="560"/>
              <w:rPr>
                <w:sz w:val="28"/>
              </w:rPr>
            </w:pPr>
          </w:p>
          <w:p>
            <w:pPr>
              <w:spacing w:line="360" w:lineRule="auto"/>
              <w:ind w:firstLine="560"/>
              <w:rPr>
                <w:sz w:val="28"/>
              </w:rPr>
            </w:pPr>
          </w:p>
          <w:p>
            <w:pPr>
              <w:spacing w:line="360" w:lineRule="auto"/>
              <w:ind w:firstLine="560"/>
              <w:rPr>
                <w:sz w:val="28"/>
              </w:rPr>
            </w:pPr>
          </w:p>
          <w:p>
            <w:pPr>
              <w:spacing w:line="360" w:lineRule="auto"/>
              <w:ind w:firstLine="560"/>
              <w:rPr>
                <w:sz w:val="28"/>
              </w:rPr>
            </w:pPr>
          </w:p>
          <w:p>
            <w:pPr>
              <w:spacing w:line="360" w:lineRule="auto"/>
              <w:ind w:firstLine="560"/>
              <w:rPr>
                <w:sz w:val="28"/>
              </w:rPr>
            </w:pPr>
          </w:p>
          <w:p>
            <w:pPr>
              <w:spacing w:line="360" w:lineRule="auto"/>
              <w:ind w:firstLine="560"/>
              <w:rPr>
                <w:sz w:val="28"/>
              </w:rPr>
            </w:pPr>
          </w:p>
          <w:p>
            <w:pPr>
              <w:spacing w:line="360" w:lineRule="auto"/>
              <w:ind w:firstLine="560"/>
              <w:rPr>
                <w:sz w:val="28"/>
              </w:rPr>
            </w:pPr>
          </w:p>
          <w:p>
            <w:pPr>
              <w:spacing w:line="360" w:lineRule="auto"/>
              <w:ind w:firstLine="560"/>
              <w:rPr>
                <w:sz w:val="28"/>
              </w:rPr>
            </w:pPr>
          </w:p>
          <w:p>
            <w:pPr>
              <w:spacing w:line="360" w:lineRule="auto"/>
              <w:ind w:firstLine="560"/>
              <w:rPr>
                <w:sz w:val="28"/>
              </w:rPr>
            </w:pPr>
          </w:p>
          <w:p>
            <w:pPr>
              <w:spacing w:line="360" w:lineRule="auto"/>
              <w:ind w:firstLine="560"/>
              <w:rPr>
                <w:sz w:val="28"/>
              </w:rPr>
            </w:pPr>
          </w:p>
          <w:p>
            <w:pPr>
              <w:spacing w:line="360" w:lineRule="auto"/>
              <w:ind w:firstLine="560"/>
              <w:rPr>
                <w:sz w:val="28"/>
              </w:rPr>
            </w:pPr>
          </w:p>
          <w:p>
            <w:pPr>
              <w:spacing w:line="360" w:lineRule="auto"/>
              <w:ind w:firstLine="560"/>
              <w:rPr>
                <w:sz w:val="28"/>
              </w:rPr>
            </w:pPr>
          </w:p>
          <w:p>
            <w:pPr>
              <w:spacing w:line="360" w:lineRule="auto"/>
              <w:ind w:firstLine="560"/>
              <w:rPr>
                <w:sz w:val="28"/>
              </w:rPr>
            </w:pPr>
          </w:p>
          <w:p>
            <w:pPr>
              <w:spacing w:line="360" w:lineRule="auto"/>
              <w:ind w:firstLine="560"/>
              <w:rPr>
                <w:sz w:val="28"/>
              </w:rPr>
            </w:pPr>
          </w:p>
          <w:p>
            <w:pPr>
              <w:spacing w:line="360" w:lineRule="auto"/>
              <w:rPr>
                <w:b/>
                <w:sz w:val="28"/>
              </w:rPr>
            </w:pPr>
            <w:r>
              <w:rPr>
                <w:rFonts w:hint="eastAsia"/>
                <w:b/>
                <w:sz w:val="28"/>
              </w:rPr>
              <w:t xml:space="preserve">    </w:t>
            </w:r>
          </w:p>
          <w:p>
            <w:pPr>
              <w:spacing w:line="360" w:lineRule="auto"/>
              <w:rPr>
                <w:b/>
                <w:sz w:val="28"/>
              </w:rPr>
            </w:pPr>
            <w:r>
              <w:rPr>
                <w:rFonts w:hint="eastAsia"/>
                <w:b/>
                <w:sz w:val="28"/>
              </w:rPr>
              <w:t xml:space="preserve">    </w:t>
            </w:r>
          </w:p>
          <w:p>
            <w:pPr>
              <w:spacing w:line="360" w:lineRule="auto"/>
              <w:ind w:firstLine="6746" w:firstLineChars="2400"/>
              <w:rPr>
                <w:b/>
                <w:sz w:val="28"/>
              </w:rPr>
            </w:pPr>
            <w:r>
              <w:rPr>
                <w:b/>
                <w:sz w:val="28"/>
              </w:rPr>
              <w:t>公  章</w:t>
            </w:r>
          </w:p>
          <w:p>
            <w:pPr>
              <w:spacing w:line="360" w:lineRule="auto"/>
              <w:ind w:firstLine="562"/>
              <w:rPr>
                <w:b/>
                <w:sz w:val="28"/>
              </w:rPr>
            </w:pPr>
            <w:r>
              <w:rPr>
                <w:b/>
                <w:sz w:val="28"/>
              </w:rPr>
              <w:t xml:space="preserve">经办人：                            </w:t>
            </w:r>
          </w:p>
          <w:p>
            <w:pPr>
              <w:spacing w:line="360" w:lineRule="auto"/>
              <w:ind w:firstLine="5608" w:firstLineChars="1995"/>
              <w:rPr>
                <w:b/>
                <w:sz w:val="28"/>
              </w:rPr>
            </w:pPr>
            <w:r>
              <w:rPr>
                <w:b/>
                <w:sz w:val="28"/>
              </w:rPr>
              <w:t xml:space="preserve"> </w:t>
            </w:r>
            <w:r>
              <w:rPr>
                <w:rFonts w:hint="eastAsia"/>
                <w:b/>
                <w:sz w:val="28"/>
              </w:rPr>
              <w:t xml:space="preserve">      </w:t>
            </w:r>
            <w:r>
              <w:rPr>
                <w:b/>
                <w:sz w:val="28"/>
              </w:rPr>
              <w:t>年    月    日</w:t>
            </w:r>
          </w:p>
          <w:p>
            <w:pPr>
              <w:rPr>
                <w:sz w:val="28"/>
              </w:rPr>
            </w:pPr>
          </w:p>
          <w:p>
            <w:pPr>
              <w:rPr>
                <w:sz w:val="28"/>
              </w:rPr>
            </w:pPr>
          </w:p>
          <w:p>
            <w:pPr>
              <w:jc w:val="center"/>
              <w:rPr>
                <w:sz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83" w:hRule="atLeast"/>
          <w:jc w:val="center"/>
        </w:trPr>
        <w:tc>
          <w:tcPr>
            <w:tcW w:w="9174" w:type="dxa"/>
            <w:tcBorders>
              <w:tl2br w:val="nil"/>
              <w:tr2bl w:val="nil"/>
            </w:tcBorders>
          </w:tcPr>
          <w:p>
            <w:pPr>
              <w:spacing w:line="360" w:lineRule="auto"/>
              <w:rPr>
                <w:b/>
                <w:sz w:val="28"/>
              </w:rPr>
            </w:pPr>
            <w:r>
              <w:rPr>
                <w:b/>
                <w:sz w:val="28"/>
              </w:rPr>
              <w:t>审批意见：</w:t>
            </w:r>
          </w:p>
          <w:p>
            <w:pPr>
              <w:spacing w:line="360" w:lineRule="auto"/>
              <w:ind w:firstLine="562"/>
              <w:rPr>
                <w:b/>
                <w:sz w:val="28"/>
              </w:rPr>
            </w:pPr>
          </w:p>
          <w:p>
            <w:pPr>
              <w:spacing w:line="360" w:lineRule="auto"/>
              <w:ind w:firstLine="562"/>
              <w:rPr>
                <w:b/>
                <w:sz w:val="28"/>
              </w:rPr>
            </w:pPr>
          </w:p>
          <w:p>
            <w:pPr>
              <w:spacing w:line="360" w:lineRule="auto"/>
              <w:ind w:firstLine="562"/>
              <w:rPr>
                <w:b/>
                <w:sz w:val="28"/>
              </w:rPr>
            </w:pPr>
          </w:p>
          <w:p>
            <w:pPr>
              <w:spacing w:line="360" w:lineRule="auto"/>
              <w:ind w:firstLine="562"/>
              <w:rPr>
                <w:b/>
                <w:sz w:val="28"/>
              </w:rPr>
            </w:pPr>
          </w:p>
          <w:p>
            <w:pPr>
              <w:spacing w:line="360" w:lineRule="auto"/>
              <w:ind w:firstLine="562"/>
              <w:rPr>
                <w:b/>
                <w:sz w:val="28"/>
              </w:rPr>
            </w:pPr>
          </w:p>
          <w:p>
            <w:pPr>
              <w:spacing w:line="360" w:lineRule="auto"/>
              <w:ind w:firstLine="562"/>
              <w:rPr>
                <w:b/>
                <w:sz w:val="28"/>
              </w:rPr>
            </w:pPr>
          </w:p>
          <w:p>
            <w:pPr>
              <w:spacing w:line="360" w:lineRule="auto"/>
              <w:ind w:firstLine="562"/>
              <w:rPr>
                <w:b/>
                <w:sz w:val="28"/>
              </w:rPr>
            </w:pPr>
          </w:p>
          <w:p>
            <w:pPr>
              <w:spacing w:line="360" w:lineRule="auto"/>
              <w:ind w:firstLine="562"/>
              <w:rPr>
                <w:b/>
                <w:sz w:val="28"/>
              </w:rPr>
            </w:pPr>
          </w:p>
          <w:p>
            <w:pPr>
              <w:spacing w:line="360" w:lineRule="auto"/>
              <w:ind w:firstLine="562"/>
              <w:rPr>
                <w:b/>
                <w:sz w:val="28"/>
              </w:rPr>
            </w:pPr>
          </w:p>
          <w:p>
            <w:pPr>
              <w:spacing w:line="360" w:lineRule="auto"/>
              <w:ind w:firstLine="562"/>
              <w:rPr>
                <w:b/>
                <w:sz w:val="28"/>
              </w:rPr>
            </w:pPr>
          </w:p>
          <w:p>
            <w:pPr>
              <w:spacing w:line="360" w:lineRule="auto"/>
              <w:ind w:firstLine="562"/>
              <w:rPr>
                <w:b/>
                <w:sz w:val="28"/>
              </w:rPr>
            </w:pPr>
          </w:p>
          <w:p>
            <w:pPr>
              <w:spacing w:line="360" w:lineRule="auto"/>
              <w:ind w:firstLine="562"/>
              <w:rPr>
                <w:b/>
                <w:sz w:val="28"/>
              </w:rPr>
            </w:pPr>
          </w:p>
          <w:p>
            <w:pPr>
              <w:spacing w:line="360" w:lineRule="auto"/>
              <w:ind w:firstLine="562"/>
              <w:rPr>
                <w:b/>
                <w:sz w:val="28"/>
              </w:rPr>
            </w:pPr>
          </w:p>
          <w:p>
            <w:pPr>
              <w:spacing w:line="360" w:lineRule="auto"/>
              <w:ind w:firstLine="562"/>
              <w:rPr>
                <w:b/>
                <w:sz w:val="28"/>
              </w:rPr>
            </w:pPr>
          </w:p>
          <w:p>
            <w:pPr>
              <w:spacing w:line="360" w:lineRule="auto"/>
              <w:ind w:firstLine="562"/>
              <w:rPr>
                <w:b/>
                <w:sz w:val="28"/>
              </w:rPr>
            </w:pPr>
          </w:p>
          <w:p>
            <w:pPr>
              <w:spacing w:line="360" w:lineRule="auto"/>
              <w:ind w:firstLine="562"/>
              <w:rPr>
                <w:b/>
                <w:sz w:val="28"/>
              </w:rPr>
            </w:pPr>
          </w:p>
          <w:p>
            <w:pPr>
              <w:spacing w:line="360" w:lineRule="auto"/>
              <w:ind w:firstLine="562"/>
              <w:rPr>
                <w:b/>
                <w:sz w:val="28"/>
              </w:rPr>
            </w:pPr>
          </w:p>
          <w:p>
            <w:pPr>
              <w:spacing w:line="360" w:lineRule="auto"/>
              <w:ind w:firstLine="562"/>
              <w:rPr>
                <w:b/>
                <w:sz w:val="28"/>
              </w:rPr>
            </w:pPr>
          </w:p>
          <w:p>
            <w:pPr>
              <w:spacing w:line="360" w:lineRule="auto"/>
              <w:ind w:firstLine="562"/>
              <w:rPr>
                <w:b/>
                <w:sz w:val="28"/>
              </w:rPr>
            </w:pPr>
          </w:p>
          <w:p>
            <w:pPr>
              <w:spacing w:line="360" w:lineRule="auto"/>
              <w:ind w:firstLine="562"/>
              <w:rPr>
                <w:b/>
                <w:sz w:val="28"/>
              </w:rPr>
            </w:pPr>
          </w:p>
          <w:p>
            <w:pPr>
              <w:spacing w:line="360" w:lineRule="auto"/>
              <w:ind w:firstLine="562"/>
              <w:rPr>
                <w:b/>
                <w:sz w:val="28"/>
              </w:rPr>
            </w:pPr>
          </w:p>
          <w:p>
            <w:pPr>
              <w:spacing w:line="360" w:lineRule="auto"/>
              <w:ind w:firstLine="562"/>
              <w:rPr>
                <w:b/>
                <w:sz w:val="28"/>
              </w:rPr>
            </w:pPr>
          </w:p>
          <w:p>
            <w:pPr>
              <w:spacing w:line="360" w:lineRule="auto"/>
              <w:ind w:firstLine="562"/>
              <w:rPr>
                <w:b/>
                <w:sz w:val="28"/>
              </w:rPr>
            </w:pPr>
          </w:p>
          <w:p>
            <w:pPr>
              <w:spacing w:line="360" w:lineRule="auto"/>
              <w:ind w:firstLine="7027" w:firstLineChars="2500"/>
              <w:rPr>
                <w:b/>
                <w:sz w:val="28"/>
              </w:rPr>
            </w:pPr>
            <w:r>
              <w:rPr>
                <w:b/>
                <w:sz w:val="28"/>
              </w:rPr>
              <w:t>公 章</w:t>
            </w:r>
          </w:p>
          <w:p>
            <w:pPr>
              <w:spacing w:line="360" w:lineRule="auto"/>
              <w:ind w:firstLine="562"/>
              <w:rPr>
                <w:b/>
                <w:sz w:val="28"/>
              </w:rPr>
            </w:pPr>
            <w:r>
              <w:rPr>
                <w:b/>
                <w:sz w:val="28"/>
              </w:rPr>
              <w:t>经办人：                                    年   月   日</w:t>
            </w:r>
          </w:p>
        </w:tc>
      </w:tr>
    </w:tbl>
    <w:p>
      <w:pPr>
        <w:adjustRightInd/>
        <w:spacing w:line="320" w:lineRule="exact"/>
        <w:textAlignment w:val="auto"/>
        <w:rPr>
          <w:rFonts w:ascii="宋体" w:hAnsi="宋体"/>
          <w:b/>
          <w:kern w:val="2"/>
          <w:sz w:val="30"/>
          <w:szCs w:val="24"/>
        </w:rPr>
      </w:pP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1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431" w:hRule="atLeast"/>
        </w:trPr>
        <w:tc>
          <w:tcPr>
            <w:tcW w:w="9174" w:type="dxa"/>
            <w:tcBorders>
              <w:tl2br w:val="nil"/>
              <w:tr2bl w:val="nil"/>
            </w:tcBorders>
          </w:tcPr>
          <w:p>
            <w:pPr>
              <w:pStyle w:val="122"/>
              <w:jc w:val="center"/>
              <w:rPr>
                <w:rFonts w:ascii="Times New Roman" w:eastAsia="仿宋_GB2312"/>
                <w:spacing w:val="0"/>
                <w:kern w:val="0"/>
                <w:sz w:val="52"/>
                <w:szCs w:val="52"/>
              </w:rPr>
            </w:pPr>
            <w:r>
              <w:rPr>
                <w:rFonts w:ascii="Times New Roman" w:eastAsia="仿宋_GB2312"/>
                <w:spacing w:val="0"/>
                <w:kern w:val="0"/>
                <w:sz w:val="52"/>
                <w:szCs w:val="52"/>
              </w:rPr>
              <w:t>备   注</w:t>
            </w:r>
          </w:p>
          <w:p>
            <w:pPr>
              <w:pStyle w:val="122"/>
              <w:ind w:firstLine="562" w:firstLineChars="200"/>
              <w:rPr>
                <w:rFonts w:ascii="Times New Roman" w:hAnsi="宋体"/>
                <w:spacing w:val="0"/>
                <w:kern w:val="0"/>
                <w:szCs w:val="28"/>
              </w:rPr>
            </w:pPr>
            <w:r>
              <w:rPr>
                <w:rFonts w:ascii="Times New Roman" w:hAnsi="宋体"/>
                <w:spacing w:val="0"/>
                <w:kern w:val="0"/>
                <w:szCs w:val="28"/>
              </w:rPr>
              <w:t>附图：</w:t>
            </w:r>
          </w:p>
          <w:p>
            <w:pPr>
              <w:pStyle w:val="122"/>
              <w:ind w:firstLine="600" w:firstLineChars="250"/>
              <w:outlineLvl w:val="0"/>
              <w:rPr>
                <w:rFonts w:ascii="Times New Roman" w:cs="宋体"/>
                <w:b w:val="0"/>
                <w:spacing w:val="0"/>
                <w:sz w:val="24"/>
                <w:szCs w:val="20"/>
              </w:rPr>
            </w:pPr>
            <w:bookmarkStart w:id="53" w:name="_Toc8645"/>
            <w:r>
              <w:rPr>
                <w:rFonts w:ascii="Times New Roman" w:cs="宋体"/>
                <w:b w:val="0"/>
                <w:spacing w:val="0"/>
                <w:sz w:val="24"/>
                <w:szCs w:val="20"/>
              </w:rPr>
              <w:t>附图</w:t>
            </w:r>
            <w:r>
              <w:rPr>
                <w:rFonts w:hint="eastAsia" w:ascii="Times New Roman" w:cs="宋体"/>
                <w:b w:val="0"/>
                <w:spacing w:val="0"/>
                <w:sz w:val="24"/>
                <w:szCs w:val="20"/>
              </w:rPr>
              <w:t>1</w:t>
            </w:r>
            <w:r>
              <w:rPr>
                <w:rFonts w:ascii="Times New Roman" w:cs="宋体"/>
                <w:b w:val="0"/>
                <w:spacing w:val="0"/>
                <w:sz w:val="24"/>
                <w:szCs w:val="20"/>
              </w:rPr>
              <w:t xml:space="preserve">  建设项目地理位置</w:t>
            </w:r>
            <w:r>
              <w:rPr>
                <w:rFonts w:hint="eastAsia" w:ascii="Times New Roman" w:cs="宋体"/>
                <w:b w:val="0"/>
                <w:spacing w:val="0"/>
                <w:sz w:val="24"/>
                <w:szCs w:val="20"/>
              </w:rPr>
              <w:t>图</w:t>
            </w:r>
            <w:bookmarkEnd w:id="53"/>
          </w:p>
          <w:p>
            <w:pPr>
              <w:pStyle w:val="122"/>
              <w:ind w:firstLine="600" w:firstLineChars="250"/>
              <w:outlineLvl w:val="0"/>
              <w:rPr>
                <w:rFonts w:ascii="Times New Roman" w:cs="宋体"/>
                <w:b w:val="0"/>
                <w:spacing w:val="0"/>
                <w:sz w:val="24"/>
                <w:szCs w:val="20"/>
              </w:rPr>
            </w:pPr>
            <w:bookmarkStart w:id="54" w:name="_Toc5613"/>
            <w:r>
              <w:rPr>
                <w:rFonts w:hint="eastAsia" w:ascii="Times New Roman" w:cs="宋体"/>
                <w:b w:val="0"/>
                <w:spacing w:val="0"/>
                <w:sz w:val="24"/>
                <w:szCs w:val="20"/>
              </w:rPr>
              <w:t xml:space="preserve">附图2 </w:t>
            </w:r>
            <w:r>
              <w:rPr>
                <w:rFonts w:ascii="Times New Roman" w:cs="宋体"/>
                <w:b w:val="0"/>
                <w:spacing w:val="0"/>
                <w:sz w:val="24"/>
                <w:szCs w:val="20"/>
              </w:rPr>
              <w:t xml:space="preserve"> </w:t>
            </w:r>
            <w:r>
              <w:rPr>
                <w:rFonts w:hint="eastAsia" w:ascii="Times New Roman" w:cs="宋体"/>
                <w:b w:val="0"/>
                <w:spacing w:val="0"/>
                <w:sz w:val="24"/>
                <w:szCs w:val="20"/>
              </w:rPr>
              <w:t>项目周边敏感目标分布图</w:t>
            </w:r>
            <w:bookmarkEnd w:id="54"/>
          </w:p>
          <w:p>
            <w:pPr>
              <w:pStyle w:val="122"/>
              <w:ind w:firstLine="600" w:firstLineChars="250"/>
              <w:outlineLvl w:val="0"/>
              <w:rPr>
                <w:rFonts w:ascii="Times New Roman" w:cs="宋体"/>
                <w:b w:val="0"/>
                <w:spacing w:val="0"/>
                <w:sz w:val="24"/>
                <w:szCs w:val="20"/>
              </w:rPr>
            </w:pPr>
            <w:bookmarkStart w:id="55" w:name="_Toc31359"/>
            <w:r>
              <w:rPr>
                <w:rFonts w:hint="eastAsia" w:ascii="Times New Roman" w:cs="宋体"/>
                <w:b w:val="0"/>
                <w:spacing w:val="0"/>
                <w:sz w:val="24"/>
                <w:szCs w:val="20"/>
              </w:rPr>
              <w:t xml:space="preserve">附图3 </w:t>
            </w:r>
            <w:r>
              <w:rPr>
                <w:rFonts w:ascii="Times New Roman" w:cs="宋体"/>
                <w:b w:val="0"/>
                <w:spacing w:val="0"/>
                <w:sz w:val="24"/>
                <w:szCs w:val="20"/>
              </w:rPr>
              <w:t xml:space="preserve"> </w:t>
            </w:r>
            <w:r>
              <w:rPr>
                <w:rFonts w:hint="eastAsia" w:ascii="Times New Roman" w:cs="宋体"/>
                <w:b w:val="0"/>
                <w:spacing w:val="0"/>
                <w:sz w:val="24"/>
                <w:szCs w:val="20"/>
              </w:rPr>
              <w:t>平面布置图</w:t>
            </w:r>
            <w:bookmarkEnd w:id="55"/>
          </w:p>
          <w:p>
            <w:pPr>
              <w:pStyle w:val="122"/>
              <w:ind w:firstLine="600" w:firstLineChars="250"/>
              <w:outlineLvl w:val="0"/>
              <w:rPr>
                <w:rFonts w:ascii="Times New Roman" w:cs="宋体"/>
                <w:b w:val="0"/>
                <w:spacing w:val="0"/>
                <w:sz w:val="24"/>
                <w:szCs w:val="20"/>
              </w:rPr>
            </w:pPr>
            <w:bookmarkStart w:id="56" w:name="_Toc30750"/>
            <w:r>
              <w:rPr>
                <w:rFonts w:hint="eastAsia" w:ascii="Times New Roman" w:cs="宋体"/>
                <w:b w:val="0"/>
                <w:spacing w:val="0"/>
                <w:sz w:val="24"/>
                <w:szCs w:val="20"/>
              </w:rPr>
              <w:t>附图4  项目四至图</w:t>
            </w:r>
            <w:bookmarkEnd w:id="56"/>
          </w:p>
          <w:p>
            <w:pPr>
              <w:pStyle w:val="122"/>
              <w:ind w:firstLine="600" w:firstLineChars="250"/>
              <w:outlineLvl w:val="0"/>
              <w:rPr>
                <w:rFonts w:ascii="Times New Roman" w:cs="宋体"/>
                <w:b w:val="0"/>
                <w:spacing w:val="0"/>
                <w:sz w:val="24"/>
                <w:szCs w:val="20"/>
              </w:rPr>
            </w:pPr>
            <w:bookmarkStart w:id="57" w:name="_Toc29168"/>
            <w:r>
              <w:rPr>
                <w:rFonts w:hint="eastAsia" w:ascii="Times New Roman" w:cs="宋体"/>
                <w:b w:val="0"/>
                <w:spacing w:val="0"/>
                <w:sz w:val="24"/>
                <w:szCs w:val="20"/>
              </w:rPr>
              <w:t>附图5</w:t>
            </w:r>
            <w:r>
              <w:rPr>
                <w:rFonts w:ascii="Times New Roman" w:cs="宋体"/>
                <w:b w:val="0"/>
                <w:spacing w:val="0"/>
                <w:sz w:val="24"/>
                <w:szCs w:val="20"/>
              </w:rPr>
              <w:t xml:space="preserve">  </w:t>
            </w:r>
            <w:r>
              <w:rPr>
                <w:rFonts w:hint="eastAsia" w:ascii="Times New Roman" w:cs="宋体"/>
                <w:b w:val="0"/>
                <w:spacing w:val="0"/>
                <w:sz w:val="24"/>
                <w:szCs w:val="20"/>
              </w:rPr>
              <w:t>项目四至现状图</w:t>
            </w:r>
            <w:bookmarkEnd w:id="57"/>
          </w:p>
          <w:p>
            <w:pPr>
              <w:pStyle w:val="122"/>
              <w:ind w:firstLine="600" w:firstLineChars="250"/>
              <w:outlineLvl w:val="9"/>
              <w:rPr>
                <w:rFonts w:ascii="Times New Roman" w:cs="宋体"/>
                <w:b w:val="0"/>
                <w:spacing w:val="0"/>
                <w:sz w:val="24"/>
                <w:szCs w:val="20"/>
              </w:rPr>
            </w:pPr>
          </w:p>
          <w:p>
            <w:pPr>
              <w:pStyle w:val="122"/>
              <w:ind w:firstLine="562" w:firstLineChars="200"/>
              <w:rPr>
                <w:rFonts w:ascii="Times New Roman" w:hAnsi="宋体"/>
                <w:spacing w:val="0"/>
                <w:kern w:val="0"/>
                <w:szCs w:val="28"/>
              </w:rPr>
            </w:pPr>
            <w:r>
              <w:rPr>
                <w:rFonts w:ascii="Times New Roman" w:hAnsi="宋体"/>
                <w:spacing w:val="0"/>
                <w:kern w:val="0"/>
                <w:szCs w:val="28"/>
              </w:rPr>
              <w:t>附件：</w:t>
            </w:r>
          </w:p>
          <w:p>
            <w:pPr>
              <w:pStyle w:val="122"/>
              <w:ind w:firstLine="600" w:firstLineChars="250"/>
              <w:rPr>
                <w:rFonts w:ascii="Times New Roman" w:cs="宋体"/>
                <w:b w:val="0"/>
                <w:spacing w:val="0"/>
                <w:sz w:val="24"/>
                <w:szCs w:val="20"/>
              </w:rPr>
            </w:pPr>
            <w:r>
              <w:rPr>
                <w:rFonts w:ascii="Times New Roman" w:cs="宋体"/>
                <w:b w:val="0"/>
                <w:spacing w:val="0"/>
                <w:sz w:val="24"/>
                <w:szCs w:val="20"/>
              </w:rPr>
              <w:t>附件</w:t>
            </w:r>
            <w:r>
              <w:rPr>
                <w:rFonts w:hint="eastAsia" w:ascii="Times New Roman" w:cs="宋体"/>
                <w:b w:val="0"/>
                <w:spacing w:val="0"/>
                <w:sz w:val="24"/>
                <w:szCs w:val="20"/>
              </w:rPr>
              <w:t>1</w:t>
            </w:r>
            <w:r>
              <w:rPr>
                <w:rFonts w:ascii="Times New Roman" w:cs="宋体"/>
                <w:b w:val="0"/>
                <w:spacing w:val="0"/>
                <w:sz w:val="24"/>
                <w:szCs w:val="20"/>
              </w:rPr>
              <w:t xml:space="preserve">  </w:t>
            </w:r>
            <w:r>
              <w:rPr>
                <w:rFonts w:hint="eastAsia" w:ascii="Times New Roman" w:cs="宋体"/>
                <w:b w:val="0"/>
                <w:spacing w:val="0"/>
                <w:sz w:val="24"/>
                <w:szCs w:val="20"/>
              </w:rPr>
              <w:t>委托书</w:t>
            </w:r>
          </w:p>
          <w:p>
            <w:pPr>
              <w:pStyle w:val="122"/>
              <w:ind w:firstLine="600" w:firstLineChars="250"/>
              <w:rPr>
                <w:rFonts w:ascii="Times New Roman" w:cs="宋体"/>
                <w:b w:val="0"/>
                <w:spacing w:val="0"/>
                <w:sz w:val="24"/>
                <w:szCs w:val="20"/>
              </w:rPr>
            </w:pPr>
            <w:r>
              <w:rPr>
                <w:rFonts w:hint="eastAsia" w:ascii="Times New Roman" w:hAnsi="宋体"/>
                <w:b w:val="0"/>
                <w:spacing w:val="0"/>
                <w:kern w:val="0"/>
                <w:sz w:val="24"/>
              </w:rPr>
              <w:t>附件</w:t>
            </w:r>
            <w:r>
              <w:rPr>
                <w:rFonts w:ascii="Times New Roman" w:hAnsi="宋体"/>
                <w:b w:val="0"/>
                <w:spacing w:val="0"/>
                <w:kern w:val="0"/>
                <w:sz w:val="24"/>
              </w:rPr>
              <w:t xml:space="preserve">2 </w:t>
            </w:r>
            <w:r>
              <w:rPr>
                <w:rFonts w:hint="eastAsia" w:ascii="Times New Roman" w:hAnsi="宋体"/>
                <w:b w:val="0"/>
                <w:spacing w:val="0"/>
                <w:kern w:val="0"/>
                <w:sz w:val="24"/>
              </w:rPr>
              <w:t>承诺书</w:t>
            </w:r>
          </w:p>
          <w:p>
            <w:pPr>
              <w:pStyle w:val="122"/>
              <w:ind w:firstLine="600" w:firstLineChars="250"/>
              <w:rPr>
                <w:rFonts w:ascii="Times New Roman" w:cs="宋体"/>
                <w:b w:val="0"/>
                <w:spacing w:val="0"/>
                <w:sz w:val="24"/>
                <w:szCs w:val="20"/>
              </w:rPr>
            </w:pPr>
            <w:r>
              <w:rPr>
                <w:rFonts w:ascii="Times New Roman" w:hAnsi="宋体"/>
                <w:b w:val="0"/>
                <w:spacing w:val="0"/>
                <w:kern w:val="0"/>
                <w:sz w:val="24"/>
              </w:rPr>
              <w:t xml:space="preserve">附件3 </w:t>
            </w:r>
            <w:r>
              <w:rPr>
                <w:rFonts w:hint="eastAsia" w:ascii="Times New Roman" w:hAnsi="宋体"/>
                <w:b w:val="0"/>
                <w:spacing w:val="0"/>
                <w:kern w:val="0"/>
                <w:sz w:val="24"/>
              </w:rPr>
              <w:t>土地证明</w:t>
            </w:r>
          </w:p>
          <w:p>
            <w:pPr>
              <w:pStyle w:val="122"/>
              <w:ind w:firstLine="600" w:firstLineChars="250"/>
              <w:rPr>
                <w:rFonts w:ascii="Times New Roman" w:hAnsi="宋体"/>
                <w:b w:val="0"/>
                <w:spacing w:val="0"/>
                <w:sz w:val="24"/>
              </w:rPr>
            </w:pPr>
            <w:r>
              <w:rPr>
                <w:rFonts w:ascii="Times New Roman" w:hAnsi="宋体"/>
                <w:b w:val="0"/>
                <w:spacing w:val="0"/>
                <w:kern w:val="0"/>
                <w:sz w:val="24"/>
              </w:rPr>
              <w:t>附件4</w:t>
            </w:r>
            <w:r>
              <w:rPr>
                <w:rFonts w:hint="eastAsia" w:ascii="Times New Roman" w:hAnsi="宋体"/>
                <w:b w:val="0"/>
                <w:spacing w:val="0"/>
                <w:kern w:val="0"/>
                <w:sz w:val="24"/>
              </w:rPr>
              <w:t>《关于同意雷州市雷高镇海东加油站平面规划方案的批复》</w:t>
            </w:r>
          </w:p>
          <w:p>
            <w:pPr>
              <w:pStyle w:val="122"/>
              <w:ind w:firstLine="600" w:firstLineChars="250"/>
              <w:rPr>
                <w:rFonts w:ascii="Times New Roman" w:cs="宋体"/>
                <w:b w:val="0"/>
                <w:spacing w:val="0"/>
                <w:sz w:val="24"/>
                <w:szCs w:val="20"/>
              </w:rPr>
            </w:pPr>
            <w:r>
              <w:rPr>
                <w:rFonts w:ascii="Times New Roman" w:hAnsi="宋体"/>
                <w:b w:val="0"/>
                <w:spacing w:val="0"/>
                <w:kern w:val="0"/>
                <w:sz w:val="24"/>
              </w:rPr>
              <w:t>附件5</w:t>
            </w:r>
            <w:r>
              <w:rPr>
                <w:rFonts w:hint="eastAsia" w:ascii="Times New Roman" w:hAnsi="宋体"/>
                <w:b w:val="0"/>
                <w:spacing w:val="0"/>
                <w:kern w:val="0"/>
                <w:sz w:val="24"/>
              </w:rPr>
              <w:t>《关于雷州市雷高镇海东加油站用地地块规划用途的说明》</w:t>
            </w:r>
          </w:p>
          <w:p>
            <w:pPr>
              <w:pStyle w:val="122"/>
              <w:ind w:firstLine="600" w:firstLineChars="250"/>
              <w:rPr>
                <w:rFonts w:ascii="Times New Roman" w:cs="宋体"/>
                <w:b w:val="0"/>
                <w:spacing w:val="0"/>
                <w:sz w:val="24"/>
                <w:szCs w:val="20"/>
              </w:rPr>
            </w:pPr>
            <w:r>
              <w:rPr>
                <w:rFonts w:ascii="Times New Roman" w:hAnsi="宋体"/>
                <w:b w:val="0"/>
                <w:spacing w:val="0"/>
                <w:kern w:val="0"/>
                <w:sz w:val="24"/>
              </w:rPr>
              <w:t>附件</w:t>
            </w:r>
            <w:r>
              <w:rPr>
                <w:rFonts w:hint="eastAsia" w:ascii="Times New Roman" w:hAnsi="宋体"/>
                <w:b w:val="0"/>
                <w:spacing w:val="0"/>
                <w:kern w:val="0"/>
                <w:sz w:val="24"/>
              </w:rPr>
              <w:t>6</w:t>
            </w:r>
            <w:r>
              <w:rPr>
                <w:rFonts w:ascii="Times New Roman" w:hAnsi="宋体"/>
                <w:b w:val="0"/>
                <w:spacing w:val="0"/>
                <w:kern w:val="0"/>
                <w:sz w:val="24"/>
              </w:rPr>
              <w:t xml:space="preserve">  </w:t>
            </w:r>
            <w:r>
              <w:rPr>
                <w:rFonts w:hint="eastAsia" w:ascii="Times New Roman" w:hAnsi="宋体"/>
                <w:b w:val="0"/>
                <w:spacing w:val="0"/>
                <w:kern w:val="0"/>
                <w:sz w:val="24"/>
              </w:rPr>
              <w:t>备案证明</w:t>
            </w:r>
          </w:p>
          <w:p>
            <w:pPr>
              <w:pStyle w:val="122"/>
              <w:ind w:firstLine="600" w:firstLineChars="250"/>
              <w:rPr>
                <w:rFonts w:ascii="Times New Roman" w:cs="宋体"/>
                <w:b w:val="0"/>
                <w:spacing w:val="0"/>
                <w:sz w:val="24"/>
                <w:szCs w:val="20"/>
              </w:rPr>
            </w:pPr>
            <w:r>
              <w:rPr>
                <w:rFonts w:ascii="Times New Roman" w:hAnsi="宋体"/>
                <w:b w:val="0"/>
                <w:spacing w:val="0"/>
                <w:kern w:val="0"/>
                <w:sz w:val="24"/>
              </w:rPr>
              <w:t>附件7</w:t>
            </w:r>
            <w:r>
              <w:rPr>
                <w:rFonts w:ascii="Times New Roman"/>
                <w:b w:val="0"/>
                <w:spacing w:val="0"/>
                <w:kern w:val="0"/>
                <w:sz w:val="24"/>
              </w:rPr>
              <w:t xml:space="preserve">  </w:t>
            </w:r>
            <w:r>
              <w:rPr>
                <w:rFonts w:hint="eastAsia" w:ascii="Times New Roman" w:hAnsi="宋体"/>
                <w:b w:val="0"/>
                <w:spacing w:val="0"/>
                <w:kern w:val="0"/>
                <w:sz w:val="24"/>
              </w:rPr>
              <w:t>营业执照</w:t>
            </w:r>
          </w:p>
          <w:p>
            <w:pPr>
              <w:adjustRightInd/>
              <w:spacing w:line="320" w:lineRule="exact"/>
              <w:textAlignment w:val="auto"/>
              <w:rPr>
                <w:rFonts w:ascii="宋体" w:hAnsi="宋体"/>
                <w:b/>
                <w:kern w:val="2"/>
                <w:sz w:val="30"/>
                <w:szCs w:val="24"/>
              </w:rPr>
            </w:pPr>
          </w:p>
          <w:p>
            <w:pPr>
              <w:pStyle w:val="122"/>
              <w:ind w:firstLine="562" w:firstLineChars="200"/>
              <w:rPr>
                <w:rFonts w:ascii="Times New Roman" w:hAnsi="宋体"/>
                <w:spacing w:val="0"/>
                <w:kern w:val="0"/>
                <w:szCs w:val="28"/>
              </w:rPr>
            </w:pPr>
            <w:r>
              <w:rPr>
                <w:rFonts w:hint="eastAsia" w:ascii="Times New Roman" w:hAnsi="宋体"/>
                <w:spacing w:val="0"/>
                <w:kern w:val="0"/>
                <w:szCs w:val="28"/>
              </w:rPr>
              <w:t>附表：</w:t>
            </w:r>
          </w:p>
          <w:p>
            <w:pPr>
              <w:pStyle w:val="122"/>
              <w:ind w:firstLine="600" w:firstLineChars="250"/>
              <w:rPr>
                <w:rFonts w:hAnsi="宋体"/>
                <w:b w:val="0"/>
                <w:sz w:val="30"/>
              </w:rPr>
            </w:pPr>
            <w:r>
              <w:rPr>
                <w:rFonts w:hint="eastAsia" w:ascii="Times New Roman" w:cs="宋体"/>
                <w:b w:val="0"/>
                <w:spacing w:val="0"/>
                <w:sz w:val="24"/>
                <w:szCs w:val="20"/>
              </w:rPr>
              <w:t>项目基本信息表</w:t>
            </w:r>
          </w:p>
        </w:tc>
      </w:tr>
    </w:tbl>
    <w:p>
      <w:pPr>
        <w:adjustRightInd/>
        <w:spacing w:line="320" w:lineRule="exact"/>
        <w:textAlignment w:val="auto"/>
        <w:rPr>
          <w:rFonts w:ascii="宋体" w:hAnsi="宋体"/>
          <w:b/>
          <w:kern w:val="2"/>
          <w:sz w:val="30"/>
          <w:szCs w:val="24"/>
        </w:rPr>
        <w:sectPr>
          <w:footerReference r:id="rId8" w:type="first"/>
          <w:pgSz w:w="11907" w:h="16840"/>
          <w:pgMar w:top="1418" w:right="1418" w:bottom="1418" w:left="1418" w:header="851" w:footer="992" w:gutter="113"/>
          <w:pgBorders>
            <w:top w:val="none" w:sz="0" w:space="0"/>
            <w:left w:val="none" w:sz="0" w:space="0"/>
            <w:bottom w:val="none" w:sz="0" w:space="0"/>
            <w:right w:val="none" w:sz="0" w:space="0"/>
          </w:pgBorders>
          <w:cols w:space="720" w:num="1"/>
          <w:titlePg/>
          <w:docGrid w:type="lines" w:linePitch="312" w:charSpace="0"/>
        </w:sectPr>
      </w:pPr>
    </w:p>
    <w:p>
      <w:pPr>
        <w:pStyle w:val="122"/>
        <w:jc w:val="center"/>
        <w:rPr>
          <w:rFonts w:ascii="Times New Roman" w:hAnsi="宋体"/>
          <w:b w:val="0"/>
          <w:spacing w:val="0"/>
          <w:kern w:val="0"/>
          <w:sz w:val="24"/>
        </w:rPr>
      </w:pPr>
      <w:r>
        <w:drawing>
          <wp:inline distT="0" distB="0" distL="0" distR="0">
            <wp:extent cx="8892540" cy="5312410"/>
            <wp:effectExtent l="9525" t="9525" r="13335" b="1206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6"/>
                    <a:stretch>
                      <a:fillRect/>
                    </a:stretch>
                  </pic:blipFill>
                  <pic:spPr>
                    <a:xfrm>
                      <a:off x="0" y="0"/>
                      <a:ext cx="8892540" cy="5312410"/>
                    </a:xfrm>
                    <a:prstGeom prst="rect">
                      <a:avLst/>
                    </a:prstGeom>
                    <a:ln>
                      <a:solidFill>
                        <a:schemeClr val="tx1"/>
                      </a:solidFill>
                    </a:ln>
                  </pic:spPr>
                </pic:pic>
              </a:graphicData>
            </a:graphic>
          </wp:inline>
        </w:drawing>
      </w:r>
    </w:p>
    <w:p>
      <w:pPr>
        <w:pStyle w:val="122"/>
        <w:jc w:val="center"/>
        <w:outlineLvl w:val="0"/>
        <w:rPr>
          <w:rFonts w:ascii="Times New Roman" w:hAnsi="宋体"/>
          <w:bCs/>
          <w:spacing w:val="0"/>
          <w:kern w:val="0"/>
          <w:sz w:val="24"/>
        </w:rPr>
      </w:pPr>
      <w:bookmarkStart w:id="58" w:name="_Toc3673"/>
      <w:r>
        <w:rPr>
          <w:rFonts w:ascii="Times New Roman" w:hAnsi="宋体"/>
          <w:bCs/>
          <w:spacing w:val="0"/>
          <w:kern w:val="0"/>
          <w:sz w:val="24"/>
        </w:rPr>
        <w:t>附图</w:t>
      </w:r>
      <w:r>
        <w:rPr>
          <w:rFonts w:hint="eastAsia" w:ascii="Times New Roman" w:hAnsi="宋体"/>
          <w:bCs/>
          <w:spacing w:val="0"/>
          <w:kern w:val="0"/>
          <w:sz w:val="24"/>
        </w:rPr>
        <w:t>1</w:t>
      </w:r>
      <w:r>
        <w:rPr>
          <w:rFonts w:ascii="Times New Roman"/>
          <w:bCs/>
          <w:spacing w:val="0"/>
          <w:kern w:val="0"/>
          <w:sz w:val="24"/>
        </w:rPr>
        <w:t xml:space="preserve">  </w:t>
      </w:r>
      <w:r>
        <w:rPr>
          <w:rFonts w:ascii="Times New Roman" w:hAnsi="宋体"/>
          <w:bCs/>
          <w:spacing w:val="0"/>
          <w:kern w:val="0"/>
          <w:sz w:val="24"/>
        </w:rPr>
        <w:t>建设项目地理位置</w:t>
      </w:r>
      <w:r>
        <w:rPr>
          <w:rFonts w:hint="eastAsia" w:ascii="Times New Roman" w:hAnsi="宋体"/>
          <w:bCs/>
          <w:spacing w:val="0"/>
          <w:kern w:val="0"/>
          <w:sz w:val="24"/>
        </w:rPr>
        <w:t>图</w:t>
      </w:r>
      <w:bookmarkEnd w:id="58"/>
    </w:p>
    <w:p>
      <w:pPr>
        <w:pStyle w:val="122"/>
        <w:jc w:val="center"/>
        <w:outlineLvl w:val="9"/>
        <w:rPr>
          <w:rFonts w:ascii="Times New Roman"/>
          <w:b w:val="0"/>
          <w:spacing w:val="0"/>
          <w:kern w:val="0"/>
          <w:sz w:val="24"/>
        </w:rPr>
        <w:sectPr>
          <w:footerReference r:id="rId10" w:type="first"/>
          <w:footerReference r:id="rId9" w:type="default"/>
          <w:pgSz w:w="16840" w:h="11907" w:orient="landscape"/>
          <w:pgMar w:top="1418" w:right="1418" w:bottom="1418" w:left="1418" w:header="851" w:footer="992" w:gutter="113"/>
          <w:pgBorders>
            <w:top w:val="none" w:sz="0" w:space="0"/>
            <w:left w:val="none" w:sz="0" w:space="0"/>
            <w:bottom w:val="none" w:sz="0" w:space="0"/>
            <w:right w:val="none" w:sz="0" w:space="0"/>
          </w:pgBorders>
          <w:pgNumType w:fmt="decimal"/>
          <w:cols w:space="720" w:num="1"/>
          <w:titlePg/>
          <w:docGrid w:type="lines" w:linePitch="312" w:charSpace="0"/>
        </w:sectPr>
      </w:pPr>
    </w:p>
    <w:p>
      <w:pPr>
        <w:pStyle w:val="122"/>
        <w:jc w:val="center"/>
      </w:pPr>
      <w:r>
        <w:drawing>
          <wp:inline distT="0" distB="0" distL="0" distR="0">
            <wp:extent cx="6727190" cy="5045710"/>
            <wp:effectExtent l="9525" t="9525" r="19685" b="1206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6728410" cy="5046168"/>
                    </a:xfrm>
                    <a:prstGeom prst="rect">
                      <a:avLst/>
                    </a:prstGeom>
                    <a:noFill/>
                    <a:ln>
                      <a:solidFill>
                        <a:schemeClr val="tx1"/>
                      </a:solidFill>
                    </a:ln>
                  </pic:spPr>
                </pic:pic>
              </a:graphicData>
            </a:graphic>
          </wp:inline>
        </w:drawing>
      </w:r>
    </w:p>
    <w:p>
      <w:pPr>
        <w:pStyle w:val="122"/>
        <w:jc w:val="center"/>
        <w:outlineLvl w:val="0"/>
        <w:rPr>
          <w:rFonts w:ascii="Times New Roman" w:hAnsi="宋体"/>
          <w:bCs/>
          <w:spacing w:val="0"/>
          <w:kern w:val="0"/>
          <w:sz w:val="24"/>
        </w:rPr>
      </w:pPr>
      <w:bookmarkStart w:id="59" w:name="_Toc13740"/>
      <w:r>
        <w:rPr>
          <w:rFonts w:hint="eastAsia" w:ascii="Times New Roman" w:hAnsi="宋体"/>
          <w:bCs/>
          <w:spacing w:val="0"/>
          <w:kern w:val="0"/>
          <w:sz w:val="24"/>
        </w:rPr>
        <w:t xml:space="preserve">附图2 </w:t>
      </w:r>
      <w:r>
        <w:rPr>
          <w:rFonts w:ascii="Times New Roman" w:hAnsi="宋体"/>
          <w:bCs/>
          <w:spacing w:val="0"/>
          <w:kern w:val="0"/>
          <w:sz w:val="24"/>
        </w:rPr>
        <w:t xml:space="preserve"> </w:t>
      </w:r>
      <w:r>
        <w:rPr>
          <w:rFonts w:hint="eastAsia" w:ascii="Times New Roman" w:hAnsi="宋体"/>
          <w:bCs/>
          <w:spacing w:val="0"/>
          <w:kern w:val="0"/>
          <w:sz w:val="24"/>
        </w:rPr>
        <w:t>项目周边敏感目标分布图</w:t>
      </w:r>
      <w:bookmarkEnd w:id="59"/>
    </w:p>
    <w:p>
      <w:pPr>
        <w:pStyle w:val="122"/>
        <w:jc w:val="center"/>
        <w:outlineLvl w:val="9"/>
        <w:rPr>
          <w:rFonts w:ascii="Times New Roman"/>
          <w:b w:val="0"/>
          <w:spacing w:val="0"/>
          <w:kern w:val="0"/>
          <w:sz w:val="24"/>
        </w:rPr>
        <w:sectPr>
          <w:pgSz w:w="16840" w:h="11907" w:orient="landscape"/>
          <w:pgMar w:top="1418" w:right="1418" w:bottom="1418" w:left="1418" w:header="851" w:footer="992" w:gutter="113"/>
          <w:pgBorders>
            <w:top w:val="none" w:sz="0" w:space="0"/>
            <w:left w:val="none" w:sz="0" w:space="0"/>
            <w:bottom w:val="none" w:sz="0" w:space="0"/>
            <w:right w:val="none" w:sz="0" w:space="0"/>
          </w:pgBorders>
          <w:pgNumType w:fmt="decimal"/>
          <w:cols w:space="720" w:num="1"/>
          <w:titlePg/>
          <w:docGrid w:type="lines" w:linePitch="312" w:charSpace="0"/>
        </w:sectPr>
      </w:pPr>
    </w:p>
    <w:p>
      <w:pPr>
        <w:pStyle w:val="122"/>
        <w:jc w:val="center"/>
        <w:rPr>
          <w:rFonts w:ascii="Times New Roman"/>
          <w:b w:val="0"/>
          <w:spacing w:val="0"/>
          <w:kern w:val="0"/>
          <w:sz w:val="24"/>
        </w:rPr>
      </w:pPr>
      <w:bookmarkStart w:id="60" w:name="_Hlk26126033"/>
      <w:r>
        <w:drawing>
          <wp:inline distT="0" distB="0" distL="0" distR="0">
            <wp:extent cx="9093200" cy="42291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8" cstate="print">
                      <a:extLst>
                        <a:ext uri="{28A0092B-C50C-407E-A947-70E740481C1C}">
                          <a14:useLocalDpi xmlns:a14="http://schemas.microsoft.com/office/drawing/2010/main" val="0"/>
                        </a:ext>
                      </a:extLst>
                    </a:blip>
                    <a:srcRect l="4678" t="20009" r="3290" b="19469"/>
                    <a:stretch>
                      <a:fillRect/>
                    </a:stretch>
                  </pic:blipFill>
                  <pic:spPr>
                    <a:xfrm>
                      <a:off x="0" y="0"/>
                      <a:ext cx="9106227" cy="4234917"/>
                    </a:xfrm>
                    <a:prstGeom prst="rect">
                      <a:avLst/>
                    </a:prstGeom>
                    <a:noFill/>
                    <a:ln>
                      <a:noFill/>
                    </a:ln>
                  </pic:spPr>
                </pic:pic>
              </a:graphicData>
            </a:graphic>
          </wp:inline>
        </w:drawing>
      </w:r>
    </w:p>
    <w:p>
      <w:pPr>
        <w:pStyle w:val="122"/>
        <w:jc w:val="center"/>
        <w:outlineLvl w:val="0"/>
        <w:rPr>
          <w:rFonts w:ascii="Times New Roman"/>
          <w:bCs/>
          <w:spacing w:val="0"/>
          <w:kern w:val="0"/>
          <w:sz w:val="24"/>
        </w:rPr>
      </w:pPr>
      <w:bookmarkStart w:id="61" w:name="_Toc15229"/>
      <w:r>
        <w:rPr>
          <w:rFonts w:hint="eastAsia" w:ascii="Times New Roman"/>
          <w:bCs/>
          <w:spacing w:val="0"/>
          <w:kern w:val="0"/>
          <w:sz w:val="24"/>
        </w:rPr>
        <w:t xml:space="preserve">附图3 </w:t>
      </w:r>
      <w:r>
        <w:rPr>
          <w:rFonts w:ascii="Times New Roman"/>
          <w:bCs/>
          <w:spacing w:val="0"/>
          <w:kern w:val="0"/>
          <w:sz w:val="24"/>
        </w:rPr>
        <w:t xml:space="preserve"> </w:t>
      </w:r>
      <w:r>
        <w:rPr>
          <w:rFonts w:hint="eastAsia" w:ascii="Times New Roman"/>
          <w:bCs/>
          <w:spacing w:val="0"/>
          <w:kern w:val="0"/>
          <w:sz w:val="24"/>
        </w:rPr>
        <w:t>平面布置图</w:t>
      </w:r>
      <w:bookmarkEnd w:id="61"/>
    </w:p>
    <w:p>
      <w:pPr>
        <w:pStyle w:val="122"/>
        <w:jc w:val="center"/>
        <w:outlineLvl w:val="9"/>
        <w:rPr>
          <w:rFonts w:ascii="Times New Roman"/>
          <w:b w:val="0"/>
          <w:spacing w:val="0"/>
          <w:kern w:val="0"/>
          <w:sz w:val="24"/>
        </w:rPr>
        <w:sectPr>
          <w:pgSz w:w="16840" w:h="11907" w:orient="landscape"/>
          <w:pgMar w:top="1418" w:right="1418" w:bottom="1418" w:left="1418" w:header="851" w:footer="992" w:gutter="113"/>
          <w:pgBorders>
            <w:top w:val="none" w:sz="0" w:space="0"/>
            <w:left w:val="none" w:sz="0" w:space="0"/>
            <w:bottom w:val="none" w:sz="0" w:space="0"/>
            <w:right w:val="none" w:sz="0" w:space="0"/>
          </w:pgBorders>
          <w:pgNumType w:fmt="decimal"/>
          <w:cols w:space="720" w:num="1"/>
          <w:titlePg/>
          <w:docGrid w:type="lines" w:linePitch="312" w:charSpace="0"/>
        </w:sectPr>
      </w:pPr>
    </w:p>
    <w:p>
      <w:pPr>
        <w:pStyle w:val="122"/>
        <w:jc w:val="center"/>
        <w:rPr>
          <w:rFonts w:ascii="Times New Roman"/>
          <w:b w:val="0"/>
          <w:spacing w:val="0"/>
          <w:kern w:val="0"/>
          <w:sz w:val="24"/>
        </w:rPr>
      </w:pPr>
      <w:r>
        <w:drawing>
          <wp:inline distT="0" distB="0" distL="0" distR="0">
            <wp:extent cx="6537325" cy="4902835"/>
            <wp:effectExtent l="9525" t="9525" r="19050" b="152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537361" cy="4902886"/>
                    </a:xfrm>
                    <a:prstGeom prst="rect">
                      <a:avLst/>
                    </a:prstGeom>
                    <a:noFill/>
                    <a:ln>
                      <a:solidFill>
                        <a:schemeClr val="tx1"/>
                      </a:solidFill>
                    </a:ln>
                  </pic:spPr>
                </pic:pic>
              </a:graphicData>
            </a:graphic>
          </wp:inline>
        </w:drawing>
      </w:r>
    </w:p>
    <w:p>
      <w:pPr>
        <w:pStyle w:val="122"/>
        <w:jc w:val="center"/>
        <w:outlineLvl w:val="0"/>
        <w:rPr>
          <w:rFonts w:ascii="Times New Roman"/>
          <w:b w:val="0"/>
          <w:spacing w:val="0"/>
          <w:kern w:val="0"/>
          <w:sz w:val="24"/>
        </w:rPr>
        <w:sectPr>
          <w:pgSz w:w="16840" w:h="11907" w:orient="landscape"/>
          <w:pgMar w:top="1418" w:right="1418" w:bottom="1418" w:left="1418" w:header="851" w:footer="992" w:gutter="113"/>
          <w:pgBorders>
            <w:top w:val="none" w:sz="0" w:space="0"/>
            <w:left w:val="none" w:sz="0" w:space="0"/>
            <w:bottom w:val="none" w:sz="0" w:space="0"/>
            <w:right w:val="none" w:sz="0" w:space="0"/>
          </w:pgBorders>
          <w:pgNumType w:fmt="decimal"/>
          <w:cols w:space="720" w:num="1"/>
          <w:titlePg/>
          <w:docGrid w:type="lines" w:linePitch="312" w:charSpace="0"/>
        </w:sectPr>
      </w:pPr>
      <w:bookmarkStart w:id="62" w:name="_Toc8804"/>
      <w:r>
        <w:rPr>
          <w:rFonts w:hint="eastAsia" w:ascii="Times New Roman"/>
          <w:b w:val="0"/>
          <w:spacing w:val="0"/>
          <w:kern w:val="0"/>
          <w:sz w:val="24"/>
        </w:rPr>
        <w:t>附图4  项目四至图</w:t>
      </w:r>
      <w:bookmarkEnd w:id="60"/>
      <w:bookmarkEnd w:id="62"/>
    </w:p>
    <w:tbl>
      <w:tblPr>
        <w:tblStyle w:val="3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587"/>
        <w:gridCol w:w="45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4587" w:type="dxa"/>
            <w:vAlign w:val="center"/>
          </w:tcPr>
          <w:p>
            <w:pPr>
              <w:pStyle w:val="122"/>
              <w:jc w:val="center"/>
              <w:rPr>
                <w:rFonts w:ascii="Times New Roman"/>
                <w:b w:val="0"/>
                <w:spacing w:val="0"/>
                <w:kern w:val="0"/>
                <w:sz w:val="24"/>
              </w:rPr>
            </w:pPr>
            <w:r>
              <w:drawing>
                <wp:inline distT="0" distB="0" distL="0" distR="0">
                  <wp:extent cx="2754630" cy="206629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754995" cy="2066400"/>
                          </a:xfrm>
                          <a:prstGeom prst="rect">
                            <a:avLst/>
                          </a:prstGeom>
                          <a:noFill/>
                          <a:ln>
                            <a:noFill/>
                          </a:ln>
                        </pic:spPr>
                      </pic:pic>
                    </a:graphicData>
                  </a:graphic>
                </wp:inline>
              </w:drawing>
            </w:r>
          </w:p>
        </w:tc>
        <w:tc>
          <w:tcPr>
            <w:tcW w:w="4587" w:type="dxa"/>
            <w:vAlign w:val="center"/>
          </w:tcPr>
          <w:p>
            <w:pPr>
              <w:pStyle w:val="122"/>
              <w:jc w:val="center"/>
              <w:rPr>
                <w:rFonts w:ascii="Times New Roman"/>
                <w:b w:val="0"/>
                <w:spacing w:val="0"/>
                <w:kern w:val="0"/>
                <w:sz w:val="24"/>
              </w:rPr>
            </w:pPr>
            <w:r>
              <w:drawing>
                <wp:inline distT="0" distB="0" distL="0" distR="0">
                  <wp:extent cx="2753360" cy="2065020"/>
                  <wp:effectExtent l="0" t="0" r="889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757294" cy="2068124"/>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87" w:type="dxa"/>
          </w:tcPr>
          <w:p>
            <w:pPr>
              <w:pStyle w:val="122"/>
              <w:jc w:val="center"/>
              <w:rPr>
                <w:rFonts w:ascii="Times New Roman"/>
                <w:b w:val="0"/>
                <w:spacing w:val="0"/>
                <w:kern w:val="0"/>
                <w:sz w:val="24"/>
              </w:rPr>
            </w:pPr>
            <w:r>
              <w:rPr>
                <w:rFonts w:hint="eastAsia" w:ascii="Times New Roman"/>
                <w:b w:val="0"/>
                <w:spacing w:val="0"/>
                <w:kern w:val="0"/>
                <w:sz w:val="24"/>
              </w:rPr>
              <w:t>厂区北侧</w:t>
            </w:r>
          </w:p>
        </w:tc>
        <w:tc>
          <w:tcPr>
            <w:tcW w:w="4587" w:type="dxa"/>
          </w:tcPr>
          <w:p>
            <w:pPr>
              <w:pStyle w:val="122"/>
              <w:jc w:val="center"/>
              <w:rPr>
                <w:rFonts w:ascii="Times New Roman"/>
                <w:b w:val="0"/>
                <w:spacing w:val="0"/>
                <w:kern w:val="0"/>
                <w:sz w:val="24"/>
              </w:rPr>
            </w:pPr>
            <w:r>
              <w:rPr>
                <w:rFonts w:hint="eastAsia" w:ascii="Times New Roman"/>
                <w:b w:val="0"/>
                <w:spacing w:val="0"/>
                <w:kern w:val="0"/>
                <w:sz w:val="24"/>
              </w:rPr>
              <w:t>厂区东侧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87" w:type="dxa"/>
          </w:tcPr>
          <w:p>
            <w:pPr>
              <w:pStyle w:val="122"/>
              <w:jc w:val="center"/>
              <w:rPr>
                <w:rFonts w:ascii="Times New Roman"/>
                <w:b w:val="0"/>
                <w:spacing w:val="0"/>
                <w:kern w:val="0"/>
                <w:sz w:val="24"/>
              </w:rPr>
            </w:pPr>
            <w:r>
              <w:drawing>
                <wp:inline distT="0" distB="0" distL="0" distR="0">
                  <wp:extent cx="2754630" cy="206629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754995" cy="2066400"/>
                          </a:xfrm>
                          <a:prstGeom prst="rect">
                            <a:avLst/>
                          </a:prstGeom>
                          <a:noFill/>
                          <a:ln>
                            <a:noFill/>
                          </a:ln>
                        </pic:spPr>
                      </pic:pic>
                    </a:graphicData>
                  </a:graphic>
                </wp:inline>
              </w:drawing>
            </w:r>
          </w:p>
        </w:tc>
        <w:tc>
          <w:tcPr>
            <w:tcW w:w="4587" w:type="dxa"/>
          </w:tcPr>
          <w:p>
            <w:pPr>
              <w:pStyle w:val="122"/>
              <w:jc w:val="center"/>
              <w:rPr>
                <w:rFonts w:ascii="Times New Roman"/>
                <w:b w:val="0"/>
                <w:spacing w:val="0"/>
                <w:kern w:val="0"/>
                <w:sz w:val="24"/>
              </w:rPr>
            </w:pPr>
            <w:r>
              <w:drawing>
                <wp:inline distT="0" distB="0" distL="0" distR="0">
                  <wp:extent cx="1549400" cy="20662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549800" cy="2066400"/>
                          </a:xfrm>
                          <a:prstGeom prst="rect">
                            <a:avLst/>
                          </a:prstGeom>
                          <a:noFill/>
                          <a:ln>
                            <a:noFill/>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587" w:type="dxa"/>
          </w:tcPr>
          <w:p>
            <w:pPr>
              <w:pStyle w:val="122"/>
              <w:jc w:val="center"/>
              <w:rPr>
                <w:rFonts w:ascii="Times New Roman"/>
                <w:b w:val="0"/>
                <w:spacing w:val="0"/>
                <w:kern w:val="0"/>
                <w:sz w:val="24"/>
              </w:rPr>
            </w:pPr>
            <w:r>
              <w:rPr>
                <w:rFonts w:hint="eastAsia" w:ascii="Times New Roman"/>
                <w:b w:val="0"/>
                <w:spacing w:val="0"/>
                <w:kern w:val="0"/>
                <w:sz w:val="24"/>
              </w:rPr>
              <w:t>厂区西侧</w:t>
            </w:r>
          </w:p>
        </w:tc>
        <w:tc>
          <w:tcPr>
            <w:tcW w:w="4587" w:type="dxa"/>
          </w:tcPr>
          <w:p>
            <w:pPr>
              <w:pStyle w:val="122"/>
              <w:jc w:val="center"/>
              <w:rPr>
                <w:rFonts w:ascii="Times New Roman"/>
                <w:b w:val="0"/>
                <w:spacing w:val="0"/>
                <w:kern w:val="0"/>
                <w:sz w:val="24"/>
              </w:rPr>
            </w:pPr>
            <w:r>
              <w:rPr>
                <w:rFonts w:hint="eastAsia" w:ascii="Times New Roman"/>
                <w:b w:val="0"/>
                <w:spacing w:val="0"/>
                <w:kern w:val="0"/>
                <w:sz w:val="24"/>
              </w:rPr>
              <w:t>厂区南侧</w:t>
            </w:r>
          </w:p>
        </w:tc>
      </w:tr>
    </w:tbl>
    <w:p>
      <w:pPr>
        <w:pStyle w:val="122"/>
        <w:jc w:val="center"/>
        <w:outlineLvl w:val="0"/>
        <w:rPr>
          <w:rFonts w:ascii="Times New Roman"/>
          <w:bCs/>
          <w:spacing w:val="0"/>
          <w:kern w:val="0"/>
          <w:sz w:val="24"/>
        </w:rPr>
        <w:sectPr>
          <w:footerReference r:id="rId11" w:type="first"/>
          <w:pgSz w:w="11907" w:h="16840"/>
          <w:pgMar w:top="1418" w:right="1418" w:bottom="1418" w:left="1418" w:header="851" w:footer="992" w:gutter="113"/>
          <w:pgBorders>
            <w:top w:val="none" w:sz="0" w:space="0"/>
            <w:left w:val="none" w:sz="0" w:space="0"/>
            <w:bottom w:val="none" w:sz="0" w:space="0"/>
            <w:right w:val="none" w:sz="0" w:space="0"/>
          </w:pgBorders>
          <w:pgNumType w:fmt="decimal"/>
          <w:cols w:space="720" w:num="1"/>
          <w:titlePg/>
          <w:docGrid w:type="lines" w:linePitch="312" w:charSpace="0"/>
        </w:sectPr>
      </w:pPr>
      <w:bookmarkStart w:id="63" w:name="_Toc398"/>
      <w:r>
        <w:rPr>
          <w:rFonts w:hint="eastAsia" w:ascii="Times New Roman"/>
          <w:bCs/>
          <w:spacing w:val="0"/>
          <w:kern w:val="0"/>
          <w:sz w:val="24"/>
        </w:rPr>
        <w:t>附图</w:t>
      </w:r>
      <w:r>
        <w:rPr>
          <w:rFonts w:ascii="Times New Roman"/>
          <w:bCs/>
          <w:spacing w:val="0"/>
          <w:kern w:val="0"/>
          <w:sz w:val="24"/>
        </w:rPr>
        <w:t>5</w:t>
      </w:r>
      <w:r>
        <w:rPr>
          <w:rFonts w:hint="eastAsia" w:ascii="Times New Roman"/>
          <w:bCs/>
          <w:spacing w:val="0"/>
          <w:kern w:val="0"/>
          <w:sz w:val="24"/>
        </w:rPr>
        <w:t xml:space="preserve">  项目四至现状图</w:t>
      </w:r>
      <w:bookmarkEnd w:id="63"/>
    </w:p>
    <w:p>
      <w:pPr>
        <w:pStyle w:val="122"/>
        <w:outlineLvl w:val="0"/>
        <w:rPr>
          <w:rFonts w:ascii="Times New Roman" w:hAnsi="宋体"/>
          <w:b w:val="0"/>
          <w:spacing w:val="0"/>
          <w:kern w:val="0"/>
          <w:sz w:val="32"/>
          <w:szCs w:val="32"/>
        </w:rPr>
      </w:pPr>
      <w:bookmarkStart w:id="64" w:name="_Toc29086"/>
      <w:r>
        <w:rPr>
          <w:rFonts w:ascii="Times New Roman" w:hAnsi="宋体"/>
          <w:b w:val="0"/>
          <w:spacing w:val="0"/>
          <w:kern w:val="0"/>
          <w:sz w:val="24"/>
        </w:rPr>
        <w:t>附件</w:t>
      </w:r>
      <w:r>
        <w:rPr>
          <w:rFonts w:hint="eastAsia" w:ascii="Times New Roman" w:hAnsi="宋体"/>
          <w:b w:val="0"/>
          <w:spacing w:val="0"/>
          <w:kern w:val="0"/>
          <w:sz w:val="24"/>
        </w:rPr>
        <w:t>1</w:t>
      </w:r>
      <w:r>
        <w:rPr>
          <w:rFonts w:ascii="Times New Roman"/>
          <w:b w:val="0"/>
          <w:spacing w:val="0"/>
          <w:kern w:val="0"/>
          <w:sz w:val="24"/>
        </w:rPr>
        <w:t xml:space="preserve">  </w:t>
      </w:r>
      <w:r>
        <w:rPr>
          <w:rFonts w:hint="eastAsia" w:ascii="Times New Roman" w:hAnsi="宋体"/>
          <w:b w:val="0"/>
          <w:spacing w:val="0"/>
          <w:kern w:val="0"/>
          <w:sz w:val="24"/>
        </w:rPr>
        <w:t>委托书</w:t>
      </w:r>
      <w:bookmarkEnd w:id="64"/>
    </w:p>
    <w:p>
      <w:pPr>
        <w:pStyle w:val="122"/>
        <w:rPr>
          <w:rFonts w:ascii="Times New Roman" w:hAnsi="宋体"/>
          <w:b w:val="0"/>
          <w:spacing w:val="0"/>
          <w:kern w:val="0"/>
          <w:sz w:val="24"/>
        </w:rPr>
      </w:pPr>
      <w:r>
        <w:drawing>
          <wp:inline distT="0" distB="0" distL="0" distR="0">
            <wp:extent cx="5038725" cy="71247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038725" cy="7124700"/>
                    </a:xfrm>
                    <a:prstGeom prst="rect">
                      <a:avLst/>
                    </a:prstGeom>
                    <a:noFill/>
                    <a:ln>
                      <a:noFill/>
                    </a:ln>
                  </pic:spPr>
                </pic:pic>
              </a:graphicData>
            </a:graphic>
          </wp:inline>
        </w:drawing>
      </w:r>
    </w:p>
    <w:p/>
    <w:p>
      <w:pPr>
        <w:tabs>
          <w:tab w:val="left" w:pos="690"/>
        </w:tabs>
        <w:rPr>
          <w:rFonts w:hAnsi="宋体"/>
          <w:sz w:val="24"/>
          <w:szCs w:val="24"/>
        </w:rPr>
        <w:sectPr>
          <w:pgSz w:w="11907" w:h="16840"/>
          <w:pgMar w:top="1418" w:right="1418" w:bottom="1418" w:left="1418" w:header="851" w:footer="992" w:gutter="113"/>
          <w:pgBorders>
            <w:top w:val="none" w:sz="0" w:space="0"/>
            <w:left w:val="none" w:sz="0" w:space="0"/>
            <w:bottom w:val="none" w:sz="0" w:space="0"/>
            <w:right w:val="none" w:sz="0" w:space="0"/>
          </w:pgBorders>
          <w:pgNumType w:fmt="decimal"/>
          <w:cols w:space="720" w:num="1"/>
          <w:titlePg/>
          <w:docGrid w:type="lines" w:linePitch="312" w:charSpace="0"/>
        </w:sectPr>
      </w:pPr>
      <w:r>
        <w:rPr>
          <w:rFonts w:hAnsi="宋体"/>
          <w:sz w:val="24"/>
          <w:szCs w:val="24"/>
        </w:rPr>
        <w:tab/>
      </w:r>
    </w:p>
    <w:p>
      <w:pPr>
        <w:pStyle w:val="122"/>
        <w:outlineLvl w:val="0"/>
        <w:rPr>
          <w:rFonts w:ascii="Times New Roman" w:hAnsi="宋体"/>
          <w:b w:val="0"/>
          <w:spacing w:val="0"/>
          <w:kern w:val="0"/>
          <w:sz w:val="24"/>
        </w:rPr>
      </w:pPr>
      <w:bookmarkStart w:id="65" w:name="_Toc23858"/>
      <w:r>
        <w:rPr>
          <w:rFonts w:hint="eastAsia" w:ascii="Times New Roman" w:hAnsi="宋体"/>
          <w:b w:val="0"/>
          <w:spacing w:val="0"/>
          <w:kern w:val="0"/>
          <w:sz w:val="24"/>
        </w:rPr>
        <w:t>附件</w:t>
      </w:r>
      <w:r>
        <w:rPr>
          <w:rFonts w:ascii="Times New Roman" w:hAnsi="宋体"/>
          <w:b w:val="0"/>
          <w:spacing w:val="0"/>
          <w:kern w:val="0"/>
          <w:sz w:val="24"/>
        </w:rPr>
        <w:t xml:space="preserve">2 </w:t>
      </w:r>
      <w:r>
        <w:rPr>
          <w:rFonts w:hint="eastAsia" w:ascii="Times New Roman" w:hAnsi="宋体"/>
          <w:b w:val="0"/>
          <w:spacing w:val="0"/>
          <w:kern w:val="0"/>
          <w:sz w:val="24"/>
        </w:rPr>
        <w:t>承诺书</w:t>
      </w:r>
      <w:bookmarkEnd w:id="65"/>
    </w:p>
    <w:p>
      <w:r>
        <w:drawing>
          <wp:inline distT="0" distB="0" distL="0" distR="0">
            <wp:extent cx="5631815" cy="8470265"/>
            <wp:effectExtent l="0" t="0" r="698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5" cstate="print">
                      <a:extLst>
                        <a:ext uri="{28A0092B-C50C-407E-A947-70E740481C1C}">
                          <a14:useLocalDpi xmlns:a14="http://schemas.microsoft.com/office/drawing/2010/main" val="0"/>
                        </a:ext>
                      </a:extLst>
                    </a:blip>
                    <a:srcRect l="10806" t="5154"/>
                    <a:stretch>
                      <a:fillRect/>
                    </a:stretch>
                  </pic:blipFill>
                  <pic:spPr>
                    <a:xfrm>
                      <a:off x="0" y="0"/>
                      <a:ext cx="5631815" cy="8470265"/>
                    </a:xfrm>
                    <a:prstGeom prst="rect">
                      <a:avLst/>
                    </a:prstGeom>
                    <a:noFill/>
                    <a:ln>
                      <a:noFill/>
                    </a:ln>
                  </pic:spPr>
                </pic:pic>
              </a:graphicData>
            </a:graphic>
          </wp:inline>
        </w:drawing>
      </w:r>
    </w:p>
    <w:p>
      <w:pPr>
        <w:tabs>
          <w:tab w:val="left" w:pos="690"/>
        </w:tabs>
        <w:sectPr>
          <w:pgSz w:w="11907" w:h="16840"/>
          <w:pgMar w:top="1418" w:right="1418" w:bottom="1418" w:left="1418" w:header="851" w:footer="992" w:gutter="113"/>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rPr>
        <w:drawing>
          <wp:inline distT="0" distB="0" distL="114300" distR="114300">
            <wp:extent cx="5930265" cy="7843520"/>
            <wp:effectExtent l="0" t="0" r="635" b="5080"/>
            <wp:docPr id="9" name="图片 9" descr="编 制 单 位 承 诺 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编 制 单 位 承 诺 书_00"/>
                    <pic:cNvPicPr>
                      <a:picLocks noChangeAspect="1"/>
                    </pic:cNvPicPr>
                  </pic:nvPicPr>
                  <pic:blipFill>
                    <a:blip r:embed="rId46"/>
                    <a:srcRect l="-279" t="6147"/>
                    <a:stretch>
                      <a:fillRect/>
                    </a:stretch>
                  </pic:blipFill>
                  <pic:spPr>
                    <a:xfrm>
                      <a:off x="0" y="0"/>
                      <a:ext cx="5930265" cy="7843520"/>
                    </a:xfrm>
                    <a:prstGeom prst="rect">
                      <a:avLst/>
                    </a:prstGeom>
                  </pic:spPr>
                </pic:pic>
              </a:graphicData>
            </a:graphic>
          </wp:inline>
        </w:drawing>
      </w:r>
    </w:p>
    <w:p>
      <w:pPr>
        <w:tabs>
          <w:tab w:val="left" w:pos="690"/>
        </w:tabs>
        <w:sectPr>
          <w:pgSz w:w="11907" w:h="16840"/>
          <w:pgMar w:top="1418" w:right="1418" w:bottom="1418" w:left="1418" w:header="851" w:footer="992" w:gutter="113"/>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rPr>
        <w:drawing>
          <wp:inline distT="0" distB="0" distL="114300" distR="114300">
            <wp:extent cx="5670550" cy="7999730"/>
            <wp:effectExtent l="0" t="0" r="6350" b="1270"/>
            <wp:docPr id="11" name="图片 11" descr="编制人员承诺书-莫玲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编制人员承诺书-莫玲芳"/>
                    <pic:cNvPicPr>
                      <a:picLocks noChangeAspect="1"/>
                    </pic:cNvPicPr>
                  </pic:nvPicPr>
                  <pic:blipFill>
                    <a:blip r:embed="rId47"/>
                    <a:stretch>
                      <a:fillRect/>
                    </a:stretch>
                  </pic:blipFill>
                  <pic:spPr>
                    <a:xfrm>
                      <a:off x="0" y="0"/>
                      <a:ext cx="5670550" cy="7999730"/>
                    </a:xfrm>
                    <a:prstGeom prst="rect">
                      <a:avLst/>
                    </a:prstGeom>
                  </pic:spPr>
                </pic:pic>
              </a:graphicData>
            </a:graphic>
          </wp:inline>
        </w:drawing>
      </w:r>
    </w:p>
    <w:p>
      <w:pPr>
        <w:pStyle w:val="122"/>
        <w:outlineLvl w:val="0"/>
        <w:rPr>
          <w:rFonts w:ascii="Times New Roman" w:hAnsi="宋体"/>
          <w:b w:val="0"/>
          <w:spacing w:val="0"/>
          <w:kern w:val="0"/>
          <w:sz w:val="24"/>
        </w:rPr>
      </w:pPr>
      <w:bookmarkStart w:id="66" w:name="_Toc31193"/>
      <w:r>
        <w:rPr>
          <w:rFonts w:ascii="Times New Roman" w:hAnsi="宋体"/>
          <w:b w:val="0"/>
          <w:spacing w:val="0"/>
          <w:kern w:val="0"/>
          <w:sz w:val="24"/>
        </w:rPr>
        <w:t xml:space="preserve">附件3 </w:t>
      </w:r>
      <w:r>
        <w:rPr>
          <w:rFonts w:hint="eastAsia" w:ascii="Times New Roman" w:hAnsi="宋体"/>
          <w:b w:val="0"/>
          <w:spacing w:val="0"/>
          <w:kern w:val="0"/>
          <w:sz w:val="24"/>
        </w:rPr>
        <w:t>土地证明</w:t>
      </w:r>
      <w:bookmarkEnd w:id="66"/>
    </w:p>
    <w:p>
      <w:pPr>
        <w:pStyle w:val="122"/>
        <w:rPr>
          <w:rFonts w:ascii="Times New Roman"/>
          <w:b w:val="0"/>
          <w:spacing w:val="0"/>
          <w:kern w:val="0"/>
          <w:sz w:val="24"/>
        </w:rPr>
      </w:pPr>
      <w:r>
        <w:drawing>
          <wp:inline distT="0" distB="0" distL="0" distR="0">
            <wp:extent cx="4610100" cy="673227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48" cstate="print">
                      <a:extLst>
                        <a:ext uri="{28A0092B-C50C-407E-A947-70E740481C1C}">
                          <a14:useLocalDpi xmlns:a14="http://schemas.microsoft.com/office/drawing/2010/main" val="0"/>
                        </a:ext>
                      </a:extLst>
                    </a:blip>
                    <a:srcRect l="14066" t="10736" r="13932" b="10869"/>
                    <a:stretch>
                      <a:fillRect/>
                    </a:stretch>
                  </pic:blipFill>
                  <pic:spPr>
                    <a:xfrm>
                      <a:off x="0" y="0"/>
                      <a:ext cx="4613058" cy="6737210"/>
                    </a:xfrm>
                    <a:prstGeom prst="rect">
                      <a:avLst/>
                    </a:prstGeom>
                    <a:noFill/>
                    <a:ln>
                      <a:noFill/>
                    </a:ln>
                  </pic:spPr>
                </pic:pic>
              </a:graphicData>
            </a:graphic>
          </wp:inline>
        </w:drawing>
      </w:r>
    </w:p>
    <w:p>
      <w:pPr>
        <w:pStyle w:val="122"/>
        <w:rPr>
          <w:rFonts w:ascii="Times New Roman"/>
          <w:b w:val="0"/>
          <w:spacing w:val="0"/>
          <w:kern w:val="0"/>
          <w:sz w:val="24"/>
        </w:rPr>
      </w:pPr>
    </w:p>
    <w:p>
      <w:pPr>
        <w:pStyle w:val="122"/>
        <w:rPr>
          <w:rFonts w:ascii="Times New Roman"/>
          <w:b w:val="0"/>
          <w:spacing w:val="0"/>
          <w:kern w:val="0"/>
          <w:sz w:val="24"/>
        </w:rPr>
      </w:pPr>
      <w:r>
        <w:drawing>
          <wp:inline distT="0" distB="0" distL="0" distR="0">
            <wp:extent cx="5688330" cy="7584440"/>
            <wp:effectExtent l="0" t="0" r="762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688330" cy="7584440"/>
                    </a:xfrm>
                    <a:prstGeom prst="rect">
                      <a:avLst/>
                    </a:prstGeom>
                    <a:noFill/>
                    <a:ln>
                      <a:noFill/>
                    </a:ln>
                  </pic:spPr>
                </pic:pic>
              </a:graphicData>
            </a:graphic>
          </wp:inline>
        </w:drawing>
      </w:r>
    </w:p>
    <w:p>
      <w:pPr>
        <w:pStyle w:val="122"/>
      </w:pPr>
    </w:p>
    <w:p>
      <w:pPr>
        <w:pStyle w:val="122"/>
        <w:rPr>
          <w:rFonts w:ascii="Times New Roman"/>
          <w:b w:val="0"/>
          <w:spacing w:val="0"/>
          <w:kern w:val="0"/>
          <w:sz w:val="24"/>
        </w:rPr>
      </w:pPr>
      <w:r>
        <w:drawing>
          <wp:inline distT="0" distB="0" distL="0" distR="0">
            <wp:extent cx="7346315" cy="5138420"/>
            <wp:effectExtent l="0" t="952" r="6032" b="6033"/>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50" cstate="print">
                      <a:extLst>
                        <a:ext uri="{28A0092B-C50C-407E-A947-70E740481C1C}">
                          <a14:useLocalDpi xmlns:a14="http://schemas.microsoft.com/office/drawing/2010/main" val="0"/>
                        </a:ext>
                      </a:extLst>
                    </a:blip>
                    <a:srcRect l="4252" t="6895" r="3961" b="7520"/>
                    <a:stretch>
                      <a:fillRect/>
                    </a:stretch>
                  </pic:blipFill>
                  <pic:spPr>
                    <a:xfrm rot="5400000">
                      <a:off x="0" y="0"/>
                      <a:ext cx="7359002" cy="5147501"/>
                    </a:xfrm>
                    <a:prstGeom prst="rect">
                      <a:avLst/>
                    </a:prstGeom>
                    <a:noFill/>
                    <a:ln>
                      <a:noFill/>
                    </a:ln>
                  </pic:spPr>
                </pic:pic>
              </a:graphicData>
            </a:graphic>
          </wp:inline>
        </w:drawing>
      </w:r>
    </w:p>
    <w:p>
      <w:pPr>
        <w:pStyle w:val="122"/>
        <w:rPr>
          <w:rFonts w:ascii="Times New Roman"/>
          <w:b w:val="0"/>
          <w:spacing w:val="0"/>
          <w:kern w:val="0"/>
          <w:sz w:val="24"/>
        </w:rPr>
      </w:pPr>
      <w:r>
        <w:drawing>
          <wp:inline distT="0" distB="0" distL="0" distR="0">
            <wp:extent cx="7600950" cy="5701030"/>
            <wp:effectExtent l="0" t="254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rot="16200000">
                      <a:off x="0" y="0"/>
                      <a:ext cx="7611899" cy="5709348"/>
                    </a:xfrm>
                    <a:prstGeom prst="rect">
                      <a:avLst/>
                    </a:prstGeom>
                    <a:noFill/>
                    <a:ln>
                      <a:noFill/>
                    </a:ln>
                  </pic:spPr>
                </pic:pic>
              </a:graphicData>
            </a:graphic>
          </wp:inline>
        </w:drawing>
      </w:r>
    </w:p>
    <w:p>
      <w:pPr>
        <w:pStyle w:val="122"/>
      </w:pPr>
    </w:p>
    <w:p>
      <w:pPr>
        <w:pStyle w:val="122"/>
        <w:rPr>
          <w:rFonts w:ascii="Times New Roman"/>
          <w:b w:val="0"/>
          <w:spacing w:val="0"/>
          <w:kern w:val="0"/>
          <w:sz w:val="24"/>
        </w:rPr>
        <w:sectPr>
          <w:footerReference r:id="rId12" w:type="first"/>
          <w:pgSz w:w="11907" w:h="16840"/>
          <w:pgMar w:top="1418" w:right="1418" w:bottom="1418" w:left="1418" w:header="851" w:footer="992" w:gutter="113"/>
          <w:pgBorders>
            <w:top w:val="none" w:sz="0" w:space="0"/>
            <w:left w:val="none" w:sz="0" w:space="0"/>
            <w:bottom w:val="none" w:sz="0" w:space="0"/>
            <w:right w:val="none" w:sz="0" w:space="0"/>
          </w:pgBorders>
          <w:pgNumType w:fmt="decimal"/>
          <w:cols w:space="720" w:num="1"/>
          <w:titlePg/>
          <w:docGrid w:type="lines" w:linePitch="312" w:charSpace="0"/>
        </w:sectPr>
      </w:pPr>
      <w:r>
        <w:drawing>
          <wp:inline distT="0" distB="0" distL="0" distR="0">
            <wp:extent cx="4962525" cy="706755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52" cstate="print">
                      <a:extLst>
                        <a:ext uri="{28A0092B-C50C-407E-A947-70E740481C1C}">
                          <a14:useLocalDpi xmlns:a14="http://schemas.microsoft.com/office/drawing/2010/main" val="0"/>
                        </a:ext>
                      </a:extLst>
                    </a:blip>
                    <a:srcRect l="7536" t="-125" r="5224" b="6917"/>
                    <a:stretch>
                      <a:fillRect/>
                    </a:stretch>
                  </pic:blipFill>
                  <pic:spPr>
                    <a:xfrm>
                      <a:off x="0" y="0"/>
                      <a:ext cx="4962525" cy="7067550"/>
                    </a:xfrm>
                    <a:prstGeom prst="rect">
                      <a:avLst/>
                    </a:prstGeom>
                    <a:noFill/>
                    <a:ln>
                      <a:noFill/>
                    </a:ln>
                  </pic:spPr>
                </pic:pic>
              </a:graphicData>
            </a:graphic>
          </wp:inline>
        </w:drawing>
      </w:r>
    </w:p>
    <w:p>
      <w:pPr>
        <w:pStyle w:val="122"/>
        <w:outlineLvl w:val="0"/>
        <w:rPr>
          <w:rFonts w:ascii="Times New Roman" w:hAnsi="宋体"/>
          <w:b w:val="0"/>
          <w:spacing w:val="0"/>
          <w:kern w:val="0"/>
          <w:sz w:val="24"/>
        </w:rPr>
      </w:pPr>
      <w:bookmarkStart w:id="67" w:name="_Toc3505"/>
      <w:r>
        <w:rPr>
          <w:rFonts w:ascii="Times New Roman" w:hAnsi="宋体"/>
          <w:b w:val="0"/>
          <w:spacing w:val="0"/>
          <w:kern w:val="0"/>
          <w:sz w:val="24"/>
        </w:rPr>
        <w:t>附件4</w:t>
      </w:r>
      <w:r>
        <w:rPr>
          <w:rFonts w:hint="eastAsia" w:ascii="Times New Roman" w:hAnsi="宋体"/>
          <w:b w:val="0"/>
          <w:spacing w:val="0"/>
          <w:kern w:val="0"/>
          <w:sz w:val="24"/>
        </w:rPr>
        <w:t>《关于同意雷州市雷高镇海东加油站平面规划方案的批复》</w:t>
      </w:r>
      <w:bookmarkEnd w:id="67"/>
    </w:p>
    <w:p>
      <w:pPr>
        <w:rPr>
          <w:rFonts w:hAnsi="宋体"/>
          <w:b/>
          <w:sz w:val="24"/>
        </w:rPr>
      </w:pPr>
      <w:r>
        <w:drawing>
          <wp:inline distT="0" distB="0" distL="0" distR="0">
            <wp:extent cx="5486400" cy="3947160"/>
            <wp:effectExtent l="0" t="0" r="0"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53" cstate="print">
                      <a:extLst>
                        <a:ext uri="{28A0092B-C50C-407E-A947-70E740481C1C}">
                          <a14:useLocalDpi xmlns:a14="http://schemas.microsoft.com/office/drawing/2010/main" val="0"/>
                        </a:ext>
                      </a:extLst>
                    </a:blip>
                    <a:srcRect l="1764" t="3929" r="1786" b="3571"/>
                    <a:stretch>
                      <a:fillRect/>
                    </a:stretch>
                  </pic:blipFill>
                  <pic:spPr>
                    <a:xfrm>
                      <a:off x="0" y="0"/>
                      <a:ext cx="5486400" cy="3947160"/>
                    </a:xfrm>
                    <a:prstGeom prst="rect">
                      <a:avLst/>
                    </a:prstGeom>
                    <a:noFill/>
                    <a:ln>
                      <a:noFill/>
                    </a:ln>
                  </pic:spPr>
                </pic:pic>
              </a:graphicData>
            </a:graphic>
          </wp:inline>
        </w:drawing>
      </w:r>
    </w:p>
    <w:p/>
    <w:p/>
    <w:p>
      <w:r>
        <w:drawing>
          <wp:inline distT="0" distB="0" distL="0" distR="0">
            <wp:extent cx="5372100" cy="822007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54" cstate="print">
                      <a:extLst>
                        <a:ext uri="{28A0092B-C50C-407E-A947-70E740481C1C}">
                          <a14:useLocalDpi xmlns:a14="http://schemas.microsoft.com/office/drawing/2010/main" val="0"/>
                        </a:ext>
                      </a:extLst>
                    </a:blip>
                    <a:srcRect l="6531" t="2764" r="10415" b="1892"/>
                    <a:stretch>
                      <a:fillRect/>
                    </a:stretch>
                  </pic:blipFill>
                  <pic:spPr>
                    <a:xfrm>
                      <a:off x="0" y="0"/>
                      <a:ext cx="5378561" cy="8230499"/>
                    </a:xfrm>
                    <a:prstGeom prst="rect">
                      <a:avLst/>
                    </a:prstGeom>
                    <a:noFill/>
                    <a:ln>
                      <a:noFill/>
                    </a:ln>
                  </pic:spPr>
                </pic:pic>
              </a:graphicData>
            </a:graphic>
          </wp:inline>
        </w:drawing>
      </w:r>
    </w:p>
    <w:p>
      <w:pPr>
        <w:pStyle w:val="122"/>
        <w:outlineLvl w:val="9"/>
        <w:rPr>
          <w:rFonts w:ascii="Times New Roman" w:hAnsi="宋体"/>
          <w:b w:val="0"/>
          <w:spacing w:val="0"/>
          <w:kern w:val="0"/>
          <w:sz w:val="24"/>
        </w:rPr>
        <w:sectPr>
          <w:pgSz w:w="11907" w:h="16840"/>
          <w:pgMar w:top="1418" w:right="1418" w:bottom="1418" w:left="1418" w:header="851" w:footer="992" w:gutter="113"/>
          <w:pgBorders>
            <w:top w:val="none" w:sz="0" w:space="0"/>
            <w:left w:val="none" w:sz="0" w:space="0"/>
            <w:bottom w:val="none" w:sz="0" w:space="0"/>
            <w:right w:val="none" w:sz="0" w:space="0"/>
          </w:pgBorders>
          <w:pgNumType w:fmt="decimal"/>
          <w:cols w:space="720" w:num="1"/>
          <w:titlePg/>
          <w:docGrid w:type="lines" w:linePitch="312" w:charSpace="0"/>
        </w:sectPr>
      </w:pPr>
    </w:p>
    <w:p>
      <w:pPr>
        <w:pStyle w:val="122"/>
        <w:outlineLvl w:val="0"/>
        <w:rPr>
          <w:rFonts w:ascii="Times New Roman" w:hAnsi="宋体"/>
          <w:b w:val="0"/>
          <w:spacing w:val="0"/>
          <w:kern w:val="0"/>
          <w:sz w:val="24"/>
        </w:rPr>
      </w:pPr>
      <w:bookmarkStart w:id="68" w:name="_Toc15602"/>
      <w:r>
        <w:rPr>
          <w:rFonts w:ascii="Times New Roman" w:hAnsi="宋体"/>
          <w:b w:val="0"/>
          <w:spacing w:val="0"/>
          <w:kern w:val="0"/>
          <w:sz w:val="24"/>
        </w:rPr>
        <w:t>附件5</w:t>
      </w:r>
      <w:r>
        <w:rPr>
          <w:rFonts w:hint="eastAsia" w:ascii="Times New Roman" w:hAnsi="宋体"/>
          <w:b w:val="0"/>
          <w:spacing w:val="0"/>
          <w:kern w:val="0"/>
          <w:sz w:val="24"/>
        </w:rPr>
        <w:t>《关于雷州市雷高镇海东加油站用地地块规划用途的说明》</w:t>
      </w:r>
      <w:bookmarkEnd w:id="68"/>
    </w:p>
    <w:p>
      <w:r>
        <w:drawing>
          <wp:inline distT="0" distB="0" distL="0" distR="0">
            <wp:extent cx="7200265" cy="5401310"/>
            <wp:effectExtent l="4128" t="0" r="4762" b="4763"/>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rot="5400000">
                      <a:off x="0" y="0"/>
                      <a:ext cx="7205761" cy="5405527"/>
                    </a:xfrm>
                    <a:prstGeom prst="rect">
                      <a:avLst/>
                    </a:prstGeom>
                    <a:noFill/>
                    <a:ln>
                      <a:noFill/>
                    </a:ln>
                  </pic:spPr>
                </pic:pic>
              </a:graphicData>
            </a:graphic>
          </wp:inline>
        </w:drawing>
      </w:r>
    </w:p>
    <w:p/>
    <w:p/>
    <w:p>
      <w:pPr>
        <w:sectPr>
          <w:pgSz w:w="11907" w:h="16840"/>
          <w:pgMar w:top="1418" w:right="1418" w:bottom="1418" w:left="1418" w:header="851" w:footer="992" w:gutter="113"/>
          <w:pgBorders>
            <w:top w:val="none" w:sz="0" w:space="0"/>
            <w:left w:val="none" w:sz="0" w:space="0"/>
            <w:bottom w:val="none" w:sz="0" w:space="0"/>
            <w:right w:val="none" w:sz="0" w:space="0"/>
          </w:pgBorders>
          <w:pgNumType w:fmt="decimal"/>
          <w:cols w:space="720" w:num="1"/>
          <w:titlePg/>
          <w:docGrid w:type="lines" w:linePitch="312" w:charSpace="0"/>
        </w:sectPr>
      </w:pPr>
      <w:r>
        <w:drawing>
          <wp:inline distT="0" distB="0" distL="0" distR="0">
            <wp:extent cx="5191125" cy="7582535"/>
            <wp:effectExtent l="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56" cstate="print">
                      <a:extLst>
                        <a:ext uri="{28A0092B-C50C-407E-A947-70E740481C1C}">
                          <a14:useLocalDpi xmlns:a14="http://schemas.microsoft.com/office/drawing/2010/main" val="0"/>
                        </a:ext>
                      </a:extLst>
                    </a:blip>
                    <a:srcRect l="-183" b="-6274"/>
                    <a:stretch>
                      <a:fillRect/>
                    </a:stretch>
                  </pic:blipFill>
                  <pic:spPr>
                    <a:xfrm>
                      <a:off x="0" y="0"/>
                      <a:ext cx="5191125" cy="7582535"/>
                    </a:xfrm>
                    <a:prstGeom prst="rect">
                      <a:avLst/>
                    </a:prstGeom>
                    <a:noFill/>
                    <a:ln>
                      <a:noFill/>
                    </a:ln>
                  </pic:spPr>
                </pic:pic>
              </a:graphicData>
            </a:graphic>
          </wp:inline>
        </w:drawing>
      </w:r>
    </w:p>
    <w:p>
      <w:pPr>
        <w:pStyle w:val="122"/>
        <w:outlineLvl w:val="0"/>
        <w:rPr>
          <w:rFonts w:ascii="Times New Roman" w:hAnsi="宋体"/>
          <w:b w:val="0"/>
          <w:spacing w:val="0"/>
          <w:kern w:val="0"/>
          <w:sz w:val="24"/>
        </w:rPr>
      </w:pPr>
      <w:bookmarkStart w:id="69" w:name="_Toc13885"/>
      <w:r>
        <w:rPr>
          <w:rFonts w:ascii="Times New Roman" w:hAnsi="宋体"/>
          <w:b w:val="0"/>
          <w:spacing w:val="0"/>
          <w:kern w:val="0"/>
          <w:sz w:val="24"/>
        </w:rPr>
        <w:t>附件</w:t>
      </w:r>
      <w:r>
        <w:rPr>
          <w:rFonts w:hint="eastAsia" w:ascii="Times New Roman" w:hAnsi="宋体"/>
          <w:b w:val="0"/>
          <w:spacing w:val="0"/>
          <w:kern w:val="0"/>
          <w:sz w:val="24"/>
        </w:rPr>
        <w:t>6</w:t>
      </w:r>
      <w:r>
        <w:rPr>
          <w:rFonts w:ascii="Times New Roman" w:hAnsi="宋体"/>
          <w:b w:val="0"/>
          <w:spacing w:val="0"/>
          <w:kern w:val="0"/>
          <w:sz w:val="24"/>
        </w:rPr>
        <w:t xml:space="preserve">  </w:t>
      </w:r>
      <w:r>
        <w:rPr>
          <w:rFonts w:hint="eastAsia" w:ascii="Times New Roman" w:hAnsi="宋体"/>
          <w:b w:val="0"/>
          <w:spacing w:val="0"/>
          <w:kern w:val="0"/>
          <w:sz w:val="24"/>
        </w:rPr>
        <w:t>备案证明</w:t>
      </w:r>
      <w:bookmarkEnd w:id="69"/>
    </w:p>
    <w:p>
      <w:pPr>
        <w:pStyle w:val="137"/>
        <w:ind w:firstLine="0" w:firstLineChars="0"/>
      </w:pPr>
      <w:r>
        <w:drawing>
          <wp:inline distT="0" distB="0" distL="0" distR="0">
            <wp:extent cx="5358130" cy="3837305"/>
            <wp:effectExtent l="0" t="0" r="1270"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7" cstate="print">
                      <a:extLst>
                        <a:ext uri="{28A0092B-C50C-407E-A947-70E740481C1C}">
                          <a14:useLocalDpi xmlns:a14="http://schemas.microsoft.com/office/drawing/2010/main" val="0"/>
                        </a:ext>
                      </a:extLst>
                    </a:blip>
                    <a:srcRect l="2657" t="3997" r="3148" b="3814"/>
                    <a:stretch>
                      <a:fillRect/>
                    </a:stretch>
                  </pic:blipFill>
                  <pic:spPr>
                    <a:xfrm>
                      <a:off x="0" y="0"/>
                      <a:ext cx="5358130" cy="3837305"/>
                    </a:xfrm>
                    <a:prstGeom prst="rect">
                      <a:avLst/>
                    </a:prstGeom>
                    <a:noFill/>
                    <a:ln>
                      <a:noFill/>
                    </a:ln>
                  </pic:spPr>
                </pic:pic>
              </a:graphicData>
            </a:graphic>
          </wp:inline>
        </w:drawing>
      </w:r>
    </w:p>
    <w:p>
      <w:pPr>
        <w:sectPr>
          <w:pgSz w:w="11907" w:h="16840"/>
          <w:pgMar w:top="1418" w:right="1418" w:bottom="1418" w:left="1418" w:header="851" w:footer="992" w:gutter="113"/>
          <w:pgBorders>
            <w:top w:val="none" w:sz="0" w:space="0"/>
            <w:left w:val="none" w:sz="0" w:space="0"/>
            <w:bottom w:val="none" w:sz="0" w:space="0"/>
            <w:right w:val="none" w:sz="0" w:space="0"/>
          </w:pgBorders>
          <w:pgNumType w:fmt="decimal"/>
          <w:cols w:space="720" w:num="1"/>
          <w:titlePg/>
          <w:docGrid w:type="lines" w:linePitch="312" w:charSpace="0"/>
        </w:sectPr>
      </w:pPr>
    </w:p>
    <w:p>
      <w:pPr>
        <w:pStyle w:val="122"/>
        <w:outlineLvl w:val="0"/>
        <w:rPr>
          <w:rFonts w:ascii="Times New Roman" w:hAnsi="宋体"/>
          <w:b w:val="0"/>
          <w:spacing w:val="0"/>
          <w:kern w:val="0"/>
          <w:sz w:val="24"/>
        </w:rPr>
      </w:pPr>
      <w:bookmarkStart w:id="70" w:name="_Toc7905"/>
      <w:r>
        <w:rPr>
          <w:rFonts w:ascii="Times New Roman" w:hAnsi="宋体"/>
          <w:b w:val="0"/>
          <w:spacing w:val="0"/>
          <w:kern w:val="0"/>
          <w:sz w:val="24"/>
        </w:rPr>
        <w:t>附件7</w:t>
      </w:r>
      <w:r>
        <w:rPr>
          <w:rFonts w:ascii="Times New Roman"/>
          <w:b w:val="0"/>
          <w:spacing w:val="0"/>
          <w:kern w:val="0"/>
          <w:sz w:val="24"/>
        </w:rPr>
        <w:t xml:space="preserve">  </w:t>
      </w:r>
      <w:r>
        <w:rPr>
          <w:rFonts w:hint="eastAsia" w:ascii="Times New Roman" w:hAnsi="宋体"/>
          <w:b w:val="0"/>
          <w:spacing w:val="0"/>
          <w:kern w:val="0"/>
          <w:sz w:val="24"/>
        </w:rPr>
        <w:t>营业执照</w:t>
      </w:r>
      <w:bookmarkEnd w:id="70"/>
    </w:p>
    <w:p>
      <w:pPr>
        <w:adjustRightInd/>
        <w:spacing w:line="240" w:lineRule="auto"/>
        <w:textAlignment w:val="auto"/>
      </w:pPr>
      <w:r>
        <w:drawing>
          <wp:inline distT="0" distB="0" distL="0" distR="0">
            <wp:extent cx="7701280" cy="5532120"/>
            <wp:effectExtent l="0" t="0" r="508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58" cstate="print">
                      <a:extLst>
                        <a:ext uri="{28A0092B-C50C-407E-A947-70E740481C1C}">
                          <a14:useLocalDpi xmlns:a14="http://schemas.microsoft.com/office/drawing/2010/main" val="0"/>
                        </a:ext>
                      </a:extLst>
                    </a:blip>
                    <a:srcRect b="4170"/>
                    <a:stretch>
                      <a:fillRect/>
                    </a:stretch>
                  </pic:blipFill>
                  <pic:spPr>
                    <a:xfrm rot="16200000">
                      <a:off x="0" y="0"/>
                      <a:ext cx="7701280" cy="5532120"/>
                    </a:xfrm>
                    <a:prstGeom prst="rect">
                      <a:avLst/>
                    </a:prstGeom>
                    <a:noFill/>
                    <a:ln>
                      <a:noFill/>
                    </a:ln>
                  </pic:spPr>
                </pic:pic>
              </a:graphicData>
            </a:graphic>
          </wp:inline>
        </w:drawing>
      </w:r>
    </w:p>
    <w:p>
      <w:pPr>
        <w:rPr>
          <w:rFonts w:ascii="宋体" w:hAnsi="宋体"/>
          <w:sz w:val="30"/>
          <w:szCs w:val="24"/>
        </w:rPr>
      </w:pPr>
    </w:p>
    <w:p>
      <w:pPr>
        <w:spacing w:after="3"/>
        <w:ind w:left="212"/>
        <w:rPr>
          <w:rFonts w:ascii="宋体" w:hAnsi="宋体"/>
          <w:sz w:val="30"/>
          <w:szCs w:val="24"/>
        </w:rPr>
      </w:pPr>
      <w:r>
        <w:rPr>
          <w:rFonts w:ascii="宋体" w:hAnsi="宋体"/>
          <w:sz w:val="30"/>
          <w:szCs w:val="24"/>
        </w:rPr>
        <w:tab/>
      </w:r>
    </w:p>
    <w:p>
      <w:pPr>
        <w:pStyle w:val="122"/>
        <w:outlineLvl w:val="0"/>
        <w:rPr>
          <w:rFonts w:ascii="Times New Roman" w:hAnsi="宋体"/>
          <w:b/>
          <w:bCs/>
          <w:spacing w:val="0"/>
          <w:kern w:val="0"/>
          <w:sz w:val="24"/>
        </w:rPr>
      </w:pPr>
      <w:bookmarkStart w:id="71" w:name="_Toc27227"/>
      <w:r>
        <w:rPr>
          <w:rFonts w:ascii="Times New Roman" w:hAnsi="宋体"/>
          <w:b/>
          <w:bCs/>
          <w:spacing w:val="0"/>
          <w:kern w:val="0"/>
          <w:sz w:val="24"/>
        </w:rPr>
        <w:t>附</w:t>
      </w:r>
      <w:r>
        <w:rPr>
          <w:rFonts w:hint="eastAsia" w:ascii="Times New Roman" w:hAnsi="宋体"/>
          <w:b/>
          <w:bCs/>
          <w:spacing w:val="0"/>
          <w:kern w:val="0"/>
          <w:sz w:val="24"/>
        </w:rPr>
        <w:t>表</w:t>
      </w:r>
      <w:r>
        <w:rPr>
          <w:rFonts w:ascii="Times New Roman" w:hAnsi="宋体"/>
          <w:b/>
          <w:bCs/>
          <w:spacing w:val="0"/>
          <w:kern w:val="0"/>
          <w:sz w:val="24"/>
        </w:rPr>
        <w:t>1</w:t>
      </w:r>
      <w:r>
        <w:rPr>
          <w:rFonts w:ascii="Times New Roman"/>
          <w:b/>
          <w:bCs/>
          <w:spacing w:val="0"/>
          <w:kern w:val="0"/>
          <w:sz w:val="24"/>
        </w:rPr>
        <w:t xml:space="preserve">  </w:t>
      </w:r>
      <w:r>
        <w:rPr>
          <w:rFonts w:hint="eastAsia" w:ascii="Times New Roman"/>
          <w:b/>
          <w:bCs/>
          <w:spacing w:val="0"/>
          <w:kern w:val="0"/>
          <w:sz w:val="24"/>
          <w:lang w:val="en-US" w:eastAsia="zh-CN"/>
        </w:rPr>
        <w:t>建设项目环评审批</w:t>
      </w:r>
      <w:r>
        <w:rPr>
          <w:rFonts w:hint="eastAsia" w:ascii="Times New Roman" w:hAnsi="宋体"/>
          <w:b/>
          <w:bCs/>
          <w:spacing w:val="0"/>
          <w:kern w:val="0"/>
          <w:sz w:val="24"/>
        </w:rPr>
        <w:t>基础信息表</w:t>
      </w:r>
      <w:bookmarkEnd w:id="71"/>
    </w:p>
    <w:p>
      <w:pPr>
        <w:tabs>
          <w:tab w:val="left" w:pos="855"/>
        </w:tabs>
        <w:rPr>
          <w:rFonts w:hint="eastAsia" w:ascii="宋体" w:hAnsi="宋体" w:eastAsia="宋体"/>
          <w:sz w:val="30"/>
          <w:szCs w:val="24"/>
          <w:lang w:eastAsia="zh-CN"/>
        </w:rPr>
      </w:pPr>
      <w:r>
        <w:rPr>
          <w:rFonts w:hint="eastAsia" w:ascii="宋体" w:hAnsi="宋体" w:eastAsia="宋体"/>
          <w:sz w:val="30"/>
          <w:szCs w:val="24"/>
          <w:lang w:eastAsia="zh-CN"/>
        </w:rPr>
        <w:drawing>
          <wp:inline distT="0" distB="0" distL="114300" distR="114300">
            <wp:extent cx="8413750" cy="5767705"/>
            <wp:effectExtent l="0" t="0" r="10795" b="6350"/>
            <wp:docPr id="31" name="图片 31" descr="建设项目环评审批基础信息表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建设项目环评审批基础信息表_00"/>
                    <pic:cNvPicPr>
                      <a:picLocks noChangeAspect="1"/>
                    </pic:cNvPicPr>
                  </pic:nvPicPr>
                  <pic:blipFill>
                    <a:blip r:embed="rId59"/>
                    <a:srcRect l="8018" t="5043" r="1120" b="6881"/>
                    <a:stretch>
                      <a:fillRect/>
                    </a:stretch>
                  </pic:blipFill>
                  <pic:spPr>
                    <a:xfrm rot="16200000">
                      <a:off x="0" y="0"/>
                      <a:ext cx="8413750" cy="5767705"/>
                    </a:xfrm>
                    <a:prstGeom prst="rect">
                      <a:avLst/>
                    </a:prstGeom>
                  </pic:spPr>
                </pic:pic>
              </a:graphicData>
            </a:graphic>
          </wp:inline>
        </w:drawing>
      </w:r>
    </w:p>
    <w:sectPr>
      <w:pgSz w:w="11907" w:h="16840"/>
      <w:pgMar w:top="1418" w:right="1418" w:bottom="1418" w:left="1418" w:header="851" w:footer="992" w:gutter="113"/>
      <w:pgBorders>
        <w:top w:val="none" w:sz="0" w:space="0"/>
        <w:left w:val="none" w:sz="0" w:space="0"/>
        <w:bottom w:val="none" w:sz="0" w:space="0"/>
        <w:right w:val="none" w:sz="0" w:space="0"/>
      </w:pgBorders>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auto"/>
    <w:pitch w:val="default"/>
    <w:sig w:usb0="00000000" w:usb1="00000000" w:usb2="00000000" w:usb3="00000000" w:csb0="00040000" w:csb1="00000000"/>
  </w:font>
  <w:font w:name="Impact">
    <w:panose1 w:val="020B0806030902050204"/>
    <w:charset w:val="00"/>
    <w:family w:val="swiss"/>
    <w:pitch w:val="default"/>
    <w:sig w:usb0="00000287" w:usb1="00000000" w:usb2="00000000" w:usb3="00000000" w:csb0="2000009F" w:csb1="DFD7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TimesNewRomanPSMT">
    <w:altName w:val="Times New Roman"/>
    <w:panose1 w:val="00000000000000000000"/>
    <w:charset w:val="00"/>
    <w:family w:val="roman"/>
    <w:pitch w:val="default"/>
    <w:sig w:usb0="00000000" w:usb1="00000000" w:usb2="00000010" w:usb3="00000000" w:csb0="0006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sz w:val="21"/>
        <w:szCs w:val="21"/>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rStyle w:val="34"/>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w:t>
                    </w:r>
                    <w:r>
                      <w:rPr>
                        <w:rFonts w:hint="eastAsia"/>
                        <w:lang w:eastAsia="zh-CN"/>
                      </w:rPr>
                      <w:fldChar w:fldCharType="end"/>
                    </w:r>
                  </w:p>
                </w:txbxContent>
              </v:textbox>
            </v:shape>
          </w:pict>
        </mc:Fallback>
      </mc:AlternateContent>
    </w:r>
  </w:p>
  <w:p>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4"/>
      </w:rPr>
    </w:pPr>
    <w:r>
      <w:fldChar w:fldCharType="begin"/>
    </w:r>
    <w:r>
      <w:rPr>
        <w:rStyle w:val="34"/>
      </w:rPr>
      <w:instrText xml:space="preserve">PAGE  </w:instrText>
    </w:r>
    <w:r>
      <w:fldChar w:fldCharType="end"/>
    </w:r>
  </w:p>
  <w:p>
    <w:pPr>
      <w:pStyle w:val="2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98921396"/>
    </w:sdtPr>
    <w:sdtContent>
      <w:p>
        <w:pPr>
          <w:pStyle w:val="20"/>
          <w:jc w:val="center"/>
        </w:pPr>
        <w:r>
          <w:fldChar w:fldCharType="begin"/>
        </w:r>
        <w:r>
          <w:instrText xml:space="preserve">PAGE   \* MERGEFORMAT</w:instrText>
        </w:r>
        <w:r>
          <w:fldChar w:fldCharType="separate"/>
        </w:r>
        <w:r>
          <w:rPr>
            <w:lang w:val="zh-CN"/>
          </w:rPr>
          <w:t>50</w:t>
        </w:r>
        <w:r>
          <w:rPr>
            <w:lang w:val="zh-CN"/>
          </w:rPr>
          <w:fldChar w:fldCharType="end"/>
        </w:r>
      </w:p>
    </w:sdtContent>
  </w:sdt>
  <w:p>
    <w:pPr>
      <w:pStyle w:val="20"/>
      <w:jc w:val="center"/>
      <w:rPr>
        <w:sz w:val="21"/>
        <w:szCs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4"/>
      </w:rPr>
    </w:pPr>
    <w:r>
      <w:rPr>
        <w:rStyle w:val="34"/>
      </w:rPr>
      <w:fldChar w:fldCharType="begin"/>
    </w:r>
    <w:r>
      <w:rPr>
        <w:rStyle w:val="34"/>
      </w:rPr>
      <w:instrText xml:space="preserve">PAGE  </w:instrText>
    </w:r>
    <w:r>
      <w:rPr>
        <w:rStyle w:val="34"/>
      </w:rPr>
      <w:fldChar w:fldCharType="separate"/>
    </w:r>
    <w:r>
      <w:rPr>
        <w:rStyle w:val="34"/>
      </w:rPr>
      <w:t>41</w:t>
    </w:r>
    <w:r>
      <w:rPr>
        <w:rStyle w:val="34"/>
      </w:rPr>
      <w:fldChar w:fldCharType="end"/>
    </w:r>
  </w:p>
  <w:p>
    <w:pPr>
      <w:pStyle w:val="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14679794"/>
    </w:sdtPr>
    <w:sdtContent>
      <w:p>
        <w:pPr>
          <w:pStyle w:val="20"/>
          <w:jc w:val="center"/>
        </w:pPr>
      </w:p>
    </w:sdtContent>
  </w:sdt>
  <w:p>
    <w:pPr>
      <w:pStyle w:val="20"/>
      <w:jc w:val="center"/>
      <w:rPr>
        <w:sz w:val="21"/>
        <w:szCs w:val="21"/>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sdt>
      <w:sdtPr>
        <w:id w:val="-2014679794"/>
      </w:sdtPr>
      <w:sdtContent/>
    </w:sdt>
  </w:p>
  <w:p>
    <w:pPr>
      <w:pStyle w:val="20"/>
      <w:jc w:val="center"/>
      <w:rPr>
        <w:sz w:val="21"/>
        <w:szCs w:val="21"/>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rStyle w:val="34"/>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v:textbox>
            </v:shape>
          </w:pict>
        </mc:Fallback>
      </mc:AlternateContent>
    </w:r>
  </w:p>
  <w:p>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4647A2"/>
    <w:multiLevelType w:val="singleLevel"/>
    <w:tmpl w:val="174647A2"/>
    <w:lvl w:ilvl="0" w:tentative="0">
      <w:start w:val="1"/>
      <w:numFmt w:val="decimal"/>
      <w:lvlText w:val="%1."/>
      <w:lvlJc w:val="left"/>
      <w:pPr>
        <w:ind w:left="425" w:hanging="425"/>
      </w:pPr>
      <w:rPr>
        <w:rFonts w:hint="default"/>
      </w:rPr>
    </w:lvl>
  </w:abstractNum>
  <w:abstractNum w:abstractNumId="1">
    <w:nsid w:val="1A0F36DF"/>
    <w:multiLevelType w:val="singleLevel"/>
    <w:tmpl w:val="1A0F36DF"/>
    <w:lvl w:ilvl="0" w:tentative="0">
      <w:start w:val="2"/>
      <w:numFmt w:val="chineseCounting"/>
      <w:suff w:val="nothing"/>
      <w:lvlText w:val="%1、"/>
      <w:lvlJc w:val="left"/>
      <w:rPr>
        <w:rFonts w:hint="eastAsia"/>
      </w:rPr>
    </w:lvl>
  </w:abstractNum>
  <w:abstractNum w:abstractNumId="2">
    <w:nsid w:val="4CEC45CD"/>
    <w:multiLevelType w:val="multilevel"/>
    <w:tmpl w:val="4CEC45CD"/>
    <w:lvl w:ilvl="0" w:tentative="0">
      <w:start w:val="1"/>
      <w:numFmt w:val="decimal"/>
      <w:pStyle w:val="3"/>
      <w:lvlText w:val="%1"/>
      <w:lvlJc w:val="left"/>
      <w:pPr>
        <w:tabs>
          <w:tab w:val="left" w:pos="454"/>
        </w:tabs>
        <w:ind w:left="0" w:firstLine="0"/>
      </w:pPr>
      <w:rPr>
        <w:rFonts w:hint="eastAsia"/>
      </w:rPr>
    </w:lvl>
    <w:lvl w:ilvl="1" w:tentative="0">
      <w:start w:val="1"/>
      <w:numFmt w:val="decimal"/>
      <w:pStyle w:val="4"/>
      <w:lvlText w:val="%1.%2"/>
      <w:lvlJc w:val="left"/>
      <w:pPr>
        <w:tabs>
          <w:tab w:val="left" w:pos="0"/>
        </w:tabs>
        <w:ind w:left="0" w:firstLine="0"/>
      </w:pPr>
      <w:rPr>
        <w:rFonts w:hint="eastAsia"/>
      </w:rPr>
    </w:lvl>
    <w:lvl w:ilvl="2" w:tentative="0">
      <w:start w:val="1"/>
      <w:numFmt w:val="decimal"/>
      <w:pStyle w:val="5"/>
      <w:lvlText w:val="%1.%2.%3"/>
      <w:lvlJc w:val="left"/>
      <w:pPr>
        <w:tabs>
          <w:tab w:val="left" w:pos="720"/>
        </w:tabs>
        <w:ind w:left="720" w:hanging="720"/>
      </w:pPr>
      <w:rPr>
        <w:rFonts w:hint="default" w:ascii="Times New Roman" w:hAnsi="Times New Roman" w:cs="Times New Roman"/>
      </w:rPr>
    </w:lvl>
    <w:lvl w:ilvl="3" w:tentative="0">
      <w:start w:val="1"/>
      <w:numFmt w:val="decimal"/>
      <w:pStyle w:val="6"/>
      <w:lvlText w:val="%1.%2.%3.%4"/>
      <w:lvlJc w:val="left"/>
      <w:pPr>
        <w:tabs>
          <w:tab w:val="left" w:pos="864"/>
        </w:tabs>
        <w:ind w:left="864" w:hanging="864"/>
      </w:pPr>
      <w:rPr>
        <w:rFonts w:hint="default"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styleLockQFSet/>
  <w:defaultTabStop w:val="425"/>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31A"/>
    <w:rsid w:val="0000015D"/>
    <w:rsid w:val="0000075E"/>
    <w:rsid w:val="00001EB8"/>
    <w:rsid w:val="0000217F"/>
    <w:rsid w:val="00002437"/>
    <w:rsid w:val="000025AA"/>
    <w:rsid w:val="00002703"/>
    <w:rsid w:val="000032CB"/>
    <w:rsid w:val="00003492"/>
    <w:rsid w:val="00003521"/>
    <w:rsid w:val="00003E1A"/>
    <w:rsid w:val="00003F0D"/>
    <w:rsid w:val="00004E2D"/>
    <w:rsid w:val="00004F6B"/>
    <w:rsid w:val="00005189"/>
    <w:rsid w:val="00006DE7"/>
    <w:rsid w:val="00006E3D"/>
    <w:rsid w:val="00007630"/>
    <w:rsid w:val="000101AE"/>
    <w:rsid w:val="00010B28"/>
    <w:rsid w:val="00010F69"/>
    <w:rsid w:val="000111E8"/>
    <w:rsid w:val="000113C4"/>
    <w:rsid w:val="00011FF5"/>
    <w:rsid w:val="00013072"/>
    <w:rsid w:val="0001313F"/>
    <w:rsid w:val="00013BEC"/>
    <w:rsid w:val="00013C0A"/>
    <w:rsid w:val="00014238"/>
    <w:rsid w:val="00014805"/>
    <w:rsid w:val="0001484C"/>
    <w:rsid w:val="00014AE3"/>
    <w:rsid w:val="00016B72"/>
    <w:rsid w:val="0001794B"/>
    <w:rsid w:val="00017B25"/>
    <w:rsid w:val="00017F64"/>
    <w:rsid w:val="0002012A"/>
    <w:rsid w:val="00020568"/>
    <w:rsid w:val="00020B93"/>
    <w:rsid w:val="000210F1"/>
    <w:rsid w:val="000225E3"/>
    <w:rsid w:val="00022A67"/>
    <w:rsid w:val="00022ABD"/>
    <w:rsid w:val="00022EA4"/>
    <w:rsid w:val="0002313D"/>
    <w:rsid w:val="00023191"/>
    <w:rsid w:val="0002338B"/>
    <w:rsid w:val="000234D1"/>
    <w:rsid w:val="00023BAD"/>
    <w:rsid w:val="000244A0"/>
    <w:rsid w:val="00024872"/>
    <w:rsid w:val="0002493C"/>
    <w:rsid w:val="00024C83"/>
    <w:rsid w:val="000253DA"/>
    <w:rsid w:val="0002611D"/>
    <w:rsid w:val="00026319"/>
    <w:rsid w:val="00026822"/>
    <w:rsid w:val="00026962"/>
    <w:rsid w:val="00026BA8"/>
    <w:rsid w:val="00027182"/>
    <w:rsid w:val="00027AD1"/>
    <w:rsid w:val="00027BE6"/>
    <w:rsid w:val="00030CED"/>
    <w:rsid w:val="00032010"/>
    <w:rsid w:val="000323CF"/>
    <w:rsid w:val="00034E13"/>
    <w:rsid w:val="000352E8"/>
    <w:rsid w:val="00035614"/>
    <w:rsid w:val="000357C3"/>
    <w:rsid w:val="00035F67"/>
    <w:rsid w:val="00035FCE"/>
    <w:rsid w:val="000365EC"/>
    <w:rsid w:val="000367C5"/>
    <w:rsid w:val="00036EEC"/>
    <w:rsid w:val="0004086F"/>
    <w:rsid w:val="000409EF"/>
    <w:rsid w:val="00041B48"/>
    <w:rsid w:val="00041BD4"/>
    <w:rsid w:val="0004238C"/>
    <w:rsid w:val="0004241A"/>
    <w:rsid w:val="00043327"/>
    <w:rsid w:val="000433A0"/>
    <w:rsid w:val="000439BE"/>
    <w:rsid w:val="00043B6F"/>
    <w:rsid w:val="00043EFC"/>
    <w:rsid w:val="000440BE"/>
    <w:rsid w:val="00044A2E"/>
    <w:rsid w:val="00046280"/>
    <w:rsid w:val="00046F37"/>
    <w:rsid w:val="000475D7"/>
    <w:rsid w:val="000508CA"/>
    <w:rsid w:val="00050B82"/>
    <w:rsid w:val="0005228D"/>
    <w:rsid w:val="0005234C"/>
    <w:rsid w:val="0005240A"/>
    <w:rsid w:val="000524EA"/>
    <w:rsid w:val="00052D02"/>
    <w:rsid w:val="00053D7C"/>
    <w:rsid w:val="00053E09"/>
    <w:rsid w:val="0005485D"/>
    <w:rsid w:val="00054F8D"/>
    <w:rsid w:val="0005532C"/>
    <w:rsid w:val="000553EA"/>
    <w:rsid w:val="000557E9"/>
    <w:rsid w:val="00055839"/>
    <w:rsid w:val="00055DE7"/>
    <w:rsid w:val="000564B2"/>
    <w:rsid w:val="00056572"/>
    <w:rsid w:val="00056FAC"/>
    <w:rsid w:val="00056FCD"/>
    <w:rsid w:val="00057020"/>
    <w:rsid w:val="0005779B"/>
    <w:rsid w:val="0005791E"/>
    <w:rsid w:val="000610B4"/>
    <w:rsid w:val="0006131D"/>
    <w:rsid w:val="00061401"/>
    <w:rsid w:val="000616D1"/>
    <w:rsid w:val="00061801"/>
    <w:rsid w:val="000618CD"/>
    <w:rsid w:val="000621F6"/>
    <w:rsid w:val="00062327"/>
    <w:rsid w:val="000623E7"/>
    <w:rsid w:val="00062DC9"/>
    <w:rsid w:val="00063355"/>
    <w:rsid w:val="00063725"/>
    <w:rsid w:val="00063DE7"/>
    <w:rsid w:val="0006437B"/>
    <w:rsid w:val="000646C8"/>
    <w:rsid w:val="00065003"/>
    <w:rsid w:val="000654BB"/>
    <w:rsid w:val="00065516"/>
    <w:rsid w:val="00065859"/>
    <w:rsid w:val="00065CCD"/>
    <w:rsid w:val="00066C93"/>
    <w:rsid w:val="00066D4A"/>
    <w:rsid w:val="00066F46"/>
    <w:rsid w:val="00067B2D"/>
    <w:rsid w:val="00067D7C"/>
    <w:rsid w:val="00067DDD"/>
    <w:rsid w:val="000709BD"/>
    <w:rsid w:val="00070E56"/>
    <w:rsid w:val="000719F2"/>
    <w:rsid w:val="00071E04"/>
    <w:rsid w:val="00071F30"/>
    <w:rsid w:val="00072BEA"/>
    <w:rsid w:val="0007329B"/>
    <w:rsid w:val="00073C62"/>
    <w:rsid w:val="00074FD9"/>
    <w:rsid w:val="000757C4"/>
    <w:rsid w:val="000759E1"/>
    <w:rsid w:val="00076009"/>
    <w:rsid w:val="00076A04"/>
    <w:rsid w:val="000771B4"/>
    <w:rsid w:val="0007763C"/>
    <w:rsid w:val="000776F3"/>
    <w:rsid w:val="00077878"/>
    <w:rsid w:val="00077B7A"/>
    <w:rsid w:val="00077F60"/>
    <w:rsid w:val="0008012A"/>
    <w:rsid w:val="000804B8"/>
    <w:rsid w:val="00080675"/>
    <w:rsid w:val="00081136"/>
    <w:rsid w:val="00081390"/>
    <w:rsid w:val="00081720"/>
    <w:rsid w:val="0008184C"/>
    <w:rsid w:val="00082426"/>
    <w:rsid w:val="00082D96"/>
    <w:rsid w:val="000838A0"/>
    <w:rsid w:val="000839C1"/>
    <w:rsid w:val="00083F02"/>
    <w:rsid w:val="0008435C"/>
    <w:rsid w:val="00084D70"/>
    <w:rsid w:val="000854B1"/>
    <w:rsid w:val="000857C8"/>
    <w:rsid w:val="0008583A"/>
    <w:rsid w:val="00086A15"/>
    <w:rsid w:val="00087FE8"/>
    <w:rsid w:val="0009085A"/>
    <w:rsid w:val="00090CD2"/>
    <w:rsid w:val="000912F2"/>
    <w:rsid w:val="000913DB"/>
    <w:rsid w:val="00091659"/>
    <w:rsid w:val="00091D90"/>
    <w:rsid w:val="00092412"/>
    <w:rsid w:val="0009351D"/>
    <w:rsid w:val="000936C7"/>
    <w:rsid w:val="00093813"/>
    <w:rsid w:val="0009396C"/>
    <w:rsid w:val="00093D4D"/>
    <w:rsid w:val="0009427D"/>
    <w:rsid w:val="00094769"/>
    <w:rsid w:val="0009486F"/>
    <w:rsid w:val="00094E08"/>
    <w:rsid w:val="00094E3C"/>
    <w:rsid w:val="00094EB5"/>
    <w:rsid w:val="00094F9E"/>
    <w:rsid w:val="00095023"/>
    <w:rsid w:val="000953DD"/>
    <w:rsid w:val="00095D19"/>
    <w:rsid w:val="000963E8"/>
    <w:rsid w:val="00096621"/>
    <w:rsid w:val="00096A68"/>
    <w:rsid w:val="00096D39"/>
    <w:rsid w:val="0009728E"/>
    <w:rsid w:val="0009781E"/>
    <w:rsid w:val="000A04E5"/>
    <w:rsid w:val="000A0643"/>
    <w:rsid w:val="000A07D3"/>
    <w:rsid w:val="000A0CF0"/>
    <w:rsid w:val="000A1145"/>
    <w:rsid w:val="000A1D01"/>
    <w:rsid w:val="000A1E92"/>
    <w:rsid w:val="000A2059"/>
    <w:rsid w:val="000A292D"/>
    <w:rsid w:val="000A3739"/>
    <w:rsid w:val="000A3D92"/>
    <w:rsid w:val="000A3E93"/>
    <w:rsid w:val="000A4156"/>
    <w:rsid w:val="000A49CA"/>
    <w:rsid w:val="000A5F8C"/>
    <w:rsid w:val="000A653B"/>
    <w:rsid w:val="000A67A4"/>
    <w:rsid w:val="000A688F"/>
    <w:rsid w:val="000A728E"/>
    <w:rsid w:val="000A7B2A"/>
    <w:rsid w:val="000A7F0B"/>
    <w:rsid w:val="000B018A"/>
    <w:rsid w:val="000B07B9"/>
    <w:rsid w:val="000B081A"/>
    <w:rsid w:val="000B102A"/>
    <w:rsid w:val="000B1C28"/>
    <w:rsid w:val="000B1C47"/>
    <w:rsid w:val="000B206B"/>
    <w:rsid w:val="000B22B1"/>
    <w:rsid w:val="000B302A"/>
    <w:rsid w:val="000B3702"/>
    <w:rsid w:val="000B39AA"/>
    <w:rsid w:val="000B4380"/>
    <w:rsid w:val="000B43AD"/>
    <w:rsid w:val="000B4AEE"/>
    <w:rsid w:val="000B4E1F"/>
    <w:rsid w:val="000B5117"/>
    <w:rsid w:val="000B55CE"/>
    <w:rsid w:val="000B5F1D"/>
    <w:rsid w:val="000B67F1"/>
    <w:rsid w:val="000B68AD"/>
    <w:rsid w:val="000B7304"/>
    <w:rsid w:val="000B73A3"/>
    <w:rsid w:val="000B7736"/>
    <w:rsid w:val="000B7A09"/>
    <w:rsid w:val="000C0033"/>
    <w:rsid w:val="000C069F"/>
    <w:rsid w:val="000C084E"/>
    <w:rsid w:val="000C1290"/>
    <w:rsid w:val="000C244C"/>
    <w:rsid w:val="000C2513"/>
    <w:rsid w:val="000C2D30"/>
    <w:rsid w:val="000C3526"/>
    <w:rsid w:val="000C37A5"/>
    <w:rsid w:val="000C41FD"/>
    <w:rsid w:val="000C509A"/>
    <w:rsid w:val="000C50BB"/>
    <w:rsid w:val="000C51AE"/>
    <w:rsid w:val="000C51E1"/>
    <w:rsid w:val="000C56C0"/>
    <w:rsid w:val="000C5A6A"/>
    <w:rsid w:val="000C5E42"/>
    <w:rsid w:val="000C65B0"/>
    <w:rsid w:val="000C6756"/>
    <w:rsid w:val="000C6E29"/>
    <w:rsid w:val="000C7172"/>
    <w:rsid w:val="000C78C7"/>
    <w:rsid w:val="000C7D41"/>
    <w:rsid w:val="000C7DBC"/>
    <w:rsid w:val="000C7E42"/>
    <w:rsid w:val="000C7F2B"/>
    <w:rsid w:val="000D0266"/>
    <w:rsid w:val="000D030D"/>
    <w:rsid w:val="000D0471"/>
    <w:rsid w:val="000D0505"/>
    <w:rsid w:val="000D07C7"/>
    <w:rsid w:val="000D134B"/>
    <w:rsid w:val="000D1B42"/>
    <w:rsid w:val="000D2520"/>
    <w:rsid w:val="000D2556"/>
    <w:rsid w:val="000D2AF5"/>
    <w:rsid w:val="000D2FEF"/>
    <w:rsid w:val="000D33B1"/>
    <w:rsid w:val="000D39DC"/>
    <w:rsid w:val="000D40D5"/>
    <w:rsid w:val="000D4AC5"/>
    <w:rsid w:val="000D4BBB"/>
    <w:rsid w:val="000D55A3"/>
    <w:rsid w:val="000D55EA"/>
    <w:rsid w:val="000D5BF1"/>
    <w:rsid w:val="000D746F"/>
    <w:rsid w:val="000D7773"/>
    <w:rsid w:val="000D7964"/>
    <w:rsid w:val="000E014F"/>
    <w:rsid w:val="000E072A"/>
    <w:rsid w:val="000E097A"/>
    <w:rsid w:val="000E12FD"/>
    <w:rsid w:val="000E13E8"/>
    <w:rsid w:val="000E1798"/>
    <w:rsid w:val="000E27AC"/>
    <w:rsid w:val="000E2A36"/>
    <w:rsid w:val="000E2C1D"/>
    <w:rsid w:val="000E445C"/>
    <w:rsid w:val="000E5188"/>
    <w:rsid w:val="000E5736"/>
    <w:rsid w:val="000E666C"/>
    <w:rsid w:val="000E6B97"/>
    <w:rsid w:val="000E6BE5"/>
    <w:rsid w:val="000E6BF8"/>
    <w:rsid w:val="000E6C9C"/>
    <w:rsid w:val="000E71A8"/>
    <w:rsid w:val="000E7EE6"/>
    <w:rsid w:val="000F0357"/>
    <w:rsid w:val="000F04E4"/>
    <w:rsid w:val="000F2416"/>
    <w:rsid w:val="000F26F1"/>
    <w:rsid w:val="000F2869"/>
    <w:rsid w:val="000F390C"/>
    <w:rsid w:val="000F3C54"/>
    <w:rsid w:val="000F3FDD"/>
    <w:rsid w:val="000F41AA"/>
    <w:rsid w:val="000F45A5"/>
    <w:rsid w:val="000F45F0"/>
    <w:rsid w:val="000F5A49"/>
    <w:rsid w:val="000F5A6A"/>
    <w:rsid w:val="000F5BBF"/>
    <w:rsid w:val="000F5C14"/>
    <w:rsid w:val="000F60FF"/>
    <w:rsid w:val="000F638B"/>
    <w:rsid w:val="000F73D1"/>
    <w:rsid w:val="000F7655"/>
    <w:rsid w:val="000F7D41"/>
    <w:rsid w:val="0010050E"/>
    <w:rsid w:val="00100517"/>
    <w:rsid w:val="00101C7A"/>
    <w:rsid w:val="00101DCD"/>
    <w:rsid w:val="001030A0"/>
    <w:rsid w:val="00103144"/>
    <w:rsid w:val="00103150"/>
    <w:rsid w:val="00104532"/>
    <w:rsid w:val="00104B5E"/>
    <w:rsid w:val="00104F61"/>
    <w:rsid w:val="001051A1"/>
    <w:rsid w:val="00105454"/>
    <w:rsid w:val="00105943"/>
    <w:rsid w:val="00105A7D"/>
    <w:rsid w:val="00105C51"/>
    <w:rsid w:val="00106947"/>
    <w:rsid w:val="00106B13"/>
    <w:rsid w:val="001070E9"/>
    <w:rsid w:val="00107935"/>
    <w:rsid w:val="00107B1E"/>
    <w:rsid w:val="00107CEE"/>
    <w:rsid w:val="00107EB0"/>
    <w:rsid w:val="00110050"/>
    <w:rsid w:val="001101D8"/>
    <w:rsid w:val="00111114"/>
    <w:rsid w:val="00111175"/>
    <w:rsid w:val="00111562"/>
    <w:rsid w:val="0011171B"/>
    <w:rsid w:val="00111892"/>
    <w:rsid w:val="00111CD1"/>
    <w:rsid w:val="00111D26"/>
    <w:rsid w:val="00111D7D"/>
    <w:rsid w:val="00111DBF"/>
    <w:rsid w:val="00111E6C"/>
    <w:rsid w:val="0011276A"/>
    <w:rsid w:val="001128D1"/>
    <w:rsid w:val="001129C9"/>
    <w:rsid w:val="001131D7"/>
    <w:rsid w:val="00113350"/>
    <w:rsid w:val="00113685"/>
    <w:rsid w:val="001136DE"/>
    <w:rsid w:val="001138E7"/>
    <w:rsid w:val="00113BF3"/>
    <w:rsid w:val="00114AE1"/>
    <w:rsid w:val="00115850"/>
    <w:rsid w:val="00115949"/>
    <w:rsid w:val="001159CE"/>
    <w:rsid w:val="00115CAA"/>
    <w:rsid w:val="00116374"/>
    <w:rsid w:val="001166D9"/>
    <w:rsid w:val="00117835"/>
    <w:rsid w:val="00117843"/>
    <w:rsid w:val="00117B81"/>
    <w:rsid w:val="00117D8D"/>
    <w:rsid w:val="00120158"/>
    <w:rsid w:val="001208FD"/>
    <w:rsid w:val="00120EA9"/>
    <w:rsid w:val="00121298"/>
    <w:rsid w:val="00121419"/>
    <w:rsid w:val="00122186"/>
    <w:rsid w:val="001223D8"/>
    <w:rsid w:val="0012260A"/>
    <w:rsid w:val="001230B5"/>
    <w:rsid w:val="0012338D"/>
    <w:rsid w:val="001238A9"/>
    <w:rsid w:val="001240BC"/>
    <w:rsid w:val="00124250"/>
    <w:rsid w:val="0012443B"/>
    <w:rsid w:val="00124525"/>
    <w:rsid w:val="001249ED"/>
    <w:rsid w:val="00125DA4"/>
    <w:rsid w:val="0012604B"/>
    <w:rsid w:val="00126D1C"/>
    <w:rsid w:val="00126F51"/>
    <w:rsid w:val="00126FE2"/>
    <w:rsid w:val="00127183"/>
    <w:rsid w:val="0012729E"/>
    <w:rsid w:val="001278EC"/>
    <w:rsid w:val="001303B4"/>
    <w:rsid w:val="001304AE"/>
    <w:rsid w:val="00130DA0"/>
    <w:rsid w:val="001315BB"/>
    <w:rsid w:val="00132658"/>
    <w:rsid w:val="00132993"/>
    <w:rsid w:val="00132AB1"/>
    <w:rsid w:val="00132AF7"/>
    <w:rsid w:val="00132C81"/>
    <w:rsid w:val="00132CEB"/>
    <w:rsid w:val="001332C1"/>
    <w:rsid w:val="00133438"/>
    <w:rsid w:val="0013379E"/>
    <w:rsid w:val="00133AF3"/>
    <w:rsid w:val="00134774"/>
    <w:rsid w:val="00134F88"/>
    <w:rsid w:val="00135010"/>
    <w:rsid w:val="00135309"/>
    <w:rsid w:val="00135408"/>
    <w:rsid w:val="00136013"/>
    <w:rsid w:val="00136485"/>
    <w:rsid w:val="001365A8"/>
    <w:rsid w:val="001367BC"/>
    <w:rsid w:val="00137A90"/>
    <w:rsid w:val="0014009B"/>
    <w:rsid w:val="00140511"/>
    <w:rsid w:val="0014051F"/>
    <w:rsid w:val="001409C8"/>
    <w:rsid w:val="00141B1C"/>
    <w:rsid w:val="00141E96"/>
    <w:rsid w:val="00142638"/>
    <w:rsid w:val="00143150"/>
    <w:rsid w:val="00143C0B"/>
    <w:rsid w:val="0014467C"/>
    <w:rsid w:val="00144D9D"/>
    <w:rsid w:val="00144F1D"/>
    <w:rsid w:val="00145C62"/>
    <w:rsid w:val="001460C0"/>
    <w:rsid w:val="00146166"/>
    <w:rsid w:val="00147149"/>
    <w:rsid w:val="00147196"/>
    <w:rsid w:val="00147197"/>
    <w:rsid w:val="00147600"/>
    <w:rsid w:val="00147C48"/>
    <w:rsid w:val="001504EE"/>
    <w:rsid w:val="00150808"/>
    <w:rsid w:val="00150896"/>
    <w:rsid w:val="00150B75"/>
    <w:rsid w:val="00150D0A"/>
    <w:rsid w:val="001510A4"/>
    <w:rsid w:val="0015212B"/>
    <w:rsid w:val="0015244D"/>
    <w:rsid w:val="00152803"/>
    <w:rsid w:val="00152A34"/>
    <w:rsid w:val="00152E58"/>
    <w:rsid w:val="00153E1F"/>
    <w:rsid w:val="001541C4"/>
    <w:rsid w:val="00154241"/>
    <w:rsid w:val="00154402"/>
    <w:rsid w:val="001548AB"/>
    <w:rsid w:val="00154ED6"/>
    <w:rsid w:val="001553D7"/>
    <w:rsid w:val="00155E9B"/>
    <w:rsid w:val="00156104"/>
    <w:rsid w:val="00156645"/>
    <w:rsid w:val="00156C5E"/>
    <w:rsid w:val="00156DF1"/>
    <w:rsid w:val="00160633"/>
    <w:rsid w:val="0016096C"/>
    <w:rsid w:val="00160BA4"/>
    <w:rsid w:val="00160C64"/>
    <w:rsid w:val="00160CA9"/>
    <w:rsid w:val="0016145F"/>
    <w:rsid w:val="00161D89"/>
    <w:rsid w:val="00161DAF"/>
    <w:rsid w:val="001625C0"/>
    <w:rsid w:val="001637EB"/>
    <w:rsid w:val="00163E56"/>
    <w:rsid w:val="00164F63"/>
    <w:rsid w:val="00164FFD"/>
    <w:rsid w:val="0016505E"/>
    <w:rsid w:val="00165E97"/>
    <w:rsid w:val="00165F13"/>
    <w:rsid w:val="0016688A"/>
    <w:rsid w:val="0016696A"/>
    <w:rsid w:val="00166A1A"/>
    <w:rsid w:val="00166B1C"/>
    <w:rsid w:val="00167C1B"/>
    <w:rsid w:val="00167C82"/>
    <w:rsid w:val="00167D75"/>
    <w:rsid w:val="00171ABE"/>
    <w:rsid w:val="00172BCA"/>
    <w:rsid w:val="00173252"/>
    <w:rsid w:val="00173511"/>
    <w:rsid w:val="00173B1D"/>
    <w:rsid w:val="00173BAF"/>
    <w:rsid w:val="00173C2C"/>
    <w:rsid w:val="00173F7D"/>
    <w:rsid w:val="0017444B"/>
    <w:rsid w:val="00174685"/>
    <w:rsid w:val="00174D50"/>
    <w:rsid w:val="00175979"/>
    <w:rsid w:val="00175AE0"/>
    <w:rsid w:val="00175EA1"/>
    <w:rsid w:val="00175F09"/>
    <w:rsid w:val="00177274"/>
    <w:rsid w:val="00177B07"/>
    <w:rsid w:val="00177D0A"/>
    <w:rsid w:val="00180000"/>
    <w:rsid w:val="00180331"/>
    <w:rsid w:val="001804B9"/>
    <w:rsid w:val="00180867"/>
    <w:rsid w:val="001809CE"/>
    <w:rsid w:val="00181070"/>
    <w:rsid w:val="001813D1"/>
    <w:rsid w:val="00181B12"/>
    <w:rsid w:val="001823FB"/>
    <w:rsid w:val="00182BA6"/>
    <w:rsid w:val="001830F1"/>
    <w:rsid w:val="001831BC"/>
    <w:rsid w:val="00183488"/>
    <w:rsid w:val="00183628"/>
    <w:rsid w:val="00183A8E"/>
    <w:rsid w:val="00183D96"/>
    <w:rsid w:val="00184720"/>
    <w:rsid w:val="00184D6D"/>
    <w:rsid w:val="00185229"/>
    <w:rsid w:val="0018557F"/>
    <w:rsid w:val="001858CE"/>
    <w:rsid w:val="00185D0F"/>
    <w:rsid w:val="00185EFD"/>
    <w:rsid w:val="001861DA"/>
    <w:rsid w:val="00186E29"/>
    <w:rsid w:val="00187846"/>
    <w:rsid w:val="0019061A"/>
    <w:rsid w:val="00190ADF"/>
    <w:rsid w:val="0019129C"/>
    <w:rsid w:val="001919F2"/>
    <w:rsid w:val="00191ED1"/>
    <w:rsid w:val="001922E3"/>
    <w:rsid w:val="00192366"/>
    <w:rsid w:val="00192B43"/>
    <w:rsid w:val="00192E16"/>
    <w:rsid w:val="00193268"/>
    <w:rsid w:val="00193422"/>
    <w:rsid w:val="0019460B"/>
    <w:rsid w:val="0019484F"/>
    <w:rsid w:val="001948CC"/>
    <w:rsid w:val="001950A0"/>
    <w:rsid w:val="0019517F"/>
    <w:rsid w:val="00195797"/>
    <w:rsid w:val="00195FE4"/>
    <w:rsid w:val="00196C34"/>
    <w:rsid w:val="00197121"/>
    <w:rsid w:val="001971F0"/>
    <w:rsid w:val="001971F8"/>
    <w:rsid w:val="00197441"/>
    <w:rsid w:val="001A00C5"/>
    <w:rsid w:val="001A048A"/>
    <w:rsid w:val="001A06AC"/>
    <w:rsid w:val="001A0E68"/>
    <w:rsid w:val="001A1014"/>
    <w:rsid w:val="001A127A"/>
    <w:rsid w:val="001A1CE2"/>
    <w:rsid w:val="001A1EF6"/>
    <w:rsid w:val="001A24A4"/>
    <w:rsid w:val="001A272D"/>
    <w:rsid w:val="001A2812"/>
    <w:rsid w:val="001A2829"/>
    <w:rsid w:val="001A31E1"/>
    <w:rsid w:val="001A3C6F"/>
    <w:rsid w:val="001A45C8"/>
    <w:rsid w:val="001A4662"/>
    <w:rsid w:val="001A4B50"/>
    <w:rsid w:val="001A4CF0"/>
    <w:rsid w:val="001A4D33"/>
    <w:rsid w:val="001A4E0F"/>
    <w:rsid w:val="001A5110"/>
    <w:rsid w:val="001A71B8"/>
    <w:rsid w:val="001B09E8"/>
    <w:rsid w:val="001B0B55"/>
    <w:rsid w:val="001B1886"/>
    <w:rsid w:val="001B2009"/>
    <w:rsid w:val="001B34F7"/>
    <w:rsid w:val="001B36DE"/>
    <w:rsid w:val="001B3B02"/>
    <w:rsid w:val="001B3BD4"/>
    <w:rsid w:val="001B3C74"/>
    <w:rsid w:val="001B4147"/>
    <w:rsid w:val="001B5459"/>
    <w:rsid w:val="001B57BE"/>
    <w:rsid w:val="001B5AF8"/>
    <w:rsid w:val="001B5C37"/>
    <w:rsid w:val="001B5EFA"/>
    <w:rsid w:val="001B666F"/>
    <w:rsid w:val="001B75E1"/>
    <w:rsid w:val="001C00A1"/>
    <w:rsid w:val="001C1238"/>
    <w:rsid w:val="001C1273"/>
    <w:rsid w:val="001C15A6"/>
    <w:rsid w:val="001C1FAD"/>
    <w:rsid w:val="001C1FD6"/>
    <w:rsid w:val="001C229C"/>
    <w:rsid w:val="001C25C0"/>
    <w:rsid w:val="001C303A"/>
    <w:rsid w:val="001C3CD4"/>
    <w:rsid w:val="001C51C0"/>
    <w:rsid w:val="001C58CD"/>
    <w:rsid w:val="001C5B6A"/>
    <w:rsid w:val="001C6250"/>
    <w:rsid w:val="001C6542"/>
    <w:rsid w:val="001C6E52"/>
    <w:rsid w:val="001C7396"/>
    <w:rsid w:val="001C78AE"/>
    <w:rsid w:val="001C7EE1"/>
    <w:rsid w:val="001D0525"/>
    <w:rsid w:val="001D0AD2"/>
    <w:rsid w:val="001D1AEE"/>
    <w:rsid w:val="001D1E50"/>
    <w:rsid w:val="001D2CFF"/>
    <w:rsid w:val="001D367E"/>
    <w:rsid w:val="001D3AD9"/>
    <w:rsid w:val="001D40F8"/>
    <w:rsid w:val="001D4453"/>
    <w:rsid w:val="001D55EE"/>
    <w:rsid w:val="001D56D3"/>
    <w:rsid w:val="001D5ED6"/>
    <w:rsid w:val="001D5F17"/>
    <w:rsid w:val="001D615F"/>
    <w:rsid w:val="001D6D8D"/>
    <w:rsid w:val="001D709D"/>
    <w:rsid w:val="001D7170"/>
    <w:rsid w:val="001D771C"/>
    <w:rsid w:val="001D7DBA"/>
    <w:rsid w:val="001E0474"/>
    <w:rsid w:val="001E06AC"/>
    <w:rsid w:val="001E0744"/>
    <w:rsid w:val="001E0C3D"/>
    <w:rsid w:val="001E0D4D"/>
    <w:rsid w:val="001E0DD4"/>
    <w:rsid w:val="001E1813"/>
    <w:rsid w:val="001E1934"/>
    <w:rsid w:val="001E268B"/>
    <w:rsid w:val="001E3423"/>
    <w:rsid w:val="001E3740"/>
    <w:rsid w:val="001E37FD"/>
    <w:rsid w:val="001E3B35"/>
    <w:rsid w:val="001E4BBC"/>
    <w:rsid w:val="001E4F25"/>
    <w:rsid w:val="001E5C9D"/>
    <w:rsid w:val="001E7205"/>
    <w:rsid w:val="001E753D"/>
    <w:rsid w:val="001E76D2"/>
    <w:rsid w:val="001E7AF0"/>
    <w:rsid w:val="001F0107"/>
    <w:rsid w:val="001F0242"/>
    <w:rsid w:val="001F02E5"/>
    <w:rsid w:val="001F175E"/>
    <w:rsid w:val="001F1BC1"/>
    <w:rsid w:val="001F2457"/>
    <w:rsid w:val="001F2487"/>
    <w:rsid w:val="001F293E"/>
    <w:rsid w:val="001F3268"/>
    <w:rsid w:val="001F3C43"/>
    <w:rsid w:val="001F3ECC"/>
    <w:rsid w:val="001F4929"/>
    <w:rsid w:val="001F4ACE"/>
    <w:rsid w:val="001F504B"/>
    <w:rsid w:val="001F50A8"/>
    <w:rsid w:val="001F5524"/>
    <w:rsid w:val="001F56C2"/>
    <w:rsid w:val="001F584C"/>
    <w:rsid w:val="001F6435"/>
    <w:rsid w:val="001F66F9"/>
    <w:rsid w:val="001F6F04"/>
    <w:rsid w:val="001F71E6"/>
    <w:rsid w:val="001F74E4"/>
    <w:rsid w:val="001F76C3"/>
    <w:rsid w:val="001F77C6"/>
    <w:rsid w:val="001F7EA1"/>
    <w:rsid w:val="00200046"/>
    <w:rsid w:val="00200EE3"/>
    <w:rsid w:val="00201DD0"/>
    <w:rsid w:val="00201E7E"/>
    <w:rsid w:val="0020327E"/>
    <w:rsid w:val="00203606"/>
    <w:rsid w:val="0020456F"/>
    <w:rsid w:val="0020472B"/>
    <w:rsid w:val="002053D2"/>
    <w:rsid w:val="00205DB0"/>
    <w:rsid w:val="00206794"/>
    <w:rsid w:val="002070C9"/>
    <w:rsid w:val="002071F8"/>
    <w:rsid w:val="00207435"/>
    <w:rsid w:val="00207BB8"/>
    <w:rsid w:val="0021073E"/>
    <w:rsid w:val="002109D6"/>
    <w:rsid w:val="00212252"/>
    <w:rsid w:val="002123F8"/>
    <w:rsid w:val="00212AA6"/>
    <w:rsid w:val="0021356B"/>
    <w:rsid w:val="0021483F"/>
    <w:rsid w:val="00214AF3"/>
    <w:rsid w:val="002157BC"/>
    <w:rsid w:val="00216354"/>
    <w:rsid w:val="002165EB"/>
    <w:rsid w:val="00216707"/>
    <w:rsid w:val="00216E71"/>
    <w:rsid w:val="0021716C"/>
    <w:rsid w:val="00217719"/>
    <w:rsid w:val="00217EB5"/>
    <w:rsid w:val="002206F6"/>
    <w:rsid w:val="00220A8A"/>
    <w:rsid w:val="00220D96"/>
    <w:rsid w:val="002216CE"/>
    <w:rsid w:val="00222036"/>
    <w:rsid w:val="002222CF"/>
    <w:rsid w:val="0022390C"/>
    <w:rsid w:val="00223EB8"/>
    <w:rsid w:val="002251CF"/>
    <w:rsid w:val="00225518"/>
    <w:rsid w:val="00225B1A"/>
    <w:rsid w:val="00225C95"/>
    <w:rsid w:val="00226329"/>
    <w:rsid w:val="00226AD0"/>
    <w:rsid w:val="00227F84"/>
    <w:rsid w:val="002301FC"/>
    <w:rsid w:val="00230C7D"/>
    <w:rsid w:val="00231695"/>
    <w:rsid w:val="00231806"/>
    <w:rsid w:val="00231F2D"/>
    <w:rsid w:val="00231FA0"/>
    <w:rsid w:val="0023302F"/>
    <w:rsid w:val="002336E9"/>
    <w:rsid w:val="002339EB"/>
    <w:rsid w:val="00233BDA"/>
    <w:rsid w:val="00235199"/>
    <w:rsid w:val="0023521B"/>
    <w:rsid w:val="0023558B"/>
    <w:rsid w:val="0023567C"/>
    <w:rsid w:val="00235D9F"/>
    <w:rsid w:val="00236850"/>
    <w:rsid w:val="00236E83"/>
    <w:rsid w:val="002370E2"/>
    <w:rsid w:val="00237B49"/>
    <w:rsid w:val="002403DA"/>
    <w:rsid w:val="002412AB"/>
    <w:rsid w:val="00242026"/>
    <w:rsid w:val="00242D4A"/>
    <w:rsid w:val="00243B9D"/>
    <w:rsid w:val="002454BF"/>
    <w:rsid w:val="00245FB5"/>
    <w:rsid w:val="00246BFF"/>
    <w:rsid w:val="00246DFA"/>
    <w:rsid w:val="00247696"/>
    <w:rsid w:val="00247A61"/>
    <w:rsid w:val="00250D3D"/>
    <w:rsid w:val="00250D85"/>
    <w:rsid w:val="00251076"/>
    <w:rsid w:val="0025110B"/>
    <w:rsid w:val="002517EB"/>
    <w:rsid w:val="00251C1A"/>
    <w:rsid w:val="0025242C"/>
    <w:rsid w:val="00252637"/>
    <w:rsid w:val="00253B8C"/>
    <w:rsid w:val="00253EEE"/>
    <w:rsid w:val="0025425B"/>
    <w:rsid w:val="00254413"/>
    <w:rsid w:val="002545C8"/>
    <w:rsid w:val="0025478C"/>
    <w:rsid w:val="002548CB"/>
    <w:rsid w:val="00254C4A"/>
    <w:rsid w:val="00255B80"/>
    <w:rsid w:val="00256179"/>
    <w:rsid w:val="00256358"/>
    <w:rsid w:val="002572E2"/>
    <w:rsid w:val="002573A7"/>
    <w:rsid w:val="0025781F"/>
    <w:rsid w:val="002600A2"/>
    <w:rsid w:val="00260257"/>
    <w:rsid w:val="00260261"/>
    <w:rsid w:val="0026026C"/>
    <w:rsid w:val="0026061B"/>
    <w:rsid w:val="002606F8"/>
    <w:rsid w:val="002608ED"/>
    <w:rsid w:val="00260C12"/>
    <w:rsid w:val="00261965"/>
    <w:rsid w:val="00261E54"/>
    <w:rsid w:val="002621A4"/>
    <w:rsid w:val="002621FB"/>
    <w:rsid w:val="00262A4D"/>
    <w:rsid w:val="00263448"/>
    <w:rsid w:val="00263468"/>
    <w:rsid w:val="00263E97"/>
    <w:rsid w:val="002646D9"/>
    <w:rsid w:val="002647D2"/>
    <w:rsid w:val="00264830"/>
    <w:rsid w:val="00264886"/>
    <w:rsid w:val="00264C70"/>
    <w:rsid w:val="00265502"/>
    <w:rsid w:val="002659E7"/>
    <w:rsid w:val="00265A3A"/>
    <w:rsid w:val="00265FB2"/>
    <w:rsid w:val="00270351"/>
    <w:rsid w:val="00270FC1"/>
    <w:rsid w:val="00271293"/>
    <w:rsid w:val="002718A5"/>
    <w:rsid w:val="00271C1C"/>
    <w:rsid w:val="00271EC1"/>
    <w:rsid w:val="00271F6D"/>
    <w:rsid w:val="002723AA"/>
    <w:rsid w:val="0027281C"/>
    <w:rsid w:val="00272C0A"/>
    <w:rsid w:val="00273336"/>
    <w:rsid w:val="00273741"/>
    <w:rsid w:val="00273E9C"/>
    <w:rsid w:val="00273ED3"/>
    <w:rsid w:val="0027407F"/>
    <w:rsid w:val="002741C9"/>
    <w:rsid w:val="002742B2"/>
    <w:rsid w:val="002744DE"/>
    <w:rsid w:val="002745CD"/>
    <w:rsid w:val="00274A96"/>
    <w:rsid w:val="00274E5C"/>
    <w:rsid w:val="002753DC"/>
    <w:rsid w:val="00275E2B"/>
    <w:rsid w:val="00276061"/>
    <w:rsid w:val="00276492"/>
    <w:rsid w:val="00276928"/>
    <w:rsid w:val="002770D7"/>
    <w:rsid w:val="00277285"/>
    <w:rsid w:val="00277CC9"/>
    <w:rsid w:val="002803D0"/>
    <w:rsid w:val="00280472"/>
    <w:rsid w:val="0028050D"/>
    <w:rsid w:val="00280E99"/>
    <w:rsid w:val="00281830"/>
    <w:rsid w:val="00282069"/>
    <w:rsid w:val="0028244B"/>
    <w:rsid w:val="0028244F"/>
    <w:rsid w:val="002829B3"/>
    <w:rsid w:val="002839C3"/>
    <w:rsid w:val="00284761"/>
    <w:rsid w:val="00284784"/>
    <w:rsid w:val="0028490E"/>
    <w:rsid w:val="0028529A"/>
    <w:rsid w:val="0028553C"/>
    <w:rsid w:val="00285858"/>
    <w:rsid w:val="002858B1"/>
    <w:rsid w:val="0028648B"/>
    <w:rsid w:val="00287520"/>
    <w:rsid w:val="002875AA"/>
    <w:rsid w:val="0028769D"/>
    <w:rsid w:val="00287BB0"/>
    <w:rsid w:val="00291057"/>
    <w:rsid w:val="00291A63"/>
    <w:rsid w:val="002928F1"/>
    <w:rsid w:val="0029321D"/>
    <w:rsid w:val="00293E31"/>
    <w:rsid w:val="00294B8F"/>
    <w:rsid w:val="00294C30"/>
    <w:rsid w:val="002959FC"/>
    <w:rsid w:val="00296EBB"/>
    <w:rsid w:val="002977F6"/>
    <w:rsid w:val="00297CD1"/>
    <w:rsid w:val="00297D40"/>
    <w:rsid w:val="00297F60"/>
    <w:rsid w:val="002A01E9"/>
    <w:rsid w:val="002A1A64"/>
    <w:rsid w:val="002A20D1"/>
    <w:rsid w:val="002A27B6"/>
    <w:rsid w:val="002A29EC"/>
    <w:rsid w:val="002A2D3C"/>
    <w:rsid w:val="002A2E36"/>
    <w:rsid w:val="002A32A7"/>
    <w:rsid w:val="002A390B"/>
    <w:rsid w:val="002A3A4C"/>
    <w:rsid w:val="002A4077"/>
    <w:rsid w:val="002A4129"/>
    <w:rsid w:val="002A4445"/>
    <w:rsid w:val="002A46F0"/>
    <w:rsid w:val="002A4E53"/>
    <w:rsid w:val="002A5159"/>
    <w:rsid w:val="002A52AB"/>
    <w:rsid w:val="002A5410"/>
    <w:rsid w:val="002A569E"/>
    <w:rsid w:val="002A5B87"/>
    <w:rsid w:val="002A5C0E"/>
    <w:rsid w:val="002A61AB"/>
    <w:rsid w:val="002A75D8"/>
    <w:rsid w:val="002A7AEA"/>
    <w:rsid w:val="002A7E65"/>
    <w:rsid w:val="002B0659"/>
    <w:rsid w:val="002B0F3E"/>
    <w:rsid w:val="002B1374"/>
    <w:rsid w:val="002B2084"/>
    <w:rsid w:val="002B30C9"/>
    <w:rsid w:val="002B3169"/>
    <w:rsid w:val="002B338A"/>
    <w:rsid w:val="002B3547"/>
    <w:rsid w:val="002B36A3"/>
    <w:rsid w:val="002B4324"/>
    <w:rsid w:val="002B437C"/>
    <w:rsid w:val="002B4499"/>
    <w:rsid w:val="002B4900"/>
    <w:rsid w:val="002B4B05"/>
    <w:rsid w:val="002B4D7A"/>
    <w:rsid w:val="002B50A1"/>
    <w:rsid w:val="002B5485"/>
    <w:rsid w:val="002B56C3"/>
    <w:rsid w:val="002B5801"/>
    <w:rsid w:val="002B658F"/>
    <w:rsid w:val="002B67CD"/>
    <w:rsid w:val="002B6B1B"/>
    <w:rsid w:val="002B6E22"/>
    <w:rsid w:val="002B7457"/>
    <w:rsid w:val="002C064D"/>
    <w:rsid w:val="002C06FB"/>
    <w:rsid w:val="002C0717"/>
    <w:rsid w:val="002C0B08"/>
    <w:rsid w:val="002C0B69"/>
    <w:rsid w:val="002C13D3"/>
    <w:rsid w:val="002C2248"/>
    <w:rsid w:val="002C2DE3"/>
    <w:rsid w:val="002C2F3F"/>
    <w:rsid w:val="002C3732"/>
    <w:rsid w:val="002C42C7"/>
    <w:rsid w:val="002C431A"/>
    <w:rsid w:val="002C4839"/>
    <w:rsid w:val="002C5420"/>
    <w:rsid w:val="002C5651"/>
    <w:rsid w:val="002C5B09"/>
    <w:rsid w:val="002C5D38"/>
    <w:rsid w:val="002C660E"/>
    <w:rsid w:val="002C7775"/>
    <w:rsid w:val="002C7A5F"/>
    <w:rsid w:val="002C7FF4"/>
    <w:rsid w:val="002D064A"/>
    <w:rsid w:val="002D116E"/>
    <w:rsid w:val="002D1636"/>
    <w:rsid w:val="002D1D23"/>
    <w:rsid w:val="002D22D3"/>
    <w:rsid w:val="002D26CB"/>
    <w:rsid w:val="002D2AB2"/>
    <w:rsid w:val="002D2DAC"/>
    <w:rsid w:val="002D3951"/>
    <w:rsid w:val="002D40E4"/>
    <w:rsid w:val="002D47BB"/>
    <w:rsid w:val="002D47D6"/>
    <w:rsid w:val="002D5282"/>
    <w:rsid w:val="002D6484"/>
    <w:rsid w:val="002D6C19"/>
    <w:rsid w:val="002D6FDC"/>
    <w:rsid w:val="002D703B"/>
    <w:rsid w:val="002D7052"/>
    <w:rsid w:val="002D72CF"/>
    <w:rsid w:val="002D7570"/>
    <w:rsid w:val="002D7F69"/>
    <w:rsid w:val="002E03DB"/>
    <w:rsid w:val="002E050B"/>
    <w:rsid w:val="002E05D2"/>
    <w:rsid w:val="002E08B5"/>
    <w:rsid w:val="002E0F30"/>
    <w:rsid w:val="002E17C6"/>
    <w:rsid w:val="002E1C7B"/>
    <w:rsid w:val="002E1ED7"/>
    <w:rsid w:val="002E2DCF"/>
    <w:rsid w:val="002E36EA"/>
    <w:rsid w:val="002E5556"/>
    <w:rsid w:val="002E5A06"/>
    <w:rsid w:val="002E5A72"/>
    <w:rsid w:val="002E6A6B"/>
    <w:rsid w:val="002E7137"/>
    <w:rsid w:val="002E7D55"/>
    <w:rsid w:val="002E7F9E"/>
    <w:rsid w:val="002F03D1"/>
    <w:rsid w:val="002F0E2C"/>
    <w:rsid w:val="002F1B6B"/>
    <w:rsid w:val="002F1EF5"/>
    <w:rsid w:val="002F1F6F"/>
    <w:rsid w:val="002F20AF"/>
    <w:rsid w:val="002F21C0"/>
    <w:rsid w:val="002F26B3"/>
    <w:rsid w:val="002F2F21"/>
    <w:rsid w:val="002F304F"/>
    <w:rsid w:val="002F410A"/>
    <w:rsid w:val="002F4390"/>
    <w:rsid w:val="002F43DE"/>
    <w:rsid w:val="002F5517"/>
    <w:rsid w:val="002F5756"/>
    <w:rsid w:val="002F57A1"/>
    <w:rsid w:val="002F6080"/>
    <w:rsid w:val="002F6180"/>
    <w:rsid w:val="002F667A"/>
    <w:rsid w:val="002F7157"/>
    <w:rsid w:val="002F725A"/>
    <w:rsid w:val="002F7379"/>
    <w:rsid w:val="002F771A"/>
    <w:rsid w:val="002F79FB"/>
    <w:rsid w:val="002F7B3C"/>
    <w:rsid w:val="002F7D00"/>
    <w:rsid w:val="0030074E"/>
    <w:rsid w:val="0030181F"/>
    <w:rsid w:val="00301BC0"/>
    <w:rsid w:val="00301F84"/>
    <w:rsid w:val="00302F50"/>
    <w:rsid w:val="00303576"/>
    <w:rsid w:val="00303915"/>
    <w:rsid w:val="00303ABE"/>
    <w:rsid w:val="00303C50"/>
    <w:rsid w:val="00303FA6"/>
    <w:rsid w:val="00304339"/>
    <w:rsid w:val="00304A28"/>
    <w:rsid w:val="0030516C"/>
    <w:rsid w:val="00305429"/>
    <w:rsid w:val="00305E9C"/>
    <w:rsid w:val="00305F97"/>
    <w:rsid w:val="00306055"/>
    <w:rsid w:val="00306A29"/>
    <w:rsid w:val="00306B7A"/>
    <w:rsid w:val="0030741D"/>
    <w:rsid w:val="003102E3"/>
    <w:rsid w:val="00310501"/>
    <w:rsid w:val="00310CB1"/>
    <w:rsid w:val="003115AE"/>
    <w:rsid w:val="00311734"/>
    <w:rsid w:val="003117F2"/>
    <w:rsid w:val="00311F47"/>
    <w:rsid w:val="0031214E"/>
    <w:rsid w:val="00312C44"/>
    <w:rsid w:val="0031389B"/>
    <w:rsid w:val="003139C2"/>
    <w:rsid w:val="00313C24"/>
    <w:rsid w:val="00313E8D"/>
    <w:rsid w:val="003142EA"/>
    <w:rsid w:val="00314DA1"/>
    <w:rsid w:val="003154C2"/>
    <w:rsid w:val="003155D1"/>
    <w:rsid w:val="00316054"/>
    <w:rsid w:val="0031655D"/>
    <w:rsid w:val="00316ACD"/>
    <w:rsid w:val="0031752D"/>
    <w:rsid w:val="00317664"/>
    <w:rsid w:val="0031774A"/>
    <w:rsid w:val="00317A80"/>
    <w:rsid w:val="003203E8"/>
    <w:rsid w:val="003207E3"/>
    <w:rsid w:val="00320B2C"/>
    <w:rsid w:val="00320E0E"/>
    <w:rsid w:val="003213EF"/>
    <w:rsid w:val="00321B60"/>
    <w:rsid w:val="00321DE7"/>
    <w:rsid w:val="0032258F"/>
    <w:rsid w:val="00322769"/>
    <w:rsid w:val="00322B35"/>
    <w:rsid w:val="00323C12"/>
    <w:rsid w:val="00323D95"/>
    <w:rsid w:val="00324271"/>
    <w:rsid w:val="00324AB4"/>
    <w:rsid w:val="00324F1D"/>
    <w:rsid w:val="003255BE"/>
    <w:rsid w:val="00325A15"/>
    <w:rsid w:val="00326397"/>
    <w:rsid w:val="00327740"/>
    <w:rsid w:val="00327E34"/>
    <w:rsid w:val="0033087F"/>
    <w:rsid w:val="00330ADF"/>
    <w:rsid w:val="00330DAF"/>
    <w:rsid w:val="00330FA0"/>
    <w:rsid w:val="00331A6B"/>
    <w:rsid w:val="00332A88"/>
    <w:rsid w:val="003336C0"/>
    <w:rsid w:val="00333E47"/>
    <w:rsid w:val="0033482C"/>
    <w:rsid w:val="00334CBD"/>
    <w:rsid w:val="0033502B"/>
    <w:rsid w:val="0033540F"/>
    <w:rsid w:val="00335628"/>
    <w:rsid w:val="0033591B"/>
    <w:rsid w:val="00336526"/>
    <w:rsid w:val="00336B19"/>
    <w:rsid w:val="00337233"/>
    <w:rsid w:val="00337391"/>
    <w:rsid w:val="00337AB3"/>
    <w:rsid w:val="00337E5F"/>
    <w:rsid w:val="00340B12"/>
    <w:rsid w:val="00340C4E"/>
    <w:rsid w:val="00341489"/>
    <w:rsid w:val="0034154E"/>
    <w:rsid w:val="00341CA0"/>
    <w:rsid w:val="00341D89"/>
    <w:rsid w:val="003424C6"/>
    <w:rsid w:val="00342625"/>
    <w:rsid w:val="00343FEF"/>
    <w:rsid w:val="0034463E"/>
    <w:rsid w:val="003448A2"/>
    <w:rsid w:val="00344F38"/>
    <w:rsid w:val="003450F7"/>
    <w:rsid w:val="003460DC"/>
    <w:rsid w:val="003466CC"/>
    <w:rsid w:val="0034685D"/>
    <w:rsid w:val="00346A20"/>
    <w:rsid w:val="00346CC4"/>
    <w:rsid w:val="00346F7E"/>
    <w:rsid w:val="0034707A"/>
    <w:rsid w:val="003476BD"/>
    <w:rsid w:val="003479BB"/>
    <w:rsid w:val="00347D7F"/>
    <w:rsid w:val="003506FC"/>
    <w:rsid w:val="0035097E"/>
    <w:rsid w:val="00350ECF"/>
    <w:rsid w:val="00351E7F"/>
    <w:rsid w:val="003521D6"/>
    <w:rsid w:val="0035333B"/>
    <w:rsid w:val="00354C3F"/>
    <w:rsid w:val="0035567E"/>
    <w:rsid w:val="00355E97"/>
    <w:rsid w:val="003569D5"/>
    <w:rsid w:val="00357585"/>
    <w:rsid w:val="003576F8"/>
    <w:rsid w:val="003577EE"/>
    <w:rsid w:val="0036057B"/>
    <w:rsid w:val="00360D83"/>
    <w:rsid w:val="003612C8"/>
    <w:rsid w:val="00361486"/>
    <w:rsid w:val="00361689"/>
    <w:rsid w:val="00363DA7"/>
    <w:rsid w:val="00363DF4"/>
    <w:rsid w:val="003641F0"/>
    <w:rsid w:val="0036437F"/>
    <w:rsid w:val="00364E1D"/>
    <w:rsid w:val="00364FE3"/>
    <w:rsid w:val="003654A7"/>
    <w:rsid w:val="00365759"/>
    <w:rsid w:val="0036694A"/>
    <w:rsid w:val="0036727E"/>
    <w:rsid w:val="00367762"/>
    <w:rsid w:val="00367D0B"/>
    <w:rsid w:val="00367FCA"/>
    <w:rsid w:val="00370276"/>
    <w:rsid w:val="003704E6"/>
    <w:rsid w:val="00370BB8"/>
    <w:rsid w:val="00370CA7"/>
    <w:rsid w:val="00371788"/>
    <w:rsid w:val="00371DB1"/>
    <w:rsid w:val="003728B7"/>
    <w:rsid w:val="00372BB0"/>
    <w:rsid w:val="00372DBE"/>
    <w:rsid w:val="00373D74"/>
    <w:rsid w:val="00373FCB"/>
    <w:rsid w:val="003740D1"/>
    <w:rsid w:val="00374250"/>
    <w:rsid w:val="00374781"/>
    <w:rsid w:val="00375511"/>
    <w:rsid w:val="00375550"/>
    <w:rsid w:val="003755DA"/>
    <w:rsid w:val="003756CA"/>
    <w:rsid w:val="00375CCF"/>
    <w:rsid w:val="00375E26"/>
    <w:rsid w:val="00376934"/>
    <w:rsid w:val="0037751E"/>
    <w:rsid w:val="00377737"/>
    <w:rsid w:val="00380645"/>
    <w:rsid w:val="00380DEF"/>
    <w:rsid w:val="0038229F"/>
    <w:rsid w:val="003822F0"/>
    <w:rsid w:val="00382538"/>
    <w:rsid w:val="00382AA3"/>
    <w:rsid w:val="003831FB"/>
    <w:rsid w:val="00383252"/>
    <w:rsid w:val="00383D48"/>
    <w:rsid w:val="00384795"/>
    <w:rsid w:val="00384A4C"/>
    <w:rsid w:val="003853C3"/>
    <w:rsid w:val="00385431"/>
    <w:rsid w:val="0038649E"/>
    <w:rsid w:val="00386B3D"/>
    <w:rsid w:val="003870DC"/>
    <w:rsid w:val="00390508"/>
    <w:rsid w:val="00390BD8"/>
    <w:rsid w:val="003910F6"/>
    <w:rsid w:val="00391143"/>
    <w:rsid w:val="003913C1"/>
    <w:rsid w:val="003915CB"/>
    <w:rsid w:val="003919B8"/>
    <w:rsid w:val="00391DB5"/>
    <w:rsid w:val="003926E4"/>
    <w:rsid w:val="0039279F"/>
    <w:rsid w:val="00393DB6"/>
    <w:rsid w:val="00395157"/>
    <w:rsid w:val="00395A7E"/>
    <w:rsid w:val="00395D0D"/>
    <w:rsid w:val="00395EDF"/>
    <w:rsid w:val="0039620E"/>
    <w:rsid w:val="00396C0F"/>
    <w:rsid w:val="003974D1"/>
    <w:rsid w:val="00397672"/>
    <w:rsid w:val="0039771F"/>
    <w:rsid w:val="00397872"/>
    <w:rsid w:val="00397F86"/>
    <w:rsid w:val="003A00C1"/>
    <w:rsid w:val="003A01A3"/>
    <w:rsid w:val="003A0E79"/>
    <w:rsid w:val="003A12DF"/>
    <w:rsid w:val="003A156E"/>
    <w:rsid w:val="003A1A55"/>
    <w:rsid w:val="003A2364"/>
    <w:rsid w:val="003A283D"/>
    <w:rsid w:val="003A28E3"/>
    <w:rsid w:val="003A3D5C"/>
    <w:rsid w:val="003A48F6"/>
    <w:rsid w:val="003A525D"/>
    <w:rsid w:val="003A55B8"/>
    <w:rsid w:val="003A59F9"/>
    <w:rsid w:val="003A5AC2"/>
    <w:rsid w:val="003A6696"/>
    <w:rsid w:val="003A6B50"/>
    <w:rsid w:val="003A72F4"/>
    <w:rsid w:val="003B00F1"/>
    <w:rsid w:val="003B032A"/>
    <w:rsid w:val="003B10DA"/>
    <w:rsid w:val="003B1293"/>
    <w:rsid w:val="003B189D"/>
    <w:rsid w:val="003B1A14"/>
    <w:rsid w:val="003B1D07"/>
    <w:rsid w:val="003B1FED"/>
    <w:rsid w:val="003B2245"/>
    <w:rsid w:val="003B24C4"/>
    <w:rsid w:val="003B28F9"/>
    <w:rsid w:val="003B2E2D"/>
    <w:rsid w:val="003B3027"/>
    <w:rsid w:val="003B3584"/>
    <w:rsid w:val="003B41FB"/>
    <w:rsid w:val="003B47EB"/>
    <w:rsid w:val="003B4936"/>
    <w:rsid w:val="003B4F1E"/>
    <w:rsid w:val="003B56CC"/>
    <w:rsid w:val="003B5F57"/>
    <w:rsid w:val="003B6728"/>
    <w:rsid w:val="003B6836"/>
    <w:rsid w:val="003C052B"/>
    <w:rsid w:val="003C0C5B"/>
    <w:rsid w:val="003C104C"/>
    <w:rsid w:val="003C1B40"/>
    <w:rsid w:val="003C20CA"/>
    <w:rsid w:val="003C23B6"/>
    <w:rsid w:val="003C261F"/>
    <w:rsid w:val="003C2875"/>
    <w:rsid w:val="003C2FFA"/>
    <w:rsid w:val="003C30EB"/>
    <w:rsid w:val="003C3105"/>
    <w:rsid w:val="003C327E"/>
    <w:rsid w:val="003C33A5"/>
    <w:rsid w:val="003C34A5"/>
    <w:rsid w:val="003C38EC"/>
    <w:rsid w:val="003C4023"/>
    <w:rsid w:val="003C4222"/>
    <w:rsid w:val="003C4737"/>
    <w:rsid w:val="003C49E7"/>
    <w:rsid w:val="003C4D62"/>
    <w:rsid w:val="003C525C"/>
    <w:rsid w:val="003C5536"/>
    <w:rsid w:val="003C56D7"/>
    <w:rsid w:val="003C5977"/>
    <w:rsid w:val="003C59A2"/>
    <w:rsid w:val="003C5E41"/>
    <w:rsid w:val="003C7021"/>
    <w:rsid w:val="003C72F1"/>
    <w:rsid w:val="003C74D0"/>
    <w:rsid w:val="003C7578"/>
    <w:rsid w:val="003C7DCD"/>
    <w:rsid w:val="003C7F94"/>
    <w:rsid w:val="003D09C0"/>
    <w:rsid w:val="003D0A59"/>
    <w:rsid w:val="003D19DE"/>
    <w:rsid w:val="003D1A2A"/>
    <w:rsid w:val="003D241C"/>
    <w:rsid w:val="003D33F3"/>
    <w:rsid w:val="003D3C40"/>
    <w:rsid w:val="003D3D28"/>
    <w:rsid w:val="003D437D"/>
    <w:rsid w:val="003D47EC"/>
    <w:rsid w:val="003D48CA"/>
    <w:rsid w:val="003D4D15"/>
    <w:rsid w:val="003D53B9"/>
    <w:rsid w:val="003D563B"/>
    <w:rsid w:val="003D5D58"/>
    <w:rsid w:val="003D6832"/>
    <w:rsid w:val="003D6A47"/>
    <w:rsid w:val="003D6E75"/>
    <w:rsid w:val="003E0833"/>
    <w:rsid w:val="003E0AEC"/>
    <w:rsid w:val="003E0B80"/>
    <w:rsid w:val="003E0D39"/>
    <w:rsid w:val="003E14D0"/>
    <w:rsid w:val="003E1650"/>
    <w:rsid w:val="003E1F07"/>
    <w:rsid w:val="003E1FBA"/>
    <w:rsid w:val="003E2A63"/>
    <w:rsid w:val="003E2C89"/>
    <w:rsid w:val="003E2D06"/>
    <w:rsid w:val="003E2FD8"/>
    <w:rsid w:val="003E3286"/>
    <w:rsid w:val="003E3466"/>
    <w:rsid w:val="003E3B2B"/>
    <w:rsid w:val="003E4F8C"/>
    <w:rsid w:val="003E4FE9"/>
    <w:rsid w:val="003E6314"/>
    <w:rsid w:val="003E6672"/>
    <w:rsid w:val="003E7995"/>
    <w:rsid w:val="003E7EFF"/>
    <w:rsid w:val="003F00C9"/>
    <w:rsid w:val="003F0BD5"/>
    <w:rsid w:val="003F0E6E"/>
    <w:rsid w:val="003F1C6F"/>
    <w:rsid w:val="003F3349"/>
    <w:rsid w:val="003F33D2"/>
    <w:rsid w:val="003F3ED2"/>
    <w:rsid w:val="003F3F75"/>
    <w:rsid w:val="003F41C9"/>
    <w:rsid w:val="003F6D71"/>
    <w:rsid w:val="003F7339"/>
    <w:rsid w:val="003F7A28"/>
    <w:rsid w:val="003F7FB2"/>
    <w:rsid w:val="003F7FED"/>
    <w:rsid w:val="00400090"/>
    <w:rsid w:val="00400169"/>
    <w:rsid w:val="00400F35"/>
    <w:rsid w:val="0040110D"/>
    <w:rsid w:val="00401A0D"/>
    <w:rsid w:val="00401EFD"/>
    <w:rsid w:val="004023BD"/>
    <w:rsid w:val="00402536"/>
    <w:rsid w:val="00402563"/>
    <w:rsid w:val="004034BA"/>
    <w:rsid w:val="004034E9"/>
    <w:rsid w:val="00403555"/>
    <w:rsid w:val="00403685"/>
    <w:rsid w:val="00403864"/>
    <w:rsid w:val="00404622"/>
    <w:rsid w:val="00404869"/>
    <w:rsid w:val="0040516B"/>
    <w:rsid w:val="004052C9"/>
    <w:rsid w:val="004052CC"/>
    <w:rsid w:val="004059C0"/>
    <w:rsid w:val="00405EBC"/>
    <w:rsid w:val="004060FE"/>
    <w:rsid w:val="00406158"/>
    <w:rsid w:val="004061AC"/>
    <w:rsid w:val="00406E2E"/>
    <w:rsid w:val="00407877"/>
    <w:rsid w:val="00407D8F"/>
    <w:rsid w:val="0041179F"/>
    <w:rsid w:val="00411B62"/>
    <w:rsid w:val="00411B7B"/>
    <w:rsid w:val="00411C37"/>
    <w:rsid w:val="00412783"/>
    <w:rsid w:val="00412C6E"/>
    <w:rsid w:val="00412F54"/>
    <w:rsid w:val="00413D32"/>
    <w:rsid w:val="00413EE4"/>
    <w:rsid w:val="004142D5"/>
    <w:rsid w:val="00414635"/>
    <w:rsid w:val="00414837"/>
    <w:rsid w:val="00414914"/>
    <w:rsid w:val="00415354"/>
    <w:rsid w:val="00415FE5"/>
    <w:rsid w:val="00416406"/>
    <w:rsid w:val="00416A78"/>
    <w:rsid w:val="00417E79"/>
    <w:rsid w:val="004210C0"/>
    <w:rsid w:val="004216CC"/>
    <w:rsid w:val="004217D6"/>
    <w:rsid w:val="00421A4F"/>
    <w:rsid w:val="00422284"/>
    <w:rsid w:val="00422D25"/>
    <w:rsid w:val="00422F22"/>
    <w:rsid w:val="0042312A"/>
    <w:rsid w:val="004231C7"/>
    <w:rsid w:val="004238B4"/>
    <w:rsid w:val="00423A73"/>
    <w:rsid w:val="00424E78"/>
    <w:rsid w:val="004254E7"/>
    <w:rsid w:val="00425EF8"/>
    <w:rsid w:val="00426379"/>
    <w:rsid w:val="0042690A"/>
    <w:rsid w:val="00426BC1"/>
    <w:rsid w:val="00430362"/>
    <w:rsid w:val="00430535"/>
    <w:rsid w:val="00430E05"/>
    <w:rsid w:val="0043101B"/>
    <w:rsid w:val="00431286"/>
    <w:rsid w:val="0043136E"/>
    <w:rsid w:val="00431C24"/>
    <w:rsid w:val="00431D0B"/>
    <w:rsid w:val="00432763"/>
    <w:rsid w:val="00433B8C"/>
    <w:rsid w:val="00433D1F"/>
    <w:rsid w:val="00433F1A"/>
    <w:rsid w:val="00434231"/>
    <w:rsid w:val="00435315"/>
    <w:rsid w:val="00435F3F"/>
    <w:rsid w:val="0043606D"/>
    <w:rsid w:val="004367F9"/>
    <w:rsid w:val="00437DD2"/>
    <w:rsid w:val="004403F3"/>
    <w:rsid w:val="00440401"/>
    <w:rsid w:val="004405B4"/>
    <w:rsid w:val="00441467"/>
    <w:rsid w:val="00441C3D"/>
    <w:rsid w:val="00441C9D"/>
    <w:rsid w:val="00441EF1"/>
    <w:rsid w:val="00442076"/>
    <w:rsid w:val="00442409"/>
    <w:rsid w:val="0044284C"/>
    <w:rsid w:val="00442DFF"/>
    <w:rsid w:val="00443539"/>
    <w:rsid w:val="004436AA"/>
    <w:rsid w:val="00444076"/>
    <w:rsid w:val="00444351"/>
    <w:rsid w:val="00444B38"/>
    <w:rsid w:val="00444E46"/>
    <w:rsid w:val="004452C2"/>
    <w:rsid w:val="00445330"/>
    <w:rsid w:val="004453EF"/>
    <w:rsid w:val="004459B8"/>
    <w:rsid w:val="00445C83"/>
    <w:rsid w:val="00446888"/>
    <w:rsid w:val="00447177"/>
    <w:rsid w:val="0044722D"/>
    <w:rsid w:val="004476B7"/>
    <w:rsid w:val="00447747"/>
    <w:rsid w:val="00447D80"/>
    <w:rsid w:val="004515CE"/>
    <w:rsid w:val="004519EA"/>
    <w:rsid w:val="00452334"/>
    <w:rsid w:val="004528C3"/>
    <w:rsid w:val="00452B4D"/>
    <w:rsid w:val="00452EC7"/>
    <w:rsid w:val="004532C0"/>
    <w:rsid w:val="00453F4A"/>
    <w:rsid w:val="004540A5"/>
    <w:rsid w:val="004540B6"/>
    <w:rsid w:val="004541B5"/>
    <w:rsid w:val="004543FD"/>
    <w:rsid w:val="0045499A"/>
    <w:rsid w:val="00454F6B"/>
    <w:rsid w:val="00456365"/>
    <w:rsid w:val="004566AC"/>
    <w:rsid w:val="00456830"/>
    <w:rsid w:val="0045695C"/>
    <w:rsid w:val="00456D61"/>
    <w:rsid w:val="00456E5E"/>
    <w:rsid w:val="00457747"/>
    <w:rsid w:val="0046023F"/>
    <w:rsid w:val="00461593"/>
    <w:rsid w:val="00461595"/>
    <w:rsid w:val="004617D7"/>
    <w:rsid w:val="00461B58"/>
    <w:rsid w:val="00462686"/>
    <w:rsid w:val="00462E58"/>
    <w:rsid w:val="004634CF"/>
    <w:rsid w:val="00463A52"/>
    <w:rsid w:val="004641FA"/>
    <w:rsid w:val="0046436D"/>
    <w:rsid w:val="004649DB"/>
    <w:rsid w:val="00464A29"/>
    <w:rsid w:val="00464A6A"/>
    <w:rsid w:val="00464B53"/>
    <w:rsid w:val="004658D2"/>
    <w:rsid w:val="004659E4"/>
    <w:rsid w:val="00465D1C"/>
    <w:rsid w:val="00465EE2"/>
    <w:rsid w:val="00466955"/>
    <w:rsid w:val="00466DC9"/>
    <w:rsid w:val="00467A00"/>
    <w:rsid w:val="00467A79"/>
    <w:rsid w:val="00467CCF"/>
    <w:rsid w:val="0047046F"/>
    <w:rsid w:val="004713AC"/>
    <w:rsid w:val="0047151A"/>
    <w:rsid w:val="00471EDB"/>
    <w:rsid w:val="004728BD"/>
    <w:rsid w:val="00474263"/>
    <w:rsid w:val="00474336"/>
    <w:rsid w:val="0047553A"/>
    <w:rsid w:val="00476037"/>
    <w:rsid w:val="004760C8"/>
    <w:rsid w:val="00476D38"/>
    <w:rsid w:val="00477AF7"/>
    <w:rsid w:val="00477B25"/>
    <w:rsid w:val="004807D9"/>
    <w:rsid w:val="0048136B"/>
    <w:rsid w:val="00481B2C"/>
    <w:rsid w:val="00482620"/>
    <w:rsid w:val="0048288D"/>
    <w:rsid w:val="004829E7"/>
    <w:rsid w:val="00482BB8"/>
    <w:rsid w:val="00483C2D"/>
    <w:rsid w:val="00483C2E"/>
    <w:rsid w:val="00484022"/>
    <w:rsid w:val="0048402F"/>
    <w:rsid w:val="004847C1"/>
    <w:rsid w:val="00484CCC"/>
    <w:rsid w:val="00484EA6"/>
    <w:rsid w:val="00484F46"/>
    <w:rsid w:val="00485210"/>
    <w:rsid w:val="004857CF"/>
    <w:rsid w:val="004862FD"/>
    <w:rsid w:val="00486359"/>
    <w:rsid w:val="004865EC"/>
    <w:rsid w:val="00486E68"/>
    <w:rsid w:val="0048723D"/>
    <w:rsid w:val="00487D06"/>
    <w:rsid w:val="00487FF8"/>
    <w:rsid w:val="00490233"/>
    <w:rsid w:val="00490E72"/>
    <w:rsid w:val="00490EF5"/>
    <w:rsid w:val="004912F5"/>
    <w:rsid w:val="00491B34"/>
    <w:rsid w:val="00492044"/>
    <w:rsid w:val="004920BF"/>
    <w:rsid w:val="0049232F"/>
    <w:rsid w:val="0049233C"/>
    <w:rsid w:val="004925FB"/>
    <w:rsid w:val="00492917"/>
    <w:rsid w:val="00492B2D"/>
    <w:rsid w:val="00493561"/>
    <w:rsid w:val="004953F6"/>
    <w:rsid w:val="00495422"/>
    <w:rsid w:val="00495C42"/>
    <w:rsid w:val="00495DAA"/>
    <w:rsid w:val="00495DC5"/>
    <w:rsid w:val="004970EB"/>
    <w:rsid w:val="00497FDE"/>
    <w:rsid w:val="004A002F"/>
    <w:rsid w:val="004A007B"/>
    <w:rsid w:val="004A0544"/>
    <w:rsid w:val="004A1656"/>
    <w:rsid w:val="004A1C08"/>
    <w:rsid w:val="004A2422"/>
    <w:rsid w:val="004A25D9"/>
    <w:rsid w:val="004A28A7"/>
    <w:rsid w:val="004A2B0D"/>
    <w:rsid w:val="004A36C6"/>
    <w:rsid w:val="004A38E5"/>
    <w:rsid w:val="004A42A3"/>
    <w:rsid w:val="004A44E2"/>
    <w:rsid w:val="004A51AE"/>
    <w:rsid w:val="004A6334"/>
    <w:rsid w:val="004A689E"/>
    <w:rsid w:val="004A691C"/>
    <w:rsid w:val="004A693B"/>
    <w:rsid w:val="004A6A19"/>
    <w:rsid w:val="004A717F"/>
    <w:rsid w:val="004A7E2E"/>
    <w:rsid w:val="004A7F93"/>
    <w:rsid w:val="004B0D43"/>
    <w:rsid w:val="004B1D42"/>
    <w:rsid w:val="004B229B"/>
    <w:rsid w:val="004B2818"/>
    <w:rsid w:val="004B2AB2"/>
    <w:rsid w:val="004B2CAC"/>
    <w:rsid w:val="004B32FD"/>
    <w:rsid w:val="004B34DD"/>
    <w:rsid w:val="004B372C"/>
    <w:rsid w:val="004B3738"/>
    <w:rsid w:val="004B3C03"/>
    <w:rsid w:val="004B40DC"/>
    <w:rsid w:val="004B4433"/>
    <w:rsid w:val="004B4850"/>
    <w:rsid w:val="004B4A5B"/>
    <w:rsid w:val="004B5202"/>
    <w:rsid w:val="004B6161"/>
    <w:rsid w:val="004B619A"/>
    <w:rsid w:val="004B6896"/>
    <w:rsid w:val="004B6F64"/>
    <w:rsid w:val="004B7361"/>
    <w:rsid w:val="004B7811"/>
    <w:rsid w:val="004B7B8C"/>
    <w:rsid w:val="004C0080"/>
    <w:rsid w:val="004C00E6"/>
    <w:rsid w:val="004C0645"/>
    <w:rsid w:val="004C0A36"/>
    <w:rsid w:val="004C0BB9"/>
    <w:rsid w:val="004C16A3"/>
    <w:rsid w:val="004C171B"/>
    <w:rsid w:val="004C232F"/>
    <w:rsid w:val="004C2428"/>
    <w:rsid w:val="004C24E8"/>
    <w:rsid w:val="004C276F"/>
    <w:rsid w:val="004C2EFD"/>
    <w:rsid w:val="004C327B"/>
    <w:rsid w:val="004C3753"/>
    <w:rsid w:val="004C3DC9"/>
    <w:rsid w:val="004C4B07"/>
    <w:rsid w:val="004C5044"/>
    <w:rsid w:val="004C5056"/>
    <w:rsid w:val="004C5159"/>
    <w:rsid w:val="004C598C"/>
    <w:rsid w:val="004C6F68"/>
    <w:rsid w:val="004C797F"/>
    <w:rsid w:val="004C7AFA"/>
    <w:rsid w:val="004D046B"/>
    <w:rsid w:val="004D1528"/>
    <w:rsid w:val="004D26D0"/>
    <w:rsid w:val="004D2C98"/>
    <w:rsid w:val="004D2DFF"/>
    <w:rsid w:val="004D30C4"/>
    <w:rsid w:val="004D3DAD"/>
    <w:rsid w:val="004D3FA8"/>
    <w:rsid w:val="004D3FE9"/>
    <w:rsid w:val="004D4F57"/>
    <w:rsid w:val="004D64CF"/>
    <w:rsid w:val="004D6986"/>
    <w:rsid w:val="004D71F1"/>
    <w:rsid w:val="004D73DF"/>
    <w:rsid w:val="004E09BC"/>
    <w:rsid w:val="004E0DD2"/>
    <w:rsid w:val="004E12AC"/>
    <w:rsid w:val="004E12CE"/>
    <w:rsid w:val="004E13A3"/>
    <w:rsid w:val="004E1411"/>
    <w:rsid w:val="004E1D11"/>
    <w:rsid w:val="004E2287"/>
    <w:rsid w:val="004E22F8"/>
    <w:rsid w:val="004E2800"/>
    <w:rsid w:val="004E33A0"/>
    <w:rsid w:val="004E358F"/>
    <w:rsid w:val="004E3E6D"/>
    <w:rsid w:val="004E3EB1"/>
    <w:rsid w:val="004E4BE5"/>
    <w:rsid w:val="004E4BF5"/>
    <w:rsid w:val="004E5608"/>
    <w:rsid w:val="004E5664"/>
    <w:rsid w:val="004E5964"/>
    <w:rsid w:val="004E59A5"/>
    <w:rsid w:val="004E5C50"/>
    <w:rsid w:val="004E61DD"/>
    <w:rsid w:val="004E65D3"/>
    <w:rsid w:val="004E735F"/>
    <w:rsid w:val="004E767E"/>
    <w:rsid w:val="004F0172"/>
    <w:rsid w:val="004F066D"/>
    <w:rsid w:val="004F0E63"/>
    <w:rsid w:val="004F13A8"/>
    <w:rsid w:val="004F1436"/>
    <w:rsid w:val="004F1BD2"/>
    <w:rsid w:val="004F2208"/>
    <w:rsid w:val="004F22E3"/>
    <w:rsid w:val="004F2602"/>
    <w:rsid w:val="004F422B"/>
    <w:rsid w:val="004F517F"/>
    <w:rsid w:val="004F5262"/>
    <w:rsid w:val="004F5DDC"/>
    <w:rsid w:val="004F63DF"/>
    <w:rsid w:val="004F69B4"/>
    <w:rsid w:val="004F6A84"/>
    <w:rsid w:val="004F6A8C"/>
    <w:rsid w:val="004F7B2F"/>
    <w:rsid w:val="004F7D91"/>
    <w:rsid w:val="00500832"/>
    <w:rsid w:val="005009C5"/>
    <w:rsid w:val="00500B21"/>
    <w:rsid w:val="00500B3A"/>
    <w:rsid w:val="005015D1"/>
    <w:rsid w:val="00501AB1"/>
    <w:rsid w:val="0050223D"/>
    <w:rsid w:val="0050223E"/>
    <w:rsid w:val="00502313"/>
    <w:rsid w:val="005025BC"/>
    <w:rsid w:val="00502D6E"/>
    <w:rsid w:val="00503D89"/>
    <w:rsid w:val="005043B0"/>
    <w:rsid w:val="00504B65"/>
    <w:rsid w:val="00504C91"/>
    <w:rsid w:val="005066AC"/>
    <w:rsid w:val="00506A99"/>
    <w:rsid w:val="00506E04"/>
    <w:rsid w:val="00506E25"/>
    <w:rsid w:val="00507021"/>
    <w:rsid w:val="00507A8E"/>
    <w:rsid w:val="005100C6"/>
    <w:rsid w:val="00510608"/>
    <w:rsid w:val="00510D28"/>
    <w:rsid w:val="00511130"/>
    <w:rsid w:val="00511515"/>
    <w:rsid w:val="0051164F"/>
    <w:rsid w:val="00512AFB"/>
    <w:rsid w:val="0051327A"/>
    <w:rsid w:val="0051330E"/>
    <w:rsid w:val="00513887"/>
    <w:rsid w:val="00513B24"/>
    <w:rsid w:val="00513C12"/>
    <w:rsid w:val="00514AC5"/>
    <w:rsid w:val="00514F26"/>
    <w:rsid w:val="005154D6"/>
    <w:rsid w:val="00515903"/>
    <w:rsid w:val="00516870"/>
    <w:rsid w:val="00516A60"/>
    <w:rsid w:val="00516A93"/>
    <w:rsid w:val="00517079"/>
    <w:rsid w:val="005175BD"/>
    <w:rsid w:val="00517ABE"/>
    <w:rsid w:val="00517BED"/>
    <w:rsid w:val="00521CB6"/>
    <w:rsid w:val="00522826"/>
    <w:rsid w:val="00522DE7"/>
    <w:rsid w:val="00523639"/>
    <w:rsid w:val="0052431A"/>
    <w:rsid w:val="0052496B"/>
    <w:rsid w:val="00525328"/>
    <w:rsid w:val="00525C4C"/>
    <w:rsid w:val="005263DE"/>
    <w:rsid w:val="005266C9"/>
    <w:rsid w:val="00526E45"/>
    <w:rsid w:val="005270E2"/>
    <w:rsid w:val="00527739"/>
    <w:rsid w:val="00527DA1"/>
    <w:rsid w:val="00530044"/>
    <w:rsid w:val="0053044F"/>
    <w:rsid w:val="00530E61"/>
    <w:rsid w:val="0053112F"/>
    <w:rsid w:val="005313F4"/>
    <w:rsid w:val="005315DD"/>
    <w:rsid w:val="005321FB"/>
    <w:rsid w:val="0053283C"/>
    <w:rsid w:val="00532D95"/>
    <w:rsid w:val="005339FB"/>
    <w:rsid w:val="00534123"/>
    <w:rsid w:val="00534282"/>
    <w:rsid w:val="00534398"/>
    <w:rsid w:val="005344EE"/>
    <w:rsid w:val="005346FD"/>
    <w:rsid w:val="0053550A"/>
    <w:rsid w:val="00535DFC"/>
    <w:rsid w:val="00536012"/>
    <w:rsid w:val="0053677B"/>
    <w:rsid w:val="005367E9"/>
    <w:rsid w:val="00536804"/>
    <w:rsid w:val="00537BDF"/>
    <w:rsid w:val="0054001C"/>
    <w:rsid w:val="00540973"/>
    <w:rsid w:val="00540983"/>
    <w:rsid w:val="005414AF"/>
    <w:rsid w:val="0054171D"/>
    <w:rsid w:val="00542037"/>
    <w:rsid w:val="0054208D"/>
    <w:rsid w:val="005421E1"/>
    <w:rsid w:val="005426C5"/>
    <w:rsid w:val="005428F2"/>
    <w:rsid w:val="00542DD2"/>
    <w:rsid w:val="00542EDA"/>
    <w:rsid w:val="00543BAB"/>
    <w:rsid w:val="00543FAE"/>
    <w:rsid w:val="00544137"/>
    <w:rsid w:val="00544AF9"/>
    <w:rsid w:val="00545737"/>
    <w:rsid w:val="0054576A"/>
    <w:rsid w:val="005458B6"/>
    <w:rsid w:val="005468C3"/>
    <w:rsid w:val="00547230"/>
    <w:rsid w:val="00550113"/>
    <w:rsid w:val="00551006"/>
    <w:rsid w:val="00551877"/>
    <w:rsid w:val="00551CFE"/>
    <w:rsid w:val="00551D12"/>
    <w:rsid w:val="00551D48"/>
    <w:rsid w:val="00552637"/>
    <w:rsid w:val="0055269B"/>
    <w:rsid w:val="005528E1"/>
    <w:rsid w:val="00552C9A"/>
    <w:rsid w:val="00553060"/>
    <w:rsid w:val="0055308A"/>
    <w:rsid w:val="005534D2"/>
    <w:rsid w:val="00553813"/>
    <w:rsid w:val="005548F2"/>
    <w:rsid w:val="00554C6F"/>
    <w:rsid w:val="00554DBA"/>
    <w:rsid w:val="00554EE7"/>
    <w:rsid w:val="005552C8"/>
    <w:rsid w:val="0055596B"/>
    <w:rsid w:val="00555AE6"/>
    <w:rsid w:val="00555AF1"/>
    <w:rsid w:val="00555D89"/>
    <w:rsid w:val="00555DA2"/>
    <w:rsid w:val="00555E72"/>
    <w:rsid w:val="00555EDF"/>
    <w:rsid w:val="0055627B"/>
    <w:rsid w:val="005563BC"/>
    <w:rsid w:val="0055650A"/>
    <w:rsid w:val="00556D33"/>
    <w:rsid w:val="00556D6A"/>
    <w:rsid w:val="00556FB3"/>
    <w:rsid w:val="00557D71"/>
    <w:rsid w:val="0056096F"/>
    <w:rsid w:val="00560A8B"/>
    <w:rsid w:val="0056145A"/>
    <w:rsid w:val="00562103"/>
    <w:rsid w:val="00562957"/>
    <w:rsid w:val="00562BE6"/>
    <w:rsid w:val="00562C41"/>
    <w:rsid w:val="00563D06"/>
    <w:rsid w:val="00563EEC"/>
    <w:rsid w:val="00564312"/>
    <w:rsid w:val="00564523"/>
    <w:rsid w:val="00564EF4"/>
    <w:rsid w:val="0056533B"/>
    <w:rsid w:val="0056559D"/>
    <w:rsid w:val="005665F3"/>
    <w:rsid w:val="00566665"/>
    <w:rsid w:val="00567201"/>
    <w:rsid w:val="0056750E"/>
    <w:rsid w:val="00567AF9"/>
    <w:rsid w:val="00567B43"/>
    <w:rsid w:val="005700D9"/>
    <w:rsid w:val="00570267"/>
    <w:rsid w:val="005702A7"/>
    <w:rsid w:val="005704A7"/>
    <w:rsid w:val="005709AE"/>
    <w:rsid w:val="00570BAD"/>
    <w:rsid w:val="0057148B"/>
    <w:rsid w:val="00571C4A"/>
    <w:rsid w:val="00572548"/>
    <w:rsid w:val="00572584"/>
    <w:rsid w:val="005727F6"/>
    <w:rsid w:val="00572D92"/>
    <w:rsid w:val="00572E09"/>
    <w:rsid w:val="00573C5F"/>
    <w:rsid w:val="00573F70"/>
    <w:rsid w:val="00574023"/>
    <w:rsid w:val="0057430F"/>
    <w:rsid w:val="005744B9"/>
    <w:rsid w:val="005745C7"/>
    <w:rsid w:val="00574AD0"/>
    <w:rsid w:val="00575595"/>
    <w:rsid w:val="00575A4D"/>
    <w:rsid w:val="00575B91"/>
    <w:rsid w:val="00576AD2"/>
    <w:rsid w:val="00577FE8"/>
    <w:rsid w:val="00580232"/>
    <w:rsid w:val="0058040E"/>
    <w:rsid w:val="005804B7"/>
    <w:rsid w:val="005813EB"/>
    <w:rsid w:val="0058163E"/>
    <w:rsid w:val="00581E4C"/>
    <w:rsid w:val="00581F16"/>
    <w:rsid w:val="00581F4E"/>
    <w:rsid w:val="0058203C"/>
    <w:rsid w:val="00582292"/>
    <w:rsid w:val="00582304"/>
    <w:rsid w:val="00582629"/>
    <w:rsid w:val="00582A02"/>
    <w:rsid w:val="00582A15"/>
    <w:rsid w:val="00582B00"/>
    <w:rsid w:val="00582EE6"/>
    <w:rsid w:val="00583A21"/>
    <w:rsid w:val="00584620"/>
    <w:rsid w:val="00585BE6"/>
    <w:rsid w:val="00585ED9"/>
    <w:rsid w:val="00586FB7"/>
    <w:rsid w:val="005875DB"/>
    <w:rsid w:val="00587671"/>
    <w:rsid w:val="00587AF4"/>
    <w:rsid w:val="00587CE3"/>
    <w:rsid w:val="00587FF8"/>
    <w:rsid w:val="005900CB"/>
    <w:rsid w:val="005901A7"/>
    <w:rsid w:val="00590268"/>
    <w:rsid w:val="00590431"/>
    <w:rsid w:val="00591546"/>
    <w:rsid w:val="0059168F"/>
    <w:rsid w:val="00591CB2"/>
    <w:rsid w:val="005921E8"/>
    <w:rsid w:val="00592EF1"/>
    <w:rsid w:val="00593593"/>
    <w:rsid w:val="005937CC"/>
    <w:rsid w:val="00594162"/>
    <w:rsid w:val="00594C9E"/>
    <w:rsid w:val="00595A1D"/>
    <w:rsid w:val="00595BDA"/>
    <w:rsid w:val="00595C16"/>
    <w:rsid w:val="00597483"/>
    <w:rsid w:val="005975F8"/>
    <w:rsid w:val="00597AC2"/>
    <w:rsid w:val="00597E29"/>
    <w:rsid w:val="005A009B"/>
    <w:rsid w:val="005A0CD0"/>
    <w:rsid w:val="005A0F05"/>
    <w:rsid w:val="005A17BE"/>
    <w:rsid w:val="005A1990"/>
    <w:rsid w:val="005A19E3"/>
    <w:rsid w:val="005A1B20"/>
    <w:rsid w:val="005A2343"/>
    <w:rsid w:val="005A26A2"/>
    <w:rsid w:val="005A26AC"/>
    <w:rsid w:val="005A2F26"/>
    <w:rsid w:val="005A2FD7"/>
    <w:rsid w:val="005A3985"/>
    <w:rsid w:val="005A4618"/>
    <w:rsid w:val="005A4714"/>
    <w:rsid w:val="005A47A1"/>
    <w:rsid w:val="005A4F07"/>
    <w:rsid w:val="005A4F28"/>
    <w:rsid w:val="005A50EC"/>
    <w:rsid w:val="005A596A"/>
    <w:rsid w:val="005A5B69"/>
    <w:rsid w:val="005A6095"/>
    <w:rsid w:val="005A61D7"/>
    <w:rsid w:val="005A74A0"/>
    <w:rsid w:val="005B0119"/>
    <w:rsid w:val="005B1DD6"/>
    <w:rsid w:val="005B3873"/>
    <w:rsid w:val="005B4237"/>
    <w:rsid w:val="005B477A"/>
    <w:rsid w:val="005B5045"/>
    <w:rsid w:val="005B556B"/>
    <w:rsid w:val="005B5F11"/>
    <w:rsid w:val="005B6736"/>
    <w:rsid w:val="005B75AB"/>
    <w:rsid w:val="005C02C6"/>
    <w:rsid w:val="005C0578"/>
    <w:rsid w:val="005C0934"/>
    <w:rsid w:val="005C0E36"/>
    <w:rsid w:val="005C1424"/>
    <w:rsid w:val="005C176F"/>
    <w:rsid w:val="005C1D39"/>
    <w:rsid w:val="005C1D46"/>
    <w:rsid w:val="005C1D8E"/>
    <w:rsid w:val="005C201A"/>
    <w:rsid w:val="005C2905"/>
    <w:rsid w:val="005C2C2B"/>
    <w:rsid w:val="005C3E3F"/>
    <w:rsid w:val="005C4822"/>
    <w:rsid w:val="005C4B64"/>
    <w:rsid w:val="005C55FE"/>
    <w:rsid w:val="005C5E5E"/>
    <w:rsid w:val="005C6066"/>
    <w:rsid w:val="005C606A"/>
    <w:rsid w:val="005C62D3"/>
    <w:rsid w:val="005C7123"/>
    <w:rsid w:val="005C74EB"/>
    <w:rsid w:val="005C769A"/>
    <w:rsid w:val="005C7F5C"/>
    <w:rsid w:val="005D0B79"/>
    <w:rsid w:val="005D1206"/>
    <w:rsid w:val="005D19F2"/>
    <w:rsid w:val="005D2925"/>
    <w:rsid w:val="005D2C8A"/>
    <w:rsid w:val="005D2DC2"/>
    <w:rsid w:val="005D30F3"/>
    <w:rsid w:val="005D376B"/>
    <w:rsid w:val="005D37EA"/>
    <w:rsid w:val="005D3864"/>
    <w:rsid w:val="005D3FF4"/>
    <w:rsid w:val="005D4059"/>
    <w:rsid w:val="005D490C"/>
    <w:rsid w:val="005D4C92"/>
    <w:rsid w:val="005D58B6"/>
    <w:rsid w:val="005D5984"/>
    <w:rsid w:val="005D5A12"/>
    <w:rsid w:val="005D62C8"/>
    <w:rsid w:val="005D633A"/>
    <w:rsid w:val="005D6491"/>
    <w:rsid w:val="005D6543"/>
    <w:rsid w:val="005D7574"/>
    <w:rsid w:val="005E00A8"/>
    <w:rsid w:val="005E0614"/>
    <w:rsid w:val="005E0680"/>
    <w:rsid w:val="005E090B"/>
    <w:rsid w:val="005E0A4E"/>
    <w:rsid w:val="005E0D95"/>
    <w:rsid w:val="005E101B"/>
    <w:rsid w:val="005E1276"/>
    <w:rsid w:val="005E1893"/>
    <w:rsid w:val="005E1AF7"/>
    <w:rsid w:val="005E1C1B"/>
    <w:rsid w:val="005E1E81"/>
    <w:rsid w:val="005E2275"/>
    <w:rsid w:val="005E2847"/>
    <w:rsid w:val="005E2A1A"/>
    <w:rsid w:val="005E374F"/>
    <w:rsid w:val="005E49A6"/>
    <w:rsid w:val="005E5196"/>
    <w:rsid w:val="005E5BF9"/>
    <w:rsid w:val="005E6776"/>
    <w:rsid w:val="005E6CA7"/>
    <w:rsid w:val="005E7C1C"/>
    <w:rsid w:val="005E7F26"/>
    <w:rsid w:val="005F0038"/>
    <w:rsid w:val="005F0549"/>
    <w:rsid w:val="005F0750"/>
    <w:rsid w:val="005F0B1A"/>
    <w:rsid w:val="005F0D1D"/>
    <w:rsid w:val="005F0EA9"/>
    <w:rsid w:val="005F110B"/>
    <w:rsid w:val="005F1F0F"/>
    <w:rsid w:val="005F228F"/>
    <w:rsid w:val="005F23EF"/>
    <w:rsid w:val="005F2A40"/>
    <w:rsid w:val="005F34D3"/>
    <w:rsid w:val="005F3D36"/>
    <w:rsid w:val="005F3DC6"/>
    <w:rsid w:val="005F4222"/>
    <w:rsid w:val="005F48B5"/>
    <w:rsid w:val="005F4AD5"/>
    <w:rsid w:val="005F5031"/>
    <w:rsid w:val="005F52FC"/>
    <w:rsid w:val="005F54AC"/>
    <w:rsid w:val="005F5D5F"/>
    <w:rsid w:val="005F6639"/>
    <w:rsid w:val="005F6673"/>
    <w:rsid w:val="005F69A1"/>
    <w:rsid w:val="005F6A52"/>
    <w:rsid w:val="005F6AAD"/>
    <w:rsid w:val="005F6ADA"/>
    <w:rsid w:val="006002FD"/>
    <w:rsid w:val="00600E97"/>
    <w:rsid w:val="00601476"/>
    <w:rsid w:val="006019FE"/>
    <w:rsid w:val="00601A68"/>
    <w:rsid w:val="00601D34"/>
    <w:rsid w:val="00602A6B"/>
    <w:rsid w:val="00602B12"/>
    <w:rsid w:val="00602E76"/>
    <w:rsid w:val="00602E85"/>
    <w:rsid w:val="006031E7"/>
    <w:rsid w:val="00603BD1"/>
    <w:rsid w:val="006042D9"/>
    <w:rsid w:val="006044FD"/>
    <w:rsid w:val="006045B0"/>
    <w:rsid w:val="006047C2"/>
    <w:rsid w:val="00604DDF"/>
    <w:rsid w:val="006050D7"/>
    <w:rsid w:val="00605381"/>
    <w:rsid w:val="00605551"/>
    <w:rsid w:val="00605958"/>
    <w:rsid w:val="00605C29"/>
    <w:rsid w:val="00606E14"/>
    <w:rsid w:val="00607636"/>
    <w:rsid w:val="00607975"/>
    <w:rsid w:val="00607D9A"/>
    <w:rsid w:val="00610151"/>
    <w:rsid w:val="006116BA"/>
    <w:rsid w:val="0061178F"/>
    <w:rsid w:val="0061303F"/>
    <w:rsid w:val="0061382E"/>
    <w:rsid w:val="0061428B"/>
    <w:rsid w:val="006147E3"/>
    <w:rsid w:val="00615836"/>
    <w:rsid w:val="0061594B"/>
    <w:rsid w:val="00615DED"/>
    <w:rsid w:val="0061601E"/>
    <w:rsid w:val="00616306"/>
    <w:rsid w:val="0061719C"/>
    <w:rsid w:val="0061721A"/>
    <w:rsid w:val="00617289"/>
    <w:rsid w:val="00617604"/>
    <w:rsid w:val="006178F9"/>
    <w:rsid w:val="0062022D"/>
    <w:rsid w:val="006211D3"/>
    <w:rsid w:val="00621732"/>
    <w:rsid w:val="00621784"/>
    <w:rsid w:val="0062195F"/>
    <w:rsid w:val="00621E30"/>
    <w:rsid w:val="0062213A"/>
    <w:rsid w:val="006224ED"/>
    <w:rsid w:val="0062250F"/>
    <w:rsid w:val="006229FA"/>
    <w:rsid w:val="00622E95"/>
    <w:rsid w:val="00622F18"/>
    <w:rsid w:val="00623DE0"/>
    <w:rsid w:val="0062476C"/>
    <w:rsid w:val="00624E1B"/>
    <w:rsid w:val="00625077"/>
    <w:rsid w:val="006252B2"/>
    <w:rsid w:val="0062585D"/>
    <w:rsid w:val="00625A72"/>
    <w:rsid w:val="00625E69"/>
    <w:rsid w:val="00626B24"/>
    <w:rsid w:val="006270B5"/>
    <w:rsid w:val="00627180"/>
    <w:rsid w:val="00630A50"/>
    <w:rsid w:val="0063164C"/>
    <w:rsid w:val="00631A34"/>
    <w:rsid w:val="0063296A"/>
    <w:rsid w:val="006329D9"/>
    <w:rsid w:val="00632D65"/>
    <w:rsid w:val="00632EE6"/>
    <w:rsid w:val="006331B9"/>
    <w:rsid w:val="00633212"/>
    <w:rsid w:val="00633520"/>
    <w:rsid w:val="00634003"/>
    <w:rsid w:val="006340CC"/>
    <w:rsid w:val="006342D6"/>
    <w:rsid w:val="006344B1"/>
    <w:rsid w:val="00634606"/>
    <w:rsid w:val="006347D7"/>
    <w:rsid w:val="006348DE"/>
    <w:rsid w:val="00634F51"/>
    <w:rsid w:val="00635627"/>
    <w:rsid w:val="0063575F"/>
    <w:rsid w:val="00635881"/>
    <w:rsid w:val="006359DC"/>
    <w:rsid w:val="00635B13"/>
    <w:rsid w:val="00635E8C"/>
    <w:rsid w:val="00635ED5"/>
    <w:rsid w:val="0063605E"/>
    <w:rsid w:val="00636CBA"/>
    <w:rsid w:val="006375DE"/>
    <w:rsid w:val="0064024E"/>
    <w:rsid w:val="006403BE"/>
    <w:rsid w:val="00641006"/>
    <w:rsid w:val="0064198F"/>
    <w:rsid w:val="00641CC3"/>
    <w:rsid w:val="00641DD7"/>
    <w:rsid w:val="00642135"/>
    <w:rsid w:val="006424CD"/>
    <w:rsid w:val="00642536"/>
    <w:rsid w:val="00644094"/>
    <w:rsid w:val="00644665"/>
    <w:rsid w:val="00645FDC"/>
    <w:rsid w:val="006463E6"/>
    <w:rsid w:val="00646993"/>
    <w:rsid w:val="00646BC0"/>
    <w:rsid w:val="00647187"/>
    <w:rsid w:val="0064793A"/>
    <w:rsid w:val="00647F58"/>
    <w:rsid w:val="0065067B"/>
    <w:rsid w:val="00650FA7"/>
    <w:rsid w:val="0065102A"/>
    <w:rsid w:val="006512B8"/>
    <w:rsid w:val="006522E5"/>
    <w:rsid w:val="00652CDE"/>
    <w:rsid w:val="006530B5"/>
    <w:rsid w:val="00653B83"/>
    <w:rsid w:val="0065406B"/>
    <w:rsid w:val="0065478C"/>
    <w:rsid w:val="00655659"/>
    <w:rsid w:val="00655EBB"/>
    <w:rsid w:val="00660470"/>
    <w:rsid w:val="0066096E"/>
    <w:rsid w:val="00660CFC"/>
    <w:rsid w:val="006623A4"/>
    <w:rsid w:val="0066286E"/>
    <w:rsid w:val="00662902"/>
    <w:rsid w:val="00662A60"/>
    <w:rsid w:val="00662AC2"/>
    <w:rsid w:val="00662AD2"/>
    <w:rsid w:val="00662C56"/>
    <w:rsid w:val="0066353B"/>
    <w:rsid w:val="00663C71"/>
    <w:rsid w:val="00664197"/>
    <w:rsid w:val="0066425F"/>
    <w:rsid w:val="0066436F"/>
    <w:rsid w:val="00665298"/>
    <w:rsid w:val="0066550A"/>
    <w:rsid w:val="006667F1"/>
    <w:rsid w:val="006668D5"/>
    <w:rsid w:val="00666920"/>
    <w:rsid w:val="00666945"/>
    <w:rsid w:val="00666D88"/>
    <w:rsid w:val="00666E4E"/>
    <w:rsid w:val="006675D1"/>
    <w:rsid w:val="0067037E"/>
    <w:rsid w:val="0067045B"/>
    <w:rsid w:val="00670575"/>
    <w:rsid w:val="00670E4F"/>
    <w:rsid w:val="00670F0B"/>
    <w:rsid w:val="0067117B"/>
    <w:rsid w:val="00671586"/>
    <w:rsid w:val="006719DB"/>
    <w:rsid w:val="00671B1B"/>
    <w:rsid w:val="0067224C"/>
    <w:rsid w:val="006726CC"/>
    <w:rsid w:val="0067292D"/>
    <w:rsid w:val="0067379D"/>
    <w:rsid w:val="00673A29"/>
    <w:rsid w:val="006742D1"/>
    <w:rsid w:val="00675FE3"/>
    <w:rsid w:val="0067621A"/>
    <w:rsid w:val="0067668E"/>
    <w:rsid w:val="0067681F"/>
    <w:rsid w:val="00676CA0"/>
    <w:rsid w:val="00677014"/>
    <w:rsid w:val="0067721B"/>
    <w:rsid w:val="00677E61"/>
    <w:rsid w:val="00681B2F"/>
    <w:rsid w:val="00681DDF"/>
    <w:rsid w:val="0068234F"/>
    <w:rsid w:val="0068291E"/>
    <w:rsid w:val="00682AC6"/>
    <w:rsid w:val="00682CA8"/>
    <w:rsid w:val="0068306B"/>
    <w:rsid w:val="00683173"/>
    <w:rsid w:val="00683D30"/>
    <w:rsid w:val="00684620"/>
    <w:rsid w:val="00685091"/>
    <w:rsid w:val="0068526A"/>
    <w:rsid w:val="0068559D"/>
    <w:rsid w:val="00686577"/>
    <w:rsid w:val="00687249"/>
    <w:rsid w:val="00687792"/>
    <w:rsid w:val="006879EE"/>
    <w:rsid w:val="00690017"/>
    <w:rsid w:val="00690031"/>
    <w:rsid w:val="006902BF"/>
    <w:rsid w:val="00690A7E"/>
    <w:rsid w:val="00690ED1"/>
    <w:rsid w:val="0069176D"/>
    <w:rsid w:val="00691815"/>
    <w:rsid w:val="006918E9"/>
    <w:rsid w:val="00692241"/>
    <w:rsid w:val="00693022"/>
    <w:rsid w:val="00693944"/>
    <w:rsid w:val="00693A67"/>
    <w:rsid w:val="006944E9"/>
    <w:rsid w:val="006948AC"/>
    <w:rsid w:val="006953ED"/>
    <w:rsid w:val="0069552B"/>
    <w:rsid w:val="006964B5"/>
    <w:rsid w:val="00697868"/>
    <w:rsid w:val="006978C8"/>
    <w:rsid w:val="00697DD2"/>
    <w:rsid w:val="00697F19"/>
    <w:rsid w:val="00697FBA"/>
    <w:rsid w:val="006A0603"/>
    <w:rsid w:val="006A142E"/>
    <w:rsid w:val="006A193C"/>
    <w:rsid w:val="006A1C79"/>
    <w:rsid w:val="006A1C9C"/>
    <w:rsid w:val="006A1D25"/>
    <w:rsid w:val="006A226E"/>
    <w:rsid w:val="006A279B"/>
    <w:rsid w:val="006A288F"/>
    <w:rsid w:val="006A2D76"/>
    <w:rsid w:val="006A2EA7"/>
    <w:rsid w:val="006A3992"/>
    <w:rsid w:val="006A4ABE"/>
    <w:rsid w:val="006A4BDF"/>
    <w:rsid w:val="006A4BF2"/>
    <w:rsid w:val="006A4DD0"/>
    <w:rsid w:val="006A4E0C"/>
    <w:rsid w:val="006A52A8"/>
    <w:rsid w:val="006A5F5B"/>
    <w:rsid w:val="006A60A4"/>
    <w:rsid w:val="006A60F4"/>
    <w:rsid w:val="006A6FF6"/>
    <w:rsid w:val="006A711C"/>
    <w:rsid w:val="006A7187"/>
    <w:rsid w:val="006A7AC3"/>
    <w:rsid w:val="006B0207"/>
    <w:rsid w:val="006B15F9"/>
    <w:rsid w:val="006B1C91"/>
    <w:rsid w:val="006B1CDF"/>
    <w:rsid w:val="006B1D2D"/>
    <w:rsid w:val="006B22E3"/>
    <w:rsid w:val="006B25C3"/>
    <w:rsid w:val="006B2B7D"/>
    <w:rsid w:val="006B2CD1"/>
    <w:rsid w:val="006B2ED2"/>
    <w:rsid w:val="006B2EFF"/>
    <w:rsid w:val="006B2F65"/>
    <w:rsid w:val="006B3815"/>
    <w:rsid w:val="006B3858"/>
    <w:rsid w:val="006B4B9C"/>
    <w:rsid w:val="006B4C48"/>
    <w:rsid w:val="006B5381"/>
    <w:rsid w:val="006B54D4"/>
    <w:rsid w:val="006B554D"/>
    <w:rsid w:val="006B61EA"/>
    <w:rsid w:val="006B622A"/>
    <w:rsid w:val="006B6BFA"/>
    <w:rsid w:val="006B6E19"/>
    <w:rsid w:val="006B79E1"/>
    <w:rsid w:val="006B7AC1"/>
    <w:rsid w:val="006B7E96"/>
    <w:rsid w:val="006C06D9"/>
    <w:rsid w:val="006C1148"/>
    <w:rsid w:val="006C1526"/>
    <w:rsid w:val="006C1675"/>
    <w:rsid w:val="006C17B3"/>
    <w:rsid w:val="006C1EFE"/>
    <w:rsid w:val="006C2328"/>
    <w:rsid w:val="006C2869"/>
    <w:rsid w:val="006C2F2D"/>
    <w:rsid w:val="006C35D6"/>
    <w:rsid w:val="006C39C2"/>
    <w:rsid w:val="006C4839"/>
    <w:rsid w:val="006C5270"/>
    <w:rsid w:val="006C5DD1"/>
    <w:rsid w:val="006C6D4D"/>
    <w:rsid w:val="006C6F1D"/>
    <w:rsid w:val="006C725B"/>
    <w:rsid w:val="006C780B"/>
    <w:rsid w:val="006C7C9D"/>
    <w:rsid w:val="006C7E56"/>
    <w:rsid w:val="006D0A51"/>
    <w:rsid w:val="006D0C1D"/>
    <w:rsid w:val="006D1245"/>
    <w:rsid w:val="006D138F"/>
    <w:rsid w:val="006D1C22"/>
    <w:rsid w:val="006D1C9D"/>
    <w:rsid w:val="006D2395"/>
    <w:rsid w:val="006D263F"/>
    <w:rsid w:val="006D29AE"/>
    <w:rsid w:val="006D2BC2"/>
    <w:rsid w:val="006D2CB8"/>
    <w:rsid w:val="006D3017"/>
    <w:rsid w:val="006D31CE"/>
    <w:rsid w:val="006D3242"/>
    <w:rsid w:val="006D3C84"/>
    <w:rsid w:val="006D3FE9"/>
    <w:rsid w:val="006D4294"/>
    <w:rsid w:val="006D5036"/>
    <w:rsid w:val="006D5554"/>
    <w:rsid w:val="006D5635"/>
    <w:rsid w:val="006D61FE"/>
    <w:rsid w:val="006D6E6F"/>
    <w:rsid w:val="006D7730"/>
    <w:rsid w:val="006D7797"/>
    <w:rsid w:val="006E00A2"/>
    <w:rsid w:val="006E021A"/>
    <w:rsid w:val="006E06DB"/>
    <w:rsid w:val="006E0D3F"/>
    <w:rsid w:val="006E0D7F"/>
    <w:rsid w:val="006E0EBB"/>
    <w:rsid w:val="006E17EE"/>
    <w:rsid w:val="006E1B87"/>
    <w:rsid w:val="006E1E66"/>
    <w:rsid w:val="006E2A48"/>
    <w:rsid w:val="006E2F87"/>
    <w:rsid w:val="006E344A"/>
    <w:rsid w:val="006E3F4F"/>
    <w:rsid w:val="006E4002"/>
    <w:rsid w:val="006E5013"/>
    <w:rsid w:val="006E5123"/>
    <w:rsid w:val="006E55E2"/>
    <w:rsid w:val="006E56AD"/>
    <w:rsid w:val="006E5949"/>
    <w:rsid w:val="006E6050"/>
    <w:rsid w:val="006E6596"/>
    <w:rsid w:val="006E6739"/>
    <w:rsid w:val="006E678F"/>
    <w:rsid w:val="006E6A87"/>
    <w:rsid w:val="006E6D72"/>
    <w:rsid w:val="006E7273"/>
    <w:rsid w:val="006E7681"/>
    <w:rsid w:val="006F0242"/>
    <w:rsid w:val="006F0258"/>
    <w:rsid w:val="006F06E4"/>
    <w:rsid w:val="006F0DA5"/>
    <w:rsid w:val="006F0EE8"/>
    <w:rsid w:val="006F12BE"/>
    <w:rsid w:val="006F1720"/>
    <w:rsid w:val="006F1751"/>
    <w:rsid w:val="006F1826"/>
    <w:rsid w:val="006F2248"/>
    <w:rsid w:val="006F237E"/>
    <w:rsid w:val="006F241D"/>
    <w:rsid w:val="006F2A47"/>
    <w:rsid w:val="006F2D36"/>
    <w:rsid w:val="006F2FF8"/>
    <w:rsid w:val="006F3C11"/>
    <w:rsid w:val="006F4548"/>
    <w:rsid w:val="006F5270"/>
    <w:rsid w:val="006F57D3"/>
    <w:rsid w:val="006F634E"/>
    <w:rsid w:val="006F6D61"/>
    <w:rsid w:val="006F6DAE"/>
    <w:rsid w:val="006F6ED9"/>
    <w:rsid w:val="006F733B"/>
    <w:rsid w:val="006F7881"/>
    <w:rsid w:val="006F7E55"/>
    <w:rsid w:val="007007BF"/>
    <w:rsid w:val="00700A7F"/>
    <w:rsid w:val="0070127B"/>
    <w:rsid w:val="0070153C"/>
    <w:rsid w:val="00701878"/>
    <w:rsid w:val="00701887"/>
    <w:rsid w:val="00701952"/>
    <w:rsid w:val="00701990"/>
    <w:rsid w:val="00701EAD"/>
    <w:rsid w:val="0070278C"/>
    <w:rsid w:val="00702A4C"/>
    <w:rsid w:val="00703303"/>
    <w:rsid w:val="007034F0"/>
    <w:rsid w:val="00703C25"/>
    <w:rsid w:val="00703F0C"/>
    <w:rsid w:val="0070438B"/>
    <w:rsid w:val="00704DF0"/>
    <w:rsid w:val="00704F18"/>
    <w:rsid w:val="00705222"/>
    <w:rsid w:val="00705763"/>
    <w:rsid w:val="00705C43"/>
    <w:rsid w:val="00705FFB"/>
    <w:rsid w:val="0070603A"/>
    <w:rsid w:val="00706341"/>
    <w:rsid w:val="00706841"/>
    <w:rsid w:val="00706A3F"/>
    <w:rsid w:val="00706A60"/>
    <w:rsid w:val="00707A80"/>
    <w:rsid w:val="00710063"/>
    <w:rsid w:val="00710397"/>
    <w:rsid w:val="00710603"/>
    <w:rsid w:val="00710B08"/>
    <w:rsid w:val="007114AE"/>
    <w:rsid w:val="007116BC"/>
    <w:rsid w:val="00712431"/>
    <w:rsid w:val="007130DC"/>
    <w:rsid w:val="00713426"/>
    <w:rsid w:val="0071346F"/>
    <w:rsid w:val="007141D6"/>
    <w:rsid w:val="00714258"/>
    <w:rsid w:val="007145F3"/>
    <w:rsid w:val="00714F7C"/>
    <w:rsid w:val="00715507"/>
    <w:rsid w:val="007156EC"/>
    <w:rsid w:val="00715F05"/>
    <w:rsid w:val="00716082"/>
    <w:rsid w:val="00716381"/>
    <w:rsid w:val="00716501"/>
    <w:rsid w:val="007168BD"/>
    <w:rsid w:val="007169B4"/>
    <w:rsid w:val="00716A8D"/>
    <w:rsid w:val="00717001"/>
    <w:rsid w:val="00717049"/>
    <w:rsid w:val="00717714"/>
    <w:rsid w:val="0072030A"/>
    <w:rsid w:val="007203E2"/>
    <w:rsid w:val="00720432"/>
    <w:rsid w:val="00720512"/>
    <w:rsid w:val="0072087A"/>
    <w:rsid w:val="0072165E"/>
    <w:rsid w:val="007216E3"/>
    <w:rsid w:val="00721B34"/>
    <w:rsid w:val="00722196"/>
    <w:rsid w:val="00722A69"/>
    <w:rsid w:val="00723B57"/>
    <w:rsid w:val="00723DE5"/>
    <w:rsid w:val="00724E70"/>
    <w:rsid w:val="00725033"/>
    <w:rsid w:val="007261A0"/>
    <w:rsid w:val="00727987"/>
    <w:rsid w:val="007279B5"/>
    <w:rsid w:val="00727A87"/>
    <w:rsid w:val="00731585"/>
    <w:rsid w:val="00732840"/>
    <w:rsid w:val="00732EF3"/>
    <w:rsid w:val="00732F7C"/>
    <w:rsid w:val="00733451"/>
    <w:rsid w:val="0073375C"/>
    <w:rsid w:val="00734905"/>
    <w:rsid w:val="0073492F"/>
    <w:rsid w:val="00734E9C"/>
    <w:rsid w:val="00735338"/>
    <w:rsid w:val="00735C81"/>
    <w:rsid w:val="007360A7"/>
    <w:rsid w:val="00736A14"/>
    <w:rsid w:val="00736E29"/>
    <w:rsid w:val="00737184"/>
    <w:rsid w:val="00737561"/>
    <w:rsid w:val="00737DA9"/>
    <w:rsid w:val="007408A6"/>
    <w:rsid w:val="00740C0E"/>
    <w:rsid w:val="00741393"/>
    <w:rsid w:val="0074180B"/>
    <w:rsid w:val="007426BD"/>
    <w:rsid w:val="0074283C"/>
    <w:rsid w:val="00743464"/>
    <w:rsid w:val="0074359C"/>
    <w:rsid w:val="00743BAF"/>
    <w:rsid w:val="007444C4"/>
    <w:rsid w:val="007446F3"/>
    <w:rsid w:val="007450A7"/>
    <w:rsid w:val="00745546"/>
    <w:rsid w:val="00745AB8"/>
    <w:rsid w:val="00745FC9"/>
    <w:rsid w:val="0074608E"/>
    <w:rsid w:val="007465A1"/>
    <w:rsid w:val="007466A8"/>
    <w:rsid w:val="00747613"/>
    <w:rsid w:val="007509E5"/>
    <w:rsid w:val="007510E2"/>
    <w:rsid w:val="007512AD"/>
    <w:rsid w:val="0075159B"/>
    <w:rsid w:val="00752472"/>
    <w:rsid w:val="00752ECA"/>
    <w:rsid w:val="007531FC"/>
    <w:rsid w:val="00754175"/>
    <w:rsid w:val="00754A7F"/>
    <w:rsid w:val="00754E07"/>
    <w:rsid w:val="00755488"/>
    <w:rsid w:val="0075557E"/>
    <w:rsid w:val="007558F4"/>
    <w:rsid w:val="00755E92"/>
    <w:rsid w:val="00756414"/>
    <w:rsid w:val="0075653C"/>
    <w:rsid w:val="00756D46"/>
    <w:rsid w:val="007570EA"/>
    <w:rsid w:val="00757380"/>
    <w:rsid w:val="0075791C"/>
    <w:rsid w:val="00757A08"/>
    <w:rsid w:val="00760427"/>
    <w:rsid w:val="00760B33"/>
    <w:rsid w:val="00760C4C"/>
    <w:rsid w:val="00760F8D"/>
    <w:rsid w:val="00761092"/>
    <w:rsid w:val="007615A3"/>
    <w:rsid w:val="007618AF"/>
    <w:rsid w:val="00762152"/>
    <w:rsid w:val="00762563"/>
    <w:rsid w:val="00762A47"/>
    <w:rsid w:val="00762AF1"/>
    <w:rsid w:val="007634CD"/>
    <w:rsid w:val="007637BA"/>
    <w:rsid w:val="00763B67"/>
    <w:rsid w:val="0076403C"/>
    <w:rsid w:val="00764326"/>
    <w:rsid w:val="00764336"/>
    <w:rsid w:val="00764C8F"/>
    <w:rsid w:val="007654D9"/>
    <w:rsid w:val="0076580A"/>
    <w:rsid w:val="00765945"/>
    <w:rsid w:val="0076595A"/>
    <w:rsid w:val="00765C28"/>
    <w:rsid w:val="00766A21"/>
    <w:rsid w:val="00766A62"/>
    <w:rsid w:val="00766FDE"/>
    <w:rsid w:val="00767C50"/>
    <w:rsid w:val="00770A49"/>
    <w:rsid w:val="007710AB"/>
    <w:rsid w:val="00771668"/>
    <w:rsid w:val="00771D8A"/>
    <w:rsid w:val="00771E76"/>
    <w:rsid w:val="00771FF0"/>
    <w:rsid w:val="0077241B"/>
    <w:rsid w:val="007733F3"/>
    <w:rsid w:val="0077379C"/>
    <w:rsid w:val="00773DCB"/>
    <w:rsid w:val="007744B5"/>
    <w:rsid w:val="007745D9"/>
    <w:rsid w:val="0077499A"/>
    <w:rsid w:val="007751DD"/>
    <w:rsid w:val="0077560A"/>
    <w:rsid w:val="00776568"/>
    <w:rsid w:val="007774AF"/>
    <w:rsid w:val="007804C4"/>
    <w:rsid w:val="00781475"/>
    <w:rsid w:val="00782691"/>
    <w:rsid w:val="007828AB"/>
    <w:rsid w:val="00782E04"/>
    <w:rsid w:val="00782EC6"/>
    <w:rsid w:val="00783B08"/>
    <w:rsid w:val="00783B59"/>
    <w:rsid w:val="00783B62"/>
    <w:rsid w:val="00783C5B"/>
    <w:rsid w:val="00784661"/>
    <w:rsid w:val="00784887"/>
    <w:rsid w:val="0078551B"/>
    <w:rsid w:val="00785CEA"/>
    <w:rsid w:val="00786006"/>
    <w:rsid w:val="00786435"/>
    <w:rsid w:val="0078687C"/>
    <w:rsid w:val="00787DBB"/>
    <w:rsid w:val="007905C6"/>
    <w:rsid w:val="007907F1"/>
    <w:rsid w:val="007909F3"/>
    <w:rsid w:val="0079149B"/>
    <w:rsid w:val="00791604"/>
    <w:rsid w:val="0079189F"/>
    <w:rsid w:val="0079408D"/>
    <w:rsid w:val="00794149"/>
    <w:rsid w:val="007941B6"/>
    <w:rsid w:val="00794648"/>
    <w:rsid w:val="007953BC"/>
    <w:rsid w:val="0079542A"/>
    <w:rsid w:val="007955D4"/>
    <w:rsid w:val="0079583B"/>
    <w:rsid w:val="00795AA7"/>
    <w:rsid w:val="00795E5E"/>
    <w:rsid w:val="007975EC"/>
    <w:rsid w:val="00797F06"/>
    <w:rsid w:val="00797F80"/>
    <w:rsid w:val="007A09B5"/>
    <w:rsid w:val="007A0F2B"/>
    <w:rsid w:val="007A1BF1"/>
    <w:rsid w:val="007A1C0A"/>
    <w:rsid w:val="007A2A8C"/>
    <w:rsid w:val="007A2E2A"/>
    <w:rsid w:val="007A31BE"/>
    <w:rsid w:val="007A3252"/>
    <w:rsid w:val="007A351C"/>
    <w:rsid w:val="007A396E"/>
    <w:rsid w:val="007A3C5A"/>
    <w:rsid w:val="007A55AE"/>
    <w:rsid w:val="007A5915"/>
    <w:rsid w:val="007A64B4"/>
    <w:rsid w:val="007A6664"/>
    <w:rsid w:val="007A7D49"/>
    <w:rsid w:val="007B0216"/>
    <w:rsid w:val="007B02A2"/>
    <w:rsid w:val="007B044D"/>
    <w:rsid w:val="007B080A"/>
    <w:rsid w:val="007B139D"/>
    <w:rsid w:val="007B14C5"/>
    <w:rsid w:val="007B247F"/>
    <w:rsid w:val="007B2573"/>
    <w:rsid w:val="007B3C91"/>
    <w:rsid w:val="007B3EC5"/>
    <w:rsid w:val="007B40D8"/>
    <w:rsid w:val="007B45DB"/>
    <w:rsid w:val="007B5C15"/>
    <w:rsid w:val="007B5C3B"/>
    <w:rsid w:val="007B5CA9"/>
    <w:rsid w:val="007B5CED"/>
    <w:rsid w:val="007B61EB"/>
    <w:rsid w:val="007B6707"/>
    <w:rsid w:val="007B69E0"/>
    <w:rsid w:val="007B7E7A"/>
    <w:rsid w:val="007C00D6"/>
    <w:rsid w:val="007C0455"/>
    <w:rsid w:val="007C0E32"/>
    <w:rsid w:val="007C0FB9"/>
    <w:rsid w:val="007C1019"/>
    <w:rsid w:val="007C1609"/>
    <w:rsid w:val="007C1681"/>
    <w:rsid w:val="007C1A84"/>
    <w:rsid w:val="007C2571"/>
    <w:rsid w:val="007C3010"/>
    <w:rsid w:val="007C31E2"/>
    <w:rsid w:val="007C31EF"/>
    <w:rsid w:val="007C3807"/>
    <w:rsid w:val="007C38BF"/>
    <w:rsid w:val="007C3EC4"/>
    <w:rsid w:val="007C4091"/>
    <w:rsid w:val="007C4202"/>
    <w:rsid w:val="007C542A"/>
    <w:rsid w:val="007C5CC6"/>
    <w:rsid w:val="007C6617"/>
    <w:rsid w:val="007C6696"/>
    <w:rsid w:val="007C695B"/>
    <w:rsid w:val="007C6F60"/>
    <w:rsid w:val="007C7551"/>
    <w:rsid w:val="007C75E9"/>
    <w:rsid w:val="007C7F3D"/>
    <w:rsid w:val="007D03A8"/>
    <w:rsid w:val="007D082E"/>
    <w:rsid w:val="007D0CD0"/>
    <w:rsid w:val="007D109B"/>
    <w:rsid w:val="007D11C5"/>
    <w:rsid w:val="007D1235"/>
    <w:rsid w:val="007D2034"/>
    <w:rsid w:val="007D20AE"/>
    <w:rsid w:val="007D23FF"/>
    <w:rsid w:val="007D2530"/>
    <w:rsid w:val="007D29E5"/>
    <w:rsid w:val="007D3027"/>
    <w:rsid w:val="007D3A47"/>
    <w:rsid w:val="007D428E"/>
    <w:rsid w:val="007D42CC"/>
    <w:rsid w:val="007D4E56"/>
    <w:rsid w:val="007D4F0F"/>
    <w:rsid w:val="007D5720"/>
    <w:rsid w:val="007D595C"/>
    <w:rsid w:val="007D5F05"/>
    <w:rsid w:val="007D6229"/>
    <w:rsid w:val="007D7A82"/>
    <w:rsid w:val="007D7F17"/>
    <w:rsid w:val="007E02B7"/>
    <w:rsid w:val="007E0D8F"/>
    <w:rsid w:val="007E1562"/>
    <w:rsid w:val="007E1715"/>
    <w:rsid w:val="007E1823"/>
    <w:rsid w:val="007E1C92"/>
    <w:rsid w:val="007E2902"/>
    <w:rsid w:val="007E33F7"/>
    <w:rsid w:val="007E4826"/>
    <w:rsid w:val="007E48AF"/>
    <w:rsid w:val="007E4C75"/>
    <w:rsid w:val="007E5141"/>
    <w:rsid w:val="007E5659"/>
    <w:rsid w:val="007E56EE"/>
    <w:rsid w:val="007E619D"/>
    <w:rsid w:val="007E65AD"/>
    <w:rsid w:val="007E7B52"/>
    <w:rsid w:val="007E7ED2"/>
    <w:rsid w:val="007F015F"/>
    <w:rsid w:val="007F0327"/>
    <w:rsid w:val="007F0B97"/>
    <w:rsid w:val="007F0E48"/>
    <w:rsid w:val="007F1091"/>
    <w:rsid w:val="007F169C"/>
    <w:rsid w:val="007F16C6"/>
    <w:rsid w:val="007F1AAA"/>
    <w:rsid w:val="007F317A"/>
    <w:rsid w:val="007F35D0"/>
    <w:rsid w:val="007F36FE"/>
    <w:rsid w:val="007F39FC"/>
    <w:rsid w:val="007F3F4E"/>
    <w:rsid w:val="007F413C"/>
    <w:rsid w:val="007F44CE"/>
    <w:rsid w:val="007F459D"/>
    <w:rsid w:val="007F52FF"/>
    <w:rsid w:val="007F5363"/>
    <w:rsid w:val="007F5959"/>
    <w:rsid w:val="007F6130"/>
    <w:rsid w:val="007F72FE"/>
    <w:rsid w:val="007F784C"/>
    <w:rsid w:val="007F7B86"/>
    <w:rsid w:val="008002A7"/>
    <w:rsid w:val="00800763"/>
    <w:rsid w:val="00800FA2"/>
    <w:rsid w:val="00800FF6"/>
    <w:rsid w:val="0080121B"/>
    <w:rsid w:val="008016A8"/>
    <w:rsid w:val="008016B2"/>
    <w:rsid w:val="00801CD5"/>
    <w:rsid w:val="00801DB7"/>
    <w:rsid w:val="008022CF"/>
    <w:rsid w:val="00802817"/>
    <w:rsid w:val="00802DED"/>
    <w:rsid w:val="008039C4"/>
    <w:rsid w:val="008048FC"/>
    <w:rsid w:val="00804B8E"/>
    <w:rsid w:val="00804F65"/>
    <w:rsid w:val="00805183"/>
    <w:rsid w:val="008051A1"/>
    <w:rsid w:val="0080599D"/>
    <w:rsid w:val="00805FBE"/>
    <w:rsid w:val="00806702"/>
    <w:rsid w:val="00806DD9"/>
    <w:rsid w:val="008071AA"/>
    <w:rsid w:val="00810175"/>
    <w:rsid w:val="008103FB"/>
    <w:rsid w:val="00810D5C"/>
    <w:rsid w:val="00810F8B"/>
    <w:rsid w:val="00811FBE"/>
    <w:rsid w:val="008120CD"/>
    <w:rsid w:val="00812243"/>
    <w:rsid w:val="00812B72"/>
    <w:rsid w:val="00813112"/>
    <w:rsid w:val="008141DE"/>
    <w:rsid w:val="00814241"/>
    <w:rsid w:val="00814A3E"/>
    <w:rsid w:val="008155F6"/>
    <w:rsid w:val="0081571F"/>
    <w:rsid w:val="008159B5"/>
    <w:rsid w:val="00815C0E"/>
    <w:rsid w:val="00816816"/>
    <w:rsid w:val="00816A1B"/>
    <w:rsid w:val="00816A20"/>
    <w:rsid w:val="00816FF2"/>
    <w:rsid w:val="0081712E"/>
    <w:rsid w:val="00817522"/>
    <w:rsid w:val="00817B54"/>
    <w:rsid w:val="00817BC1"/>
    <w:rsid w:val="00817F35"/>
    <w:rsid w:val="008207A2"/>
    <w:rsid w:val="00820CE0"/>
    <w:rsid w:val="008215EA"/>
    <w:rsid w:val="00821B7A"/>
    <w:rsid w:val="00822162"/>
    <w:rsid w:val="00822255"/>
    <w:rsid w:val="008224CE"/>
    <w:rsid w:val="008227A4"/>
    <w:rsid w:val="00823B1D"/>
    <w:rsid w:val="0082434B"/>
    <w:rsid w:val="00824E16"/>
    <w:rsid w:val="00824F95"/>
    <w:rsid w:val="00825990"/>
    <w:rsid w:val="00825CE9"/>
    <w:rsid w:val="00826250"/>
    <w:rsid w:val="008267A1"/>
    <w:rsid w:val="00826DC0"/>
    <w:rsid w:val="00826F43"/>
    <w:rsid w:val="00827019"/>
    <w:rsid w:val="00827B41"/>
    <w:rsid w:val="00830687"/>
    <w:rsid w:val="00830783"/>
    <w:rsid w:val="0083140F"/>
    <w:rsid w:val="008316AA"/>
    <w:rsid w:val="00831750"/>
    <w:rsid w:val="00831FF7"/>
    <w:rsid w:val="00832A2A"/>
    <w:rsid w:val="0083337D"/>
    <w:rsid w:val="008333EE"/>
    <w:rsid w:val="0083498D"/>
    <w:rsid w:val="00834CF1"/>
    <w:rsid w:val="00835911"/>
    <w:rsid w:val="00835CC0"/>
    <w:rsid w:val="00835FCF"/>
    <w:rsid w:val="008362A4"/>
    <w:rsid w:val="00836A83"/>
    <w:rsid w:val="00836BE0"/>
    <w:rsid w:val="00836D89"/>
    <w:rsid w:val="00837208"/>
    <w:rsid w:val="008405E0"/>
    <w:rsid w:val="00840644"/>
    <w:rsid w:val="0084064E"/>
    <w:rsid w:val="00841403"/>
    <w:rsid w:val="008418AB"/>
    <w:rsid w:val="00842263"/>
    <w:rsid w:val="0084231B"/>
    <w:rsid w:val="0084275E"/>
    <w:rsid w:val="00843406"/>
    <w:rsid w:val="008434E2"/>
    <w:rsid w:val="0084398E"/>
    <w:rsid w:val="00843EFD"/>
    <w:rsid w:val="00843FCD"/>
    <w:rsid w:val="008445BD"/>
    <w:rsid w:val="008448BB"/>
    <w:rsid w:val="00844A0F"/>
    <w:rsid w:val="00844A1F"/>
    <w:rsid w:val="008451DE"/>
    <w:rsid w:val="008452FB"/>
    <w:rsid w:val="0084530E"/>
    <w:rsid w:val="00845359"/>
    <w:rsid w:val="00845809"/>
    <w:rsid w:val="008465E1"/>
    <w:rsid w:val="00846617"/>
    <w:rsid w:val="00846F43"/>
    <w:rsid w:val="0084707D"/>
    <w:rsid w:val="008470A5"/>
    <w:rsid w:val="0084738D"/>
    <w:rsid w:val="00847B3E"/>
    <w:rsid w:val="008504E3"/>
    <w:rsid w:val="00852310"/>
    <w:rsid w:val="00852B47"/>
    <w:rsid w:val="00853301"/>
    <w:rsid w:val="00853605"/>
    <w:rsid w:val="00853BDD"/>
    <w:rsid w:val="00853D83"/>
    <w:rsid w:val="00853F6B"/>
    <w:rsid w:val="00853F6F"/>
    <w:rsid w:val="008547F6"/>
    <w:rsid w:val="00855B74"/>
    <w:rsid w:val="00856FEE"/>
    <w:rsid w:val="0085716C"/>
    <w:rsid w:val="008573D1"/>
    <w:rsid w:val="008576AC"/>
    <w:rsid w:val="008579AF"/>
    <w:rsid w:val="00857A13"/>
    <w:rsid w:val="00857A82"/>
    <w:rsid w:val="00857E1D"/>
    <w:rsid w:val="00857E6F"/>
    <w:rsid w:val="00860093"/>
    <w:rsid w:val="008601AC"/>
    <w:rsid w:val="00861954"/>
    <w:rsid w:val="00861D0D"/>
    <w:rsid w:val="00861E1E"/>
    <w:rsid w:val="00863AC0"/>
    <w:rsid w:val="00863ACF"/>
    <w:rsid w:val="00863E46"/>
    <w:rsid w:val="008646EC"/>
    <w:rsid w:val="00864B37"/>
    <w:rsid w:val="00864FAB"/>
    <w:rsid w:val="0086547A"/>
    <w:rsid w:val="0086656F"/>
    <w:rsid w:val="00866C3F"/>
    <w:rsid w:val="008670D3"/>
    <w:rsid w:val="00867340"/>
    <w:rsid w:val="008673F9"/>
    <w:rsid w:val="008674B6"/>
    <w:rsid w:val="00867A2F"/>
    <w:rsid w:val="00867ADC"/>
    <w:rsid w:val="008702A5"/>
    <w:rsid w:val="00870C5B"/>
    <w:rsid w:val="0087127C"/>
    <w:rsid w:val="00872999"/>
    <w:rsid w:val="008729C8"/>
    <w:rsid w:val="00872BBD"/>
    <w:rsid w:val="00872BF7"/>
    <w:rsid w:val="00873520"/>
    <w:rsid w:val="0087407A"/>
    <w:rsid w:val="008748B6"/>
    <w:rsid w:val="0087494C"/>
    <w:rsid w:val="00874A6E"/>
    <w:rsid w:val="00874F05"/>
    <w:rsid w:val="00875244"/>
    <w:rsid w:val="0087540A"/>
    <w:rsid w:val="00875926"/>
    <w:rsid w:val="00875B42"/>
    <w:rsid w:val="00875C3A"/>
    <w:rsid w:val="00875DEF"/>
    <w:rsid w:val="00875E06"/>
    <w:rsid w:val="00875F07"/>
    <w:rsid w:val="00875F43"/>
    <w:rsid w:val="0087633F"/>
    <w:rsid w:val="00876701"/>
    <w:rsid w:val="00876C34"/>
    <w:rsid w:val="0087708B"/>
    <w:rsid w:val="0087766E"/>
    <w:rsid w:val="00877E24"/>
    <w:rsid w:val="00880317"/>
    <w:rsid w:val="0088107C"/>
    <w:rsid w:val="008813B3"/>
    <w:rsid w:val="00881856"/>
    <w:rsid w:val="0088205A"/>
    <w:rsid w:val="0088268D"/>
    <w:rsid w:val="00882A07"/>
    <w:rsid w:val="00882E0F"/>
    <w:rsid w:val="0088309A"/>
    <w:rsid w:val="008830B0"/>
    <w:rsid w:val="008832C1"/>
    <w:rsid w:val="008836B9"/>
    <w:rsid w:val="00883E6A"/>
    <w:rsid w:val="0088411F"/>
    <w:rsid w:val="008842B5"/>
    <w:rsid w:val="008860B5"/>
    <w:rsid w:val="008860F1"/>
    <w:rsid w:val="008869AC"/>
    <w:rsid w:val="0089014A"/>
    <w:rsid w:val="00890A0F"/>
    <w:rsid w:val="00891046"/>
    <w:rsid w:val="008912CB"/>
    <w:rsid w:val="008913DF"/>
    <w:rsid w:val="00891B47"/>
    <w:rsid w:val="00891C38"/>
    <w:rsid w:val="00891CA5"/>
    <w:rsid w:val="00891E39"/>
    <w:rsid w:val="00892C81"/>
    <w:rsid w:val="008934F1"/>
    <w:rsid w:val="008934F2"/>
    <w:rsid w:val="00893712"/>
    <w:rsid w:val="00893A71"/>
    <w:rsid w:val="00895CD6"/>
    <w:rsid w:val="0089660E"/>
    <w:rsid w:val="00896759"/>
    <w:rsid w:val="00896A11"/>
    <w:rsid w:val="00896D1B"/>
    <w:rsid w:val="00896DE0"/>
    <w:rsid w:val="00896E6C"/>
    <w:rsid w:val="00897336"/>
    <w:rsid w:val="00897408"/>
    <w:rsid w:val="0089745A"/>
    <w:rsid w:val="008975ED"/>
    <w:rsid w:val="0089761B"/>
    <w:rsid w:val="00897B28"/>
    <w:rsid w:val="00897BFD"/>
    <w:rsid w:val="00897FCF"/>
    <w:rsid w:val="008A08A0"/>
    <w:rsid w:val="008A0914"/>
    <w:rsid w:val="008A0AC0"/>
    <w:rsid w:val="008A0FA6"/>
    <w:rsid w:val="008A1210"/>
    <w:rsid w:val="008A204A"/>
    <w:rsid w:val="008A210E"/>
    <w:rsid w:val="008A263D"/>
    <w:rsid w:val="008A263E"/>
    <w:rsid w:val="008A29F7"/>
    <w:rsid w:val="008A2AC1"/>
    <w:rsid w:val="008A2EA1"/>
    <w:rsid w:val="008A3BFE"/>
    <w:rsid w:val="008A3CDC"/>
    <w:rsid w:val="008A3D0F"/>
    <w:rsid w:val="008A4EF0"/>
    <w:rsid w:val="008A5278"/>
    <w:rsid w:val="008A53E8"/>
    <w:rsid w:val="008A5719"/>
    <w:rsid w:val="008A6611"/>
    <w:rsid w:val="008A66FE"/>
    <w:rsid w:val="008A69A8"/>
    <w:rsid w:val="008A6E17"/>
    <w:rsid w:val="008A738D"/>
    <w:rsid w:val="008B050C"/>
    <w:rsid w:val="008B0CD8"/>
    <w:rsid w:val="008B1182"/>
    <w:rsid w:val="008B15A7"/>
    <w:rsid w:val="008B1F17"/>
    <w:rsid w:val="008B2399"/>
    <w:rsid w:val="008B290A"/>
    <w:rsid w:val="008B32D3"/>
    <w:rsid w:val="008B46C0"/>
    <w:rsid w:val="008B4DB3"/>
    <w:rsid w:val="008B4F81"/>
    <w:rsid w:val="008B54AA"/>
    <w:rsid w:val="008B5D01"/>
    <w:rsid w:val="008B5F3A"/>
    <w:rsid w:val="008B6460"/>
    <w:rsid w:val="008B6C42"/>
    <w:rsid w:val="008B71B9"/>
    <w:rsid w:val="008C01EC"/>
    <w:rsid w:val="008C057F"/>
    <w:rsid w:val="008C0BD6"/>
    <w:rsid w:val="008C14C3"/>
    <w:rsid w:val="008C1F36"/>
    <w:rsid w:val="008C270C"/>
    <w:rsid w:val="008C2A0D"/>
    <w:rsid w:val="008C2A82"/>
    <w:rsid w:val="008C307D"/>
    <w:rsid w:val="008C3306"/>
    <w:rsid w:val="008C38A1"/>
    <w:rsid w:val="008C3BC5"/>
    <w:rsid w:val="008C3DAC"/>
    <w:rsid w:val="008C4C40"/>
    <w:rsid w:val="008C4E0F"/>
    <w:rsid w:val="008C53E6"/>
    <w:rsid w:val="008C59DA"/>
    <w:rsid w:val="008C5C4E"/>
    <w:rsid w:val="008C5DD1"/>
    <w:rsid w:val="008C629B"/>
    <w:rsid w:val="008C6311"/>
    <w:rsid w:val="008C7452"/>
    <w:rsid w:val="008D00DA"/>
    <w:rsid w:val="008D03D9"/>
    <w:rsid w:val="008D0BE9"/>
    <w:rsid w:val="008D0EC3"/>
    <w:rsid w:val="008D12FE"/>
    <w:rsid w:val="008D1416"/>
    <w:rsid w:val="008D185E"/>
    <w:rsid w:val="008D1B7D"/>
    <w:rsid w:val="008D237A"/>
    <w:rsid w:val="008D2423"/>
    <w:rsid w:val="008D2E75"/>
    <w:rsid w:val="008D357D"/>
    <w:rsid w:val="008D3840"/>
    <w:rsid w:val="008D4BC7"/>
    <w:rsid w:val="008D4BE6"/>
    <w:rsid w:val="008D54E1"/>
    <w:rsid w:val="008D5970"/>
    <w:rsid w:val="008D5E70"/>
    <w:rsid w:val="008D62F3"/>
    <w:rsid w:val="008D661D"/>
    <w:rsid w:val="008D6B91"/>
    <w:rsid w:val="008D70A8"/>
    <w:rsid w:val="008D7272"/>
    <w:rsid w:val="008D780A"/>
    <w:rsid w:val="008D7908"/>
    <w:rsid w:val="008D7D21"/>
    <w:rsid w:val="008D7E8E"/>
    <w:rsid w:val="008E0133"/>
    <w:rsid w:val="008E0AD8"/>
    <w:rsid w:val="008E101A"/>
    <w:rsid w:val="008E13B8"/>
    <w:rsid w:val="008E1B8D"/>
    <w:rsid w:val="008E2552"/>
    <w:rsid w:val="008E30DB"/>
    <w:rsid w:val="008E328F"/>
    <w:rsid w:val="008E3411"/>
    <w:rsid w:val="008E39DD"/>
    <w:rsid w:val="008E3B05"/>
    <w:rsid w:val="008E3E1F"/>
    <w:rsid w:val="008E3F93"/>
    <w:rsid w:val="008E4686"/>
    <w:rsid w:val="008E4958"/>
    <w:rsid w:val="008E497E"/>
    <w:rsid w:val="008E4F58"/>
    <w:rsid w:val="008E50EF"/>
    <w:rsid w:val="008E59C2"/>
    <w:rsid w:val="008E5F59"/>
    <w:rsid w:val="008E633A"/>
    <w:rsid w:val="008E641A"/>
    <w:rsid w:val="008E65C5"/>
    <w:rsid w:val="008E67AD"/>
    <w:rsid w:val="008E67F7"/>
    <w:rsid w:val="008E68CE"/>
    <w:rsid w:val="008E6B69"/>
    <w:rsid w:val="008E711C"/>
    <w:rsid w:val="008E72A0"/>
    <w:rsid w:val="008E72A8"/>
    <w:rsid w:val="008E74A6"/>
    <w:rsid w:val="008E77CB"/>
    <w:rsid w:val="008E7923"/>
    <w:rsid w:val="008F00C2"/>
    <w:rsid w:val="008F024F"/>
    <w:rsid w:val="008F02AB"/>
    <w:rsid w:val="008F0C1A"/>
    <w:rsid w:val="008F0E41"/>
    <w:rsid w:val="008F0F9F"/>
    <w:rsid w:val="008F1090"/>
    <w:rsid w:val="008F1412"/>
    <w:rsid w:val="008F14D6"/>
    <w:rsid w:val="008F156F"/>
    <w:rsid w:val="008F1C62"/>
    <w:rsid w:val="008F1FC2"/>
    <w:rsid w:val="008F2908"/>
    <w:rsid w:val="008F2E15"/>
    <w:rsid w:val="008F3C12"/>
    <w:rsid w:val="008F45B0"/>
    <w:rsid w:val="008F4E7A"/>
    <w:rsid w:val="008F5EAC"/>
    <w:rsid w:val="008F5F22"/>
    <w:rsid w:val="008F6BB9"/>
    <w:rsid w:val="008F6C98"/>
    <w:rsid w:val="008F6EE3"/>
    <w:rsid w:val="008F742B"/>
    <w:rsid w:val="0090051C"/>
    <w:rsid w:val="00900597"/>
    <w:rsid w:val="00901076"/>
    <w:rsid w:val="00901502"/>
    <w:rsid w:val="0090152E"/>
    <w:rsid w:val="009019C8"/>
    <w:rsid w:val="00901EB0"/>
    <w:rsid w:val="009026EC"/>
    <w:rsid w:val="00903262"/>
    <w:rsid w:val="00903A21"/>
    <w:rsid w:val="00904130"/>
    <w:rsid w:val="0090478F"/>
    <w:rsid w:val="00904944"/>
    <w:rsid w:val="0090517C"/>
    <w:rsid w:val="0090524C"/>
    <w:rsid w:val="00906314"/>
    <w:rsid w:val="009064BF"/>
    <w:rsid w:val="00906C50"/>
    <w:rsid w:val="009071E3"/>
    <w:rsid w:val="00907285"/>
    <w:rsid w:val="00907C72"/>
    <w:rsid w:val="0091011B"/>
    <w:rsid w:val="009104F0"/>
    <w:rsid w:val="00910B4A"/>
    <w:rsid w:val="00911008"/>
    <w:rsid w:val="00911517"/>
    <w:rsid w:val="009117CE"/>
    <w:rsid w:val="00911FE8"/>
    <w:rsid w:val="009123E6"/>
    <w:rsid w:val="00912956"/>
    <w:rsid w:val="00913367"/>
    <w:rsid w:val="0091378A"/>
    <w:rsid w:val="00914416"/>
    <w:rsid w:val="00914E95"/>
    <w:rsid w:val="009153F8"/>
    <w:rsid w:val="0091540D"/>
    <w:rsid w:val="00915D90"/>
    <w:rsid w:val="00916200"/>
    <w:rsid w:val="0091620B"/>
    <w:rsid w:val="00916D8F"/>
    <w:rsid w:val="0091751D"/>
    <w:rsid w:val="00917F28"/>
    <w:rsid w:val="009201EC"/>
    <w:rsid w:val="00920899"/>
    <w:rsid w:val="00920FE6"/>
    <w:rsid w:val="00921352"/>
    <w:rsid w:val="009217DB"/>
    <w:rsid w:val="009218BF"/>
    <w:rsid w:val="00921D32"/>
    <w:rsid w:val="0092203F"/>
    <w:rsid w:val="00922521"/>
    <w:rsid w:val="00922F80"/>
    <w:rsid w:val="00924472"/>
    <w:rsid w:val="0092463A"/>
    <w:rsid w:val="009246EE"/>
    <w:rsid w:val="00924B8C"/>
    <w:rsid w:val="00925290"/>
    <w:rsid w:val="009252BA"/>
    <w:rsid w:val="00925E39"/>
    <w:rsid w:val="00925ED7"/>
    <w:rsid w:val="0092650C"/>
    <w:rsid w:val="0092667F"/>
    <w:rsid w:val="00926E28"/>
    <w:rsid w:val="0092723E"/>
    <w:rsid w:val="00927697"/>
    <w:rsid w:val="009276D6"/>
    <w:rsid w:val="00927866"/>
    <w:rsid w:val="00927CE7"/>
    <w:rsid w:val="009308CB"/>
    <w:rsid w:val="00930DB4"/>
    <w:rsid w:val="009310C7"/>
    <w:rsid w:val="009312AC"/>
    <w:rsid w:val="0093169C"/>
    <w:rsid w:val="009317AC"/>
    <w:rsid w:val="009317F2"/>
    <w:rsid w:val="00931CC8"/>
    <w:rsid w:val="00931DB6"/>
    <w:rsid w:val="0093202A"/>
    <w:rsid w:val="00932492"/>
    <w:rsid w:val="00932A92"/>
    <w:rsid w:val="00932BC8"/>
    <w:rsid w:val="00933006"/>
    <w:rsid w:val="009334B0"/>
    <w:rsid w:val="009335DF"/>
    <w:rsid w:val="00933700"/>
    <w:rsid w:val="00933797"/>
    <w:rsid w:val="009339DB"/>
    <w:rsid w:val="00933BF3"/>
    <w:rsid w:val="00934667"/>
    <w:rsid w:val="00934AF7"/>
    <w:rsid w:val="009357E8"/>
    <w:rsid w:val="00935987"/>
    <w:rsid w:val="00935C7C"/>
    <w:rsid w:val="0093628E"/>
    <w:rsid w:val="00936629"/>
    <w:rsid w:val="0093663B"/>
    <w:rsid w:val="00936C73"/>
    <w:rsid w:val="00936CEA"/>
    <w:rsid w:val="00937081"/>
    <w:rsid w:val="00937ACB"/>
    <w:rsid w:val="00937C6F"/>
    <w:rsid w:val="00940EA4"/>
    <w:rsid w:val="00941189"/>
    <w:rsid w:val="0094184A"/>
    <w:rsid w:val="009418B6"/>
    <w:rsid w:val="009419FF"/>
    <w:rsid w:val="00941ADA"/>
    <w:rsid w:val="00941E2B"/>
    <w:rsid w:val="00941FAB"/>
    <w:rsid w:val="00942075"/>
    <w:rsid w:val="009425D6"/>
    <w:rsid w:val="00942CED"/>
    <w:rsid w:val="00943A49"/>
    <w:rsid w:val="009440DC"/>
    <w:rsid w:val="0094466E"/>
    <w:rsid w:val="009448D8"/>
    <w:rsid w:val="00944CFA"/>
    <w:rsid w:val="00944FB5"/>
    <w:rsid w:val="009451F1"/>
    <w:rsid w:val="00945228"/>
    <w:rsid w:val="00945340"/>
    <w:rsid w:val="009455B9"/>
    <w:rsid w:val="0094620D"/>
    <w:rsid w:val="0094628F"/>
    <w:rsid w:val="0094635E"/>
    <w:rsid w:val="009466A3"/>
    <w:rsid w:val="00946BBD"/>
    <w:rsid w:val="009472D7"/>
    <w:rsid w:val="0094796E"/>
    <w:rsid w:val="009479DB"/>
    <w:rsid w:val="009508EB"/>
    <w:rsid w:val="00950C0D"/>
    <w:rsid w:val="00951266"/>
    <w:rsid w:val="0095142E"/>
    <w:rsid w:val="009514ED"/>
    <w:rsid w:val="0095165A"/>
    <w:rsid w:val="00951830"/>
    <w:rsid w:val="009518DF"/>
    <w:rsid w:val="00951A7F"/>
    <w:rsid w:val="009524F6"/>
    <w:rsid w:val="009525C1"/>
    <w:rsid w:val="00952662"/>
    <w:rsid w:val="00952F14"/>
    <w:rsid w:val="009531E3"/>
    <w:rsid w:val="00953694"/>
    <w:rsid w:val="009538F9"/>
    <w:rsid w:val="00953C9B"/>
    <w:rsid w:val="00954C4D"/>
    <w:rsid w:val="00954C78"/>
    <w:rsid w:val="00954F71"/>
    <w:rsid w:val="009553E9"/>
    <w:rsid w:val="00955914"/>
    <w:rsid w:val="0095647D"/>
    <w:rsid w:val="00956E53"/>
    <w:rsid w:val="0095782A"/>
    <w:rsid w:val="009579CD"/>
    <w:rsid w:val="00957F69"/>
    <w:rsid w:val="00957FEC"/>
    <w:rsid w:val="0096011C"/>
    <w:rsid w:val="00960491"/>
    <w:rsid w:val="0096067E"/>
    <w:rsid w:val="009606AC"/>
    <w:rsid w:val="0096103C"/>
    <w:rsid w:val="00961917"/>
    <w:rsid w:val="00961C8B"/>
    <w:rsid w:val="00961DE8"/>
    <w:rsid w:val="00961F2A"/>
    <w:rsid w:val="00961FD2"/>
    <w:rsid w:val="0096211B"/>
    <w:rsid w:val="009627FC"/>
    <w:rsid w:val="00962A48"/>
    <w:rsid w:val="00963044"/>
    <w:rsid w:val="00963AA8"/>
    <w:rsid w:val="00963B7E"/>
    <w:rsid w:val="009641C2"/>
    <w:rsid w:val="009647F9"/>
    <w:rsid w:val="00964D4C"/>
    <w:rsid w:val="00965819"/>
    <w:rsid w:val="00965847"/>
    <w:rsid w:val="009668C0"/>
    <w:rsid w:val="00966B5A"/>
    <w:rsid w:val="00966ECF"/>
    <w:rsid w:val="00967391"/>
    <w:rsid w:val="009673AE"/>
    <w:rsid w:val="009674E0"/>
    <w:rsid w:val="009678C0"/>
    <w:rsid w:val="00967D97"/>
    <w:rsid w:val="009705AE"/>
    <w:rsid w:val="00970721"/>
    <w:rsid w:val="00970F88"/>
    <w:rsid w:val="00970F9C"/>
    <w:rsid w:val="00971092"/>
    <w:rsid w:val="009715D7"/>
    <w:rsid w:val="00971607"/>
    <w:rsid w:val="009719FA"/>
    <w:rsid w:val="0097233A"/>
    <w:rsid w:val="00973316"/>
    <w:rsid w:val="009733D3"/>
    <w:rsid w:val="00973675"/>
    <w:rsid w:val="00973D92"/>
    <w:rsid w:val="00974A6A"/>
    <w:rsid w:val="00974E5D"/>
    <w:rsid w:val="00974ECF"/>
    <w:rsid w:val="009750D3"/>
    <w:rsid w:val="009751C3"/>
    <w:rsid w:val="00975E12"/>
    <w:rsid w:val="00975E91"/>
    <w:rsid w:val="009760BD"/>
    <w:rsid w:val="0097673E"/>
    <w:rsid w:val="00976983"/>
    <w:rsid w:val="00976C00"/>
    <w:rsid w:val="009774D4"/>
    <w:rsid w:val="009774FB"/>
    <w:rsid w:val="00977BFF"/>
    <w:rsid w:val="0098093B"/>
    <w:rsid w:val="00980E24"/>
    <w:rsid w:val="00980E50"/>
    <w:rsid w:val="0098144D"/>
    <w:rsid w:val="00981AC9"/>
    <w:rsid w:val="00981C68"/>
    <w:rsid w:val="009822ED"/>
    <w:rsid w:val="009824A1"/>
    <w:rsid w:val="00982B93"/>
    <w:rsid w:val="00982F46"/>
    <w:rsid w:val="009832DB"/>
    <w:rsid w:val="009833C2"/>
    <w:rsid w:val="00983C6E"/>
    <w:rsid w:val="00983D0A"/>
    <w:rsid w:val="009845B6"/>
    <w:rsid w:val="009848DF"/>
    <w:rsid w:val="009852DE"/>
    <w:rsid w:val="009859F1"/>
    <w:rsid w:val="00986EBE"/>
    <w:rsid w:val="009874D9"/>
    <w:rsid w:val="009879D7"/>
    <w:rsid w:val="00987A4A"/>
    <w:rsid w:val="009913D2"/>
    <w:rsid w:val="009914ED"/>
    <w:rsid w:val="00991651"/>
    <w:rsid w:val="00991EE1"/>
    <w:rsid w:val="009924B0"/>
    <w:rsid w:val="00992CCF"/>
    <w:rsid w:val="00993849"/>
    <w:rsid w:val="00993DAE"/>
    <w:rsid w:val="00994861"/>
    <w:rsid w:val="00994F29"/>
    <w:rsid w:val="009950A7"/>
    <w:rsid w:val="00995598"/>
    <w:rsid w:val="00996183"/>
    <w:rsid w:val="009962AE"/>
    <w:rsid w:val="00996412"/>
    <w:rsid w:val="0099659C"/>
    <w:rsid w:val="00996612"/>
    <w:rsid w:val="0099731C"/>
    <w:rsid w:val="009A009F"/>
    <w:rsid w:val="009A0984"/>
    <w:rsid w:val="009A0D7C"/>
    <w:rsid w:val="009A1047"/>
    <w:rsid w:val="009A1069"/>
    <w:rsid w:val="009A1F6C"/>
    <w:rsid w:val="009A2B1C"/>
    <w:rsid w:val="009A31DF"/>
    <w:rsid w:val="009A376C"/>
    <w:rsid w:val="009A3DAF"/>
    <w:rsid w:val="009A4160"/>
    <w:rsid w:val="009A4410"/>
    <w:rsid w:val="009A4760"/>
    <w:rsid w:val="009A499F"/>
    <w:rsid w:val="009A49DC"/>
    <w:rsid w:val="009A5175"/>
    <w:rsid w:val="009A5428"/>
    <w:rsid w:val="009A56C7"/>
    <w:rsid w:val="009A5B19"/>
    <w:rsid w:val="009A5BB7"/>
    <w:rsid w:val="009A6B52"/>
    <w:rsid w:val="009A716F"/>
    <w:rsid w:val="009A76D1"/>
    <w:rsid w:val="009B0082"/>
    <w:rsid w:val="009B06F2"/>
    <w:rsid w:val="009B0A92"/>
    <w:rsid w:val="009B0B50"/>
    <w:rsid w:val="009B0EDB"/>
    <w:rsid w:val="009B1414"/>
    <w:rsid w:val="009B20AB"/>
    <w:rsid w:val="009B2417"/>
    <w:rsid w:val="009B2810"/>
    <w:rsid w:val="009B2E1B"/>
    <w:rsid w:val="009B303B"/>
    <w:rsid w:val="009B308E"/>
    <w:rsid w:val="009B33C3"/>
    <w:rsid w:val="009B37C4"/>
    <w:rsid w:val="009B3C89"/>
    <w:rsid w:val="009B3F79"/>
    <w:rsid w:val="009B4108"/>
    <w:rsid w:val="009B44FE"/>
    <w:rsid w:val="009B4562"/>
    <w:rsid w:val="009B4DF2"/>
    <w:rsid w:val="009B4FD8"/>
    <w:rsid w:val="009B5032"/>
    <w:rsid w:val="009B5225"/>
    <w:rsid w:val="009B524A"/>
    <w:rsid w:val="009B533E"/>
    <w:rsid w:val="009B542A"/>
    <w:rsid w:val="009B54FE"/>
    <w:rsid w:val="009B57FA"/>
    <w:rsid w:val="009B5804"/>
    <w:rsid w:val="009B5E94"/>
    <w:rsid w:val="009B5EAA"/>
    <w:rsid w:val="009B63A4"/>
    <w:rsid w:val="009B67F5"/>
    <w:rsid w:val="009B68E5"/>
    <w:rsid w:val="009B6A10"/>
    <w:rsid w:val="009B6FFF"/>
    <w:rsid w:val="009B752B"/>
    <w:rsid w:val="009B7624"/>
    <w:rsid w:val="009B7EA6"/>
    <w:rsid w:val="009C017D"/>
    <w:rsid w:val="009C0347"/>
    <w:rsid w:val="009C0731"/>
    <w:rsid w:val="009C0EA4"/>
    <w:rsid w:val="009C18F6"/>
    <w:rsid w:val="009C2117"/>
    <w:rsid w:val="009C2342"/>
    <w:rsid w:val="009C2868"/>
    <w:rsid w:val="009C2BE6"/>
    <w:rsid w:val="009C2FA0"/>
    <w:rsid w:val="009C3075"/>
    <w:rsid w:val="009C3195"/>
    <w:rsid w:val="009C3357"/>
    <w:rsid w:val="009C35B5"/>
    <w:rsid w:val="009C36C5"/>
    <w:rsid w:val="009C3AEC"/>
    <w:rsid w:val="009C40F6"/>
    <w:rsid w:val="009C41CF"/>
    <w:rsid w:val="009C4522"/>
    <w:rsid w:val="009C4792"/>
    <w:rsid w:val="009C52D7"/>
    <w:rsid w:val="009C52DF"/>
    <w:rsid w:val="009C5645"/>
    <w:rsid w:val="009C5CA8"/>
    <w:rsid w:val="009C6159"/>
    <w:rsid w:val="009C65CB"/>
    <w:rsid w:val="009C675D"/>
    <w:rsid w:val="009C6B39"/>
    <w:rsid w:val="009C7825"/>
    <w:rsid w:val="009D00D1"/>
    <w:rsid w:val="009D0286"/>
    <w:rsid w:val="009D03D5"/>
    <w:rsid w:val="009D089E"/>
    <w:rsid w:val="009D08D8"/>
    <w:rsid w:val="009D0F0A"/>
    <w:rsid w:val="009D0F17"/>
    <w:rsid w:val="009D18FA"/>
    <w:rsid w:val="009D1CA5"/>
    <w:rsid w:val="009D20BE"/>
    <w:rsid w:val="009D22C4"/>
    <w:rsid w:val="009D23D5"/>
    <w:rsid w:val="009D2480"/>
    <w:rsid w:val="009D29D0"/>
    <w:rsid w:val="009D3234"/>
    <w:rsid w:val="009D3518"/>
    <w:rsid w:val="009D361B"/>
    <w:rsid w:val="009D3D07"/>
    <w:rsid w:val="009D4C7C"/>
    <w:rsid w:val="009D5189"/>
    <w:rsid w:val="009D5AFA"/>
    <w:rsid w:val="009D5EBF"/>
    <w:rsid w:val="009D643A"/>
    <w:rsid w:val="009D6524"/>
    <w:rsid w:val="009D6D2C"/>
    <w:rsid w:val="009D6E80"/>
    <w:rsid w:val="009D7082"/>
    <w:rsid w:val="009D73AA"/>
    <w:rsid w:val="009D7767"/>
    <w:rsid w:val="009D7AAF"/>
    <w:rsid w:val="009D7BA6"/>
    <w:rsid w:val="009D7EA8"/>
    <w:rsid w:val="009E091C"/>
    <w:rsid w:val="009E0B09"/>
    <w:rsid w:val="009E0D9F"/>
    <w:rsid w:val="009E1885"/>
    <w:rsid w:val="009E1C76"/>
    <w:rsid w:val="009E1CB3"/>
    <w:rsid w:val="009E1FF8"/>
    <w:rsid w:val="009E2794"/>
    <w:rsid w:val="009E28D5"/>
    <w:rsid w:val="009E31AF"/>
    <w:rsid w:val="009E3246"/>
    <w:rsid w:val="009E32DF"/>
    <w:rsid w:val="009E34BB"/>
    <w:rsid w:val="009E38BC"/>
    <w:rsid w:val="009E3958"/>
    <w:rsid w:val="009E3D0D"/>
    <w:rsid w:val="009E4689"/>
    <w:rsid w:val="009E47FE"/>
    <w:rsid w:val="009E4B3D"/>
    <w:rsid w:val="009E51FB"/>
    <w:rsid w:val="009E5C44"/>
    <w:rsid w:val="009E6362"/>
    <w:rsid w:val="009E7C4E"/>
    <w:rsid w:val="009F0680"/>
    <w:rsid w:val="009F0B08"/>
    <w:rsid w:val="009F1970"/>
    <w:rsid w:val="009F1E88"/>
    <w:rsid w:val="009F1FA2"/>
    <w:rsid w:val="009F21B1"/>
    <w:rsid w:val="009F24BF"/>
    <w:rsid w:val="009F2B2A"/>
    <w:rsid w:val="009F3664"/>
    <w:rsid w:val="009F3C36"/>
    <w:rsid w:val="009F4EE9"/>
    <w:rsid w:val="009F4F50"/>
    <w:rsid w:val="009F50D5"/>
    <w:rsid w:val="009F5568"/>
    <w:rsid w:val="009F570A"/>
    <w:rsid w:val="009F587E"/>
    <w:rsid w:val="009F5940"/>
    <w:rsid w:val="009F5C2B"/>
    <w:rsid w:val="009F5E87"/>
    <w:rsid w:val="009F5F6E"/>
    <w:rsid w:val="009F615F"/>
    <w:rsid w:val="009F68EF"/>
    <w:rsid w:val="009F6D4D"/>
    <w:rsid w:val="009F71C4"/>
    <w:rsid w:val="009F797A"/>
    <w:rsid w:val="009F7F17"/>
    <w:rsid w:val="009F7FFB"/>
    <w:rsid w:val="00A0003E"/>
    <w:rsid w:val="00A017DB"/>
    <w:rsid w:val="00A01B49"/>
    <w:rsid w:val="00A020E5"/>
    <w:rsid w:val="00A03A2C"/>
    <w:rsid w:val="00A03C48"/>
    <w:rsid w:val="00A03D0B"/>
    <w:rsid w:val="00A049B9"/>
    <w:rsid w:val="00A04F38"/>
    <w:rsid w:val="00A05195"/>
    <w:rsid w:val="00A0553A"/>
    <w:rsid w:val="00A0580E"/>
    <w:rsid w:val="00A05889"/>
    <w:rsid w:val="00A05F61"/>
    <w:rsid w:val="00A05F74"/>
    <w:rsid w:val="00A06F2B"/>
    <w:rsid w:val="00A07523"/>
    <w:rsid w:val="00A07735"/>
    <w:rsid w:val="00A11EC9"/>
    <w:rsid w:val="00A12235"/>
    <w:rsid w:val="00A12589"/>
    <w:rsid w:val="00A1281C"/>
    <w:rsid w:val="00A12B85"/>
    <w:rsid w:val="00A12B90"/>
    <w:rsid w:val="00A139BA"/>
    <w:rsid w:val="00A148FF"/>
    <w:rsid w:val="00A14D39"/>
    <w:rsid w:val="00A15555"/>
    <w:rsid w:val="00A158E1"/>
    <w:rsid w:val="00A159A9"/>
    <w:rsid w:val="00A159CC"/>
    <w:rsid w:val="00A16652"/>
    <w:rsid w:val="00A16C5D"/>
    <w:rsid w:val="00A16EC6"/>
    <w:rsid w:val="00A16ED3"/>
    <w:rsid w:val="00A17149"/>
    <w:rsid w:val="00A1773A"/>
    <w:rsid w:val="00A17CD1"/>
    <w:rsid w:val="00A20688"/>
    <w:rsid w:val="00A20C96"/>
    <w:rsid w:val="00A214E6"/>
    <w:rsid w:val="00A21856"/>
    <w:rsid w:val="00A21DAE"/>
    <w:rsid w:val="00A21E18"/>
    <w:rsid w:val="00A21E50"/>
    <w:rsid w:val="00A22355"/>
    <w:rsid w:val="00A22FF3"/>
    <w:rsid w:val="00A23211"/>
    <w:rsid w:val="00A234CC"/>
    <w:rsid w:val="00A237A4"/>
    <w:rsid w:val="00A23E86"/>
    <w:rsid w:val="00A2410E"/>
    <w:rsid w:val="00A24777"/>
    <w:rsid w:val="00A24D70"/>
    <w:rsid w:val="00A25333"/>
    <w:rsid w:val="00A25433"/>
    <w:rsid w:val="00A255E2"/>
    <w:rsid w:val="00A25837"/>
    <w:rsid w:val="00A25CED"/>
    <w:rsid w:val="00A261B7"/>
    <w:rsid w:val="00A2664B"/>
    <w:rsid w:val="00A26A5F"/>
    <w:rsid w:val="00A26B53"/>
    <w:rsid w:val="00A3046C"/>
    <w:rsid w:val="00A30B88"/>
    <w:rsid w:val="00A30C9A"/>
    <w:rsid w:val="00A31219"/>
    <w:rsid w:val="00A31291"/>
    <w:rsid w:val="00A3139B"/>
    <w:rsid w:val="00A31620"/>
    <w:rsid w:val="00A31A5A"/>
    <w:rsid w:val="00A31C2A"/>
    <w:rsid w:val="00A31CD8"/>
    <w:rsid w:val="00A31DB0"/>
    <w:rsid w:val="00A31EE7"/>
    <w:rsid w:val="00A32C02"/>
    <w:rsid w:val="00A32EF0"/>
    <w:rsid w:val="00A334AA"/>
    <w:rsid w:val="00A342B0"/>
    <w:rsid w:val="00A3465F"/>
    <w:rsid w:val="00A34B66"/>
    <w:rsid w:val="00A34E58"/>
    <w:rsid w:val="00A34F81"/>
    <w:rsid w:val="00A3571D"/>
    <w:rsid w:val="00A35983"/>
    <w:rsid w:val="00A361FF"/>
    <w:rsid w:val="00A36778"/>
    <w:rsid w:val="00A36816"/>
    <w:rsid w:val="00A36DF7"/>
    <w:rsid w:val="00A36FCA"/>
    <w:rsid w:val="00A37331"/>
    <w:rsid w:val="00A3768D"/>
    <w:rsid w:val="00A376D7"/>
    <w:rsid w:val="00A37B24"/>
    <w:rsid w:val="00A409FB"/>
    <w:rsid w:val="00A40ACB"/>
    <w:rsid w:val="00A416D8"/>
    <w:rsid w:val="00A41902"/>
    <w:rsid w:val="00A41936"/>
    <w:rsid w:val="00A423FA"/>
    <w:rsid w:val="00A42ADD"/>
    <w:rsid w:val="00A42C0D"/>
    <w:rsid w:val="00A430C4"/>
    <w:rsid w:val="00A43B53"/>
    <w:rsid w:val="00A43BB8"/>
    <w:rsid w:val="00A43C55"/>
    <w:rsid w:val="00A4448A"/>
    <w:rsid w:val="00A448A5"/>
    <w:rsid w:val="00A4580C"/>
    <w:rsid w:val="00A458BF"/>
    <w:rsid w:val="00A45B7E"/>
    <w:rsid w:val="00A4607E"/>
    <w:rsid w:val="00A46252"/>
    <w:rsid w:val="00A4745D"/>
    <w:rsid w:val="00A4758F"/>
    <w:rsid w:val="00A47E03"/>
    <w:rsid w:val="00A47F6F"/>
    <w:rsid w:val="00A5069C"/>
    <w:rsid w:val="00A509FD"/>
    <w:rsid w:val="00A5156A"/>
    <w:rsid w:val="00A521FF"/>
    <w:rsid w:val="00A52258"/>
    <w:rsid w:val="00A52682"/>
    <w:rsid w:val="00A533A2"/>
    <w:rsid w:val="00A537F9"/>
    <w:rsid w:val="00A54075"/>
    <w:rsid w:val="00A54181"/>
    <w:rsid w:val="00A55DC6"/>
    <w:rsid w:val="00A56870"/>
    <w:rsid w:val="00A56DD5"/>
    <w:rsid w:val="00A57203"/>
    <w:rsid w:val="00A60A71"/>
    <w:rsid w:val="00A60F7C"/>
    <w:rsid w:val="00A6120C"/>
    <w:rsid w:val="00A61468"/>
    <w:rsid w:val="00A6150D"/>
    <w:rsid w:val="00A615ED"/>
    <w:rsid w:val="00A61976"/>
    <w:rsid w:val="00A61B87"/>
    <w:rsid w:val="00A61B8D"/>
    <w:rsid w:val="00A61FF1"/>
    <w:rsid w:val="00A6209A"/>
    <w:rsid w:val="00A622FC"/>
    <w:rsid w:val="00A62356"/>
    <w:rsid w:val="00A6273B"/>
    <w:rsid w:val="00A62AB9"/>
    <w:rsid w:val="00A63016"/>
    <w:rsid w:val="00A635D5"/>
    <w:rsid w:val="00A63AC9"/>
    <w:rsid w:val="00A63C47"/>
    <w:rsid w:val="00A63D60"/>
    <w:rsid w:val="00A64BC6"/>
    <w:rsid w:val="00A64E43"/>
    <w:rsid w:val="00A6575E"/>
    <w:rsid w:val="00A658FC"/>
    <w:rsid w:val="00A65FDB"/>
    <w:rsid w:val="00A66A0E"/>
    <w:rsid w:val="00A66C4E"/>
    <w:rsid w:val="00A66E33"/>
    <w:rsid w:val="00A67D12"/>
    <w:rsid w:val="00A70278"/>
    <w:rsid w:val="00A70F04"/>
    <w:rsid w:val="00A71F1B"/>
    <w:rsid w:val="00A731C0"/>
    <w:rsid w:val="00A73699"/>
    <w:rsid w:val="00A73E36"/>
    <w:rsid w:val="00A74CF0"/>
    <w:rsid w:val="00A7501D"/>
    <w:rsid w:val="00A750C0"/>
    <w:rsid w:val="00A754A1"/>
    <w:rsid w:val="00A75CA9"/>
    <w:rsid w:val="00A75FE9"/>
    <w:rsid w:val="00A7674F"/>
    <w:rsid w:val="00A76BBE"/>
    <w:rsid w:val="00A774D8"/>
    <w:rsid w:val="00A775BD"/>
    <w:rsid w:val="00A776B6"/>
    <w:rsid w:val="00A77B95"/>
    <w:rsid w:val="00A77DB1"/>
    <w:rsid w:val="00A8011E"/>
    <w:rsid w:val="00A80B52"/>
    <w:rsid w:val="00A80E76"/>
    <w:rsid w:val="00A8136F"/>
    <w:rsid w:val="00A81DCA"/>
    <w:rsid w:val="00A827B6"/>
    <w:rsid w:val="00A82802"/>
    <w:rsid w:val="00A82A4F"/>
    <w:rsid w:val="00A844DD"/>
    <w:rsid w:val="00A844F6"/>
    <w:rsid w:val="00A84B6C"/>
    <w:rsid w:val="00A84E1E"/>
    <w:rsid w:val="00A8550F"/>
    <w:rsid w:val="00A85549"/>
    <w:rsid w:val="00A85856"/>
    <w:rsid w:val="00A859A7"/>
    <w:rsid w:val="00A859AC"/>
    <w:rsid w:val="00A85C70"/>
    <w:rsid w:val="00A867AF"/>
    <w:rsid w:val="00A87078"/>
    <w:rsid w:val="00A87F07"/>
    <w:rsid w:val="00A90051"/>
    <w:rsid w:val="00A9078B"/>
    <w:rsid w:val="00A9173E"/>
    <w:rsid w:val="00A918F1"/>
    <w:rsid w:val="00A91EEC"/>
    <w:rsid w:val="00A920F1"/>
    <w:rsid w:val="00A921F4"/>
    <w:rsid w:val="00A92235"/>
    <w:rsid w:val="00A923AE"/>
    <w:rsid w:val="00A92407"/>
    <w:rsid w:val="00A924CF"/>
    <w:rsid w:val="00A93A67"/>
    <w:rsid w:val="00A93C46"/>
    <w:rsid w:val="00A9406F"/>
    <w:rsid w:val="00A94074"/>
    <w:rsid w:val="00A940C7"/>
    <w:rsid w:val="00A94871"/>
    <w:rsid w:val="00A94A58"/>
    <w:rsid w:val="00A94C46"/>
    <w:rsid w:val="00A94F33"/>
    <w:rsid w:val="00A9551A"/>
    <w:rsid w:val="00A957C2"/>
    <w:rsid w:val="00A95F54"/>
    <w:rsid w:val="00A96298"/>
    <w:rsid w:val="00A9665A"/>
    <w:rsid w:val="00A96778"/>
    <w:rsid w:val="00A96E97"/>
    <w:rsid w:val="00A97343"/>
    <w:rsid w:val="00A97E2D"/>
    <w:rsid w:val="00AA0271"/>
    <w:rsid w:val="00AA044F"/>
    <w:rsid w:val="00AA06AA"/>
    <w:rsid w:val="00AA12D3"/>
    <w:rsid w:val="00AA1AF0"/>
    <w:rsid w:val="00AA1CB2"/>
    <w:rsid w:val="00AA1D8C"/>
    <w:rsid w:val="00AA2304"/>
    <w:rsid w:val="00AA32C1"/>
    <w:rsid w:val="00AA38F1"/>
    <w:rsid w:val="00AA3917"/>
    <w:rsid w:val="00AA43EE"/>
    <w:rsid w:val="00AA4682"/>
    <w:rsid w:val="00AA5942"/>
    <w:rsid w:val="00AA5BD9"/>
    <w:rsid w:val="00AA5C4F"/>
    <w:rsid w:val="00AA5E1E"/>
    <w:rsid w:val="00AA65B3"/>
    <w:rsid w:val="00AA74C1"/>
    <w:rsid w:val="00AA7C3C"/>
    <w:rsid w:val="00AA7DC3"/>
    <w:rsid w:val="00AB065B"/>
    <w:rsid w:val="00AB0BCF"/>
    <w:rsid w:val="00AB0D5B"/>
    <w:rsid w:val="00AB0E76"/>
    <w:rsid w:val="00AB178B"/>
    <w:rsid w:val="00AB1C2C"/>
    <w:rsid w:val="00AB217A"/>
    <w:rsid w:val="00AB21D0"/>
    <w:rsid w:val="00AB2C05"/>
    <w:rsid w:val="00AB2E69"/>
    <w:rsid w:val="00AB2FE8"/>
    <w:rsid w:val="00AB3445"/>
    <w:rsid w:val="00AB3960"/>
    <w:rsid w:val="00AB3AE1"/>
    <w:rsid w:val="00AB40BC"/>
    <w:rsid w:val="00AB46A6"/>
    <w:rsid w:val="00AB5595"/>
    <w:rsid w:val="00AB5821"/>
    <w:rsid w:val="00AB59D1"/>
    <w:rsid w:val="00AB619D"/>
    <w:rsid w:val="00AB662B"/>
    <w:rsid w:val="00AB746C"/>
    <w:rsid w:val="00AB7E8B"/>
    <w:rsid w:val="00AC032E"/>
    <w:rsid w:val="00AC1171"/>
    <w:rsid w:val="00AC1443"/>
    <w:rsid w:val="00AC2584"/>
    <w:rsid w:val="00AC2825"/>
    <w:rsid w:val="00AC29EE"/>
    <w:rsid w:val="00AC2E19"/>
    <w:rsid w:val="00AC39A5"/>
    <w:rsid w:val="00AC3AE6"/>
    <w:rsid w:val="00AC3BDC"/>
    <w:rsid w:val="00AC47F2"/>
    <w:rsid w:val="00AC54B3"/>
    <w:rsid w:val="00AC5605"/>
    <w:rsid w:val="00AC6629"/>
    <w:rsid w:val="00AC6A6D"/>
    <w:rsid w:val="00AC6A83"/>
    <w:rsid w:val="00AC71FD"/>
    <w:rsid w:val="00AC72CE"/>
    <w:rsid w:val="00AC7776"/>
    <w:rsid w:val="00AD09AE"/>
    <w:rsid w:val="00AD0C22"/>
    <w:rsid w:val="00AD149D"/>
    <w:rsid w:val="00AD18D2"/>
    <w:rsid w:val="00AD1A96"/>
    <w:rsid w:val="00AD1CA5"/>
    <w:rsid w:val="00AD22F8"/>
    <w:rsid w:val="00AD2B73"/>
    <w:rsid w:val="00AD2B95"/>
    <w:rsid w:val="00AD2D5A"/>
    <w:rsid w:val="00AD2D82"/>
    <w:rsid w:val="00AD2F7F"/>
    <w:rsid w:val="00AD37C7"/>
    <w:rsid w:val="00AD3A16"/>
    <w:rsid w:val="00AD3EFF"/>
    <w:rsid w:val="00AD43A9"/>
    <w:rsid w:val="00AD4595"/>
    <w:rsid w:val="00AD4664"/>
    <w:rsid w:val="00AD489B"/>
    <w:rsid w:val="00AD4A6F"/>
    <w:rsid w:val="00AD6A46"/>
    <w:rsid w:val="00AD7810"/>
    <w:rsid w:val="00AD79AD"/>
    <w:rsid w:val="00AE1B08"/>
    <w:rsid w:val="00AE24B8"/>
    <w:rsid w:val="00AE2EE3"/>
    <w:rsid w:val="00AE31C3"/>
    <w:rsid w:val="00AE32F2"/>
    <w:rsid w:val="00AE3923"/>
    <w:rsid w:val="00AE3E0F"/>
    <w:rsid w:val="00AE488A"/>
    <w:rsid w:val="00AE494B"/>
    <w:rsid w:val="00AE4C51"/>
    <w:rsid w:val="00AE5259"/>
    <w:rsid w:val="00AE5928"/>
    <w:rsid w:val="00AE62F0"/>
    <w:rsid w:val="00AE6AB2"/>
    <w:rsid w:val="00AE6D70"/>
    <w:rsid w:val="00AE6E01"/>
    <w:rsid w:val="00AE6F9C"/>
    <w:rsid w:val="00AE7119"/>
    <w:rsid w:val="00AE7248"/>
    <w:rsid w:val="00AE736C"/>
    <w:rsid w:val="00AE7693"/>
    <w:rsid w:val="00AE7A33"/>
    <w:rsid w:val="00AE7CA6"/>
    <w:rsid w:val="00AE7D4A"/>
    <w:rsid w:val="00AE7D61"/>
    <w:rsid w:val="00AF00D2"/>
    <w:rsid w:val="00AF024D"/>
    <w:rsid w:val="00AF03B6"/>
    <w:rsid w:val="00AF04B5"/>
    <w:rsid w:val="00AF17D6"/>
    <w:rsid w:val="00AF288E"/>
    <w:rsid w:val="00AF2E2C"/>
    <w:rsid w:val="00AF31E0"/>
    <w:rsid w:val="00AF3228"/>
    <w:rsid w:val="00AF3611"/>
    <w:rsid w:val="00AF3A56"/>
    <w:rsid w:val="00AF3AF2"/>
    <w:rsid w:val="00AF3B94"/>
    <w:rsid w:val="00AF4193"/>
    <w:rsid w:val="00AF45FF"/>
    <w:rsid w:val="00AF5944"/>
    <w:rsid w:val="00AF5A56"/>
    <w:rsid w:val="00AF64A6"/>
    <w:rsid w:val="00AF65D6"/>
    <w:rsid w:val="00AF6884"/>
    <w:rsid w:val="00AF72A2"/>
    <w:rsid w:val="00AF74AF"/>
    <w:rsid w:val="00AF7609"/>
    <w:rsid w:val="00B0012F"/>
    <w:rsid w:val="00B005CE"/>
    <w:rsid w:val="00B0078B"/>
    <w:rsid w:val="00B012A3"/>
    <w:rsid w:val="00B0172F"/>
    <w:rsid w:val="00B0195A"/>
    <w:rsid w:val="00B01D3D"/>
    <w:rsid w:val="00B01ED5"/>
    <w:rsid w:val="00B0243E"/>
    <w:rsid w:val="00B02B9F"/>
    <w:rsid w:val="00B02D0F"/>
    <w:rsid w:val="00B02D74"/>
    <w:rsid w:val="00B02D95"/>
    <w:rsid w:val="00B03193"/>
    <w:rsid w:val="00B0373B"/>
    <w:rsid w:val="00B0387A"/>
    <w:rsid w:val="00B04070"/>
    <w:rsid w:val="00B044FB"/>
    <w:rsid w:val="00B04B46"/>
    <w:rsid w:val="00B05E51"/>
    <w:rsid w:val="00B06931"/>
    <w:rsid w:val="00B06E9C"/>
    <w:rsid w:val="00B10767"/>
    <w:rsid w:val="00B10BAE"/>
    <w:rsid w:val="00B11164"/>
    <w:rsid w:val="00B11D15"/>
    <w:rsid w:val="00B11E6A"/>
    <w:rsid w:val="00B122AA"/>
    <w:rsid w:val="00B127A2"/>
    <w:rsid w:val="00B1291C"/>
    <w:rsid w:val="00B12E98"/>
    <w:rsid w:val="00B13239"/>
    <w:rsid w:val="00B13A28"/>
    <w:rsid w:val="00B13A9F"/>
    <w:rsid w:val="00B13EBC"/>
    <w:rsid w:val="00B1514E"/>
    <w:rsid w:val="00B1547F"/>
    <w:rsid w:val="00B15716"/>
    <w:rsid w:val="00B15E26"/>
    <w:rsid w:val="00B166A1"/>
    <w:rsid w:val="00B16768"/>
    <w:rsid w:val="00B16CA3"/>
    <w:rsid w:val="00B17538"/>
    <w:rsid w:val="00B17D49"/>
    <w:rsid w:val="00B17F33"/>
    <w:rsid w:val="00B20DCE"/>
    <w:rsid w:val="00B20FDA"/>
    <w:rsid w:val="00B217ED"/>
    <w:rsid w:val="00B22561"/>
    <w:rsid w:val="00B22D4C"/>
    <w:rsid w:val="00B236E1"/>
    <w:rsid w:val="00B239D4"/>
    <w:rsid w:val="00B23BC0"/>
    <w:rsid w:val="00B23D36"/>
    <w:rsid w:val="00B246C0"/>
    <w:rsid w:val="00B2470E"/>
    <w:rsid w:val="00B2473A"/>
    <w:rsid w:val="00B24DFB"/>
    <w:rsid w:val="00B250A4"/>
    <w:rsid w:val="00B25304"/>
    <w:rsid w:val="00B2574C"/>
    <w:rsid w:val="00B25EAE"/>
    <w:rsid w:val="00B2638E"/>
    <w:rsid w:val="00B3065A"/>
    <w:rsid w:val="00B3096F"/>
    <w:rsid w:val="00B30D2C"/>
    <w:rsid w:val="00B310F7"/>
    <w:rsid w:val="00B31110"/>
    <w:rsid w:val="00B31737"/>
    <w:rsid w:val="00B3203B"/>
    <w:rsid w:val="00B321DE"/>
    <w:rsid w:val="00B323F6"/>
    <w:rsid w:val="00B32700"/>
    <w:rsid w:val="00B335C5"/>
    <w:rsid w:val="00B33DAA"/>
    <w:rsid w:val="00B3497A"/>
    <w:rsid w:val="00B350D0"/>
    <w:rsid w:val="00B355E5"/>
    <w:rsid w:val="00B35AA6"/>
    <w:rsid w:val="00B35BD5"/>
    <w:rsid w:val="00B36898"/>
    <w:rsid w:val="00B36979"/>
    <w:rsid w:val="00B36D09"/>
    <w:rsid w:val="00B371D0"/>
    <w:rsid w:val="00B3737A"/>
    <w:rsid w:val="00B379E8"/>
    <w:rsid w:val="00B405FC"/>
    <w:rsid w:val="00B40F98"/>
    <w:rsid w:val="00B4111E"/>
    <w:rsid w:val="00B415EC"/>
    <w:rsid w:val="00B417FA"/>
    <w:rsid w:val="00B41E14"/>
    <w:rsid w:val="00B422B9"/>
    <w:rsid w:val="00B4241A"/>
    <w:rsid w:val="00B427BD"/>
    <w:rsid w:val="00B42D2A"/>
    <w:rsid w:val="00B432EF"/>
    <w:rsid w:val="00B436F3"/>
    <w:rsid w:val="00B439B5"/>
    <w:rsid w:val="00B43A8C"/>
    <w:rsid w:val="00B43B61"/>
    <w:rsid w:val="00B43CE8"/>
    <w:rsid w:val="00B4482A"/>
    <w:rsid w:val="00B44B45"/>
    <w:rsid w:val="00B44B7B"/>
    <w:rsid w:val="00B457B5"/>
    <w:rsid w:val="00B45E75"/>
    <w:rsid w:val="00B45EB5"/>
    <w:rsid w:val="00B46593"/>
    <w:rsid w:val="00B46FA6"/>
    <w:rsid w:val="00B4739F"/>
    <w:rsid w:val="00B47EB3"/>
    <w:rsid w:val="00B50270"/>
    <w:rsid w:val="00B50373"/>
    <w:rsid w:val="00B50EB6"/>
    <w:rsid w:val="00B5122C"/>
    <w:rsid w:val="00B51CCE"/>
    <w:rsid w:val="00B5253F"/>
    <w:rsid w:val="00B5334E"/>
    <w:rsid w:val="00B536CE"/>
    <w:rsid w:val="00B538AE"/>
    <w:rsid w:val="00B53DED"/>
    <w:rsid w:val="00B546A7"/>
    <w:rsid w:val="00B552E4"/>
    <w:rsid w:val="00B5560B"/>
    <w:rsid w:val="00B56DD9"/>
    <w:rsid w:val="00B57558"/>
    <w:rsid w:val="00B609D1"/>
    <w:rsid w:val="00B61255"/>
    <w:rsid w:val="00B61809"/>
    <w:rsid w:val="00B61FFF"/>
    <w:rsid w:val="00B62402"/>
    <w:rsid w:val="00B62B48"/>
    <w:rsid w:val="00B62F20"/>
    <w:rsid w:val="00B63367"/>
    <w:rsid w:val="00B6356F"/>
    <w:rsid w:val="00B64EF8"/>
    <w:rsid w:val="00B65B5B"/>
    <w:rsid w:val="00B66182"/>
    <w:rsid w:val="00B661FB"/>
    <w:rsid w:val="00B662D8"/>
    <w:rsid w:val="00B663D5"/>
    <w:rsid w:val="00B667FD"/>
    <w:rsid w:val="00B66BAE"/>
    <w:rsid w:val="00B66CD7"/>
    <w:rsid w:val="00B67CD2"/>
    <w:rsid w:val="00B703E6"/>
    <w:rsid w:val="00B70C57"/>
    <w:rsid w:val="00B71A3C"/>
    <w:rsid w:val="00B71CCD"/>
    <w:rsid w:val="00B71D8B"/>
    <w:rsid w:val="00B723A8"/>
    <w:rsid w:val="00B7268F"/>
    <w:rsid w:val="00B72C93"/>
    <w:rsid w:val="00B73300"/>
    <w:rsid w:val="00B7371E"/>
    <w:rsid w:val="00B73CD4"/>
    <w:rsid w:val="00B7440E"/>
    <w:rsid w:val="00B744EC"/>
    <w:rsid w:val="00B753C0"/>
    <w:rsid w:val="00B763AC"/>
    <w:rsid w:val="00B767B5"/>
    <w:rsid w:val="00B769F5"/>
    <w:rsid w:val="00B772DF"/>
    <w:rsid w:val="00B77647"/>
    <w:rsid w:val="00B778A0"/>
    <w:rsid w:val="00B778F8"/>
    <w:rsid w:val="00B7795D"/>
    <w:rsid w:val="00B77B19"/>
    <w:rsid w:val="00B800E5"/>
    <w:rsid w:val="00B801F6"/>
    <w:rsid w:val="00B803AE"/>
    <w:rsid w:val="00B804F0"/>
    <w:rsid w:val="00B80B79"/>
    <w:rsid w:val="00B80F2B"/>
    <w:rsid w:val="00B81493"/>
    <w:rsid w:val="00B81778"/>
    <w:rsid w:val="00B81CBA"/>
    <w:rsid w:val="00B82370"/>
    <w:rsid w:val="00B83171"/>
    <w:rsid w:val="00B84380"/>
    <w:rsid w:val="00B84A85"/>
    <w:rsid w:val="00B85374"/>
    <w:rsid w:val="00B85704"/>
    <w:rsid w:val="00B8573C"/>
    <w:rsid w:val="00B85A88"/>
    <w:rsid w:val="00B85FFA"/>
    <w:rsid w:val="00B869C3"/>
    <w:rsid w:val="00B86DF7"/>
    <w:rsid w:val="00B872D1"/>
    <w:rsid w:val="00B87DDA"/>
    <w:rsid w:val="00B87FB7"/>
    <w:rsid w:val="00B87FD5"/>
    <w:rsid w:val="00B9008D"/>
    <w:rsid w:val="00B902F6"/>
    <w:rsid w:val="00B906B5"/>
    <w:rsid w:val="00B90B07"/>
    <w:rsid w:val="00B90B8C"/>
    <w:rsid w:val="00B90E03"/>
    <w:rsid w:val="00B9126A"/>
    <w:rsid w:val="00B9173D"/>
    <w:rsid w:val="00B925E2"/>
    <w:rsid w:val="00B92A50"/>
    <w:rsid w:val="00B92FCA"/>
    <w:rsid w:val="00B9330C"/>
    <w:rsid w:val="00B93350"/>
    <w:rsid w:val="00B93364"/>
    <w:rsid w:val="00B93365"/>
    <w:rsid w:val="00B93996"/>
    <w:rsid w:val="00B93BA4"/>
    <w:rsid w:val="00B94275"/>
    <w:rsid w:val="00B94645"/>
    <w:rsid w:val="00B94DB4"/>
    <w:rsid w:val="00B964E9"/>
    <w:rsid w:val="00B96FE5"/>
    <w:rsid w:val="00B9745E"/>
    <w:rsid w:val="00B97A3E"/>
    <w:rsid w:val="00B97CA0"/>
    <w:rsid w:val="00BA04AB"/>
    <w:rsid w:val="00BA05A6"/>
    <w:rsid w:val="00BA0D15"/>
    <w:rsid w:val="00BA26EE"/>
    <w:rsid w:val="00BA27E7"/>
    <w:rsid w:val="00BA2AF6"/>
    <w:rsid w:val="00BA2E80"/>
    <w:rsid w:val="00BA2ED4"/>
    <w:rsid w:val="00BA2FE3"/>
    <w:rsid w:val="00BA3262"/>
    <w:rsid w:val="00BA3303"/>
    <w:rsid w:val="00BA384C"/>
    <w:rsid w:val="00BA47EC"/>
    <w:rsid w:val="00BA4A0B"/>
    <w:rsid w:val="00BA4DC4"/>
    <w:rsid w:val="00BA5A3C"/>
    <w:rsid w:val="00BA5D99"/>
    <w:rsid w:val="00BA60CD"/>
    <w:rsid w:val="00BA629F"/>
    <w:rsid w:val="00BA6DF9"/>
    <w:rsid w:val="00BA7395"/>
    <w:rsid w:val="00BB0004"/>
    <w:rsid w:val="00BB0255"/>
    <w:rsid w:val="00BB0533"/>
    <w:rsid w:val="00BB0922"/>
    <w:rsid w:val="00BB0B58"/>
    <w:rsid w:val="00BB1425"/>
    <w:rsid w:val="00BB24A9"/>
    <w:rsid w:val="00BB2A49"/>
    <w:rsid w:val="00BB2BB3"/>
    <w:rsid w:val="00BB2E2E"/>
    <w:rsid w:val="00BB3333"/>
    <w:rsid w:val="00BB3B88"/>
    <w:rsid w:val="00BB41CD"/>
    <w:rsid w:val="00BB4288"/>
    <w:rsid w:val="00BB4A40"/>
    <w:rsid w:val="00BB555C"/>
    <w:rsid w:val="00BB55FF"/>
    <w:rsid w:val="00BB58BA"/>
    <w:rsid w:val="00BB66AD"/>
    <w:rsid w:val="00BB6717"/>
    <w:rsid w:val="00BB6807"/>
    <w:rsid w:val="00BB6A39"/>
    <w:rsid w:val="00BB70A6"/>
    <w:rsid w:val="00BB7164"/>
    <w:rsid w:val="00BB71B6"/>
    <w:rsid w:val="00BB72B5"/>
    <w:rsid w:val="00BC0182"/>
    <w:rsid w:val="00BC0523"/>
    <w:rsid w:val="00BC0A3F"/>
    <w:rsid w:val="00BC0F10"/>
    <w:rsid w:val="00BC12FA"/>
    <w:rsid w:val="00BC1916"/>
    <w:rsid w:val="00BC2393"/>
    <w:rsid w:val="00BC2B7A"/>
    <w:rsid w:val="00BC2C0D"/>
    <w:rsid w:val="00BC31AC"/>
    <w:rsid w:val="00BC35E1"/>
    <w:rsid w:val="00BC3646"/>
    <w:rsid w:val="00BC3AAF"/>
    <w:rsid w:val="00BC4135"/>
    <w:rsid w:val="00BC4569"/>
    <w:rsid w:val="00BC4EA5"/>
    <w:rsid w:val="00BC516A"/>
    <w:rsid w:val="00BC551B"/>
    <w:rsid w:val="00BC5BBD"/>
    <w:rsid w:val="00BC5DDA"/>
    <w:rsid w:val="00BC7508"/>
    <w:rsid w:val="00BC754F"/>
    <w:rsid w:val="00BC7A38"/>
    <w:rsid w:val="00BD18FE"/>
    <w:rsid w:val="00BD1953"/>
    <w:rsid w:val="00BD1A8F"/>
    <w:rsid w:val="00BD207A"/>
    <w:rsid w:val="00BD302C"/>
    <w:rsid w:val="00BD32C9"/>
    <w:rsid w:val="00BD334C"/>
    <w:rsid w:val="00BD336D"/>
    <w:rsid w:val="00BD34F3"/>
    <w:rsid w:val="00BD368E"/>
    <w:rsid w:val="00BD49D5"/>
    <w:rsid w:val="00BD58FC"/>
    <w:rsid w:val="00BD62AA"/>
    <w:rsid w:val="00BD63C2"/>
    <w:rsid w:val="00BD6860"/>
    <w:rsid w:val="00BD6CC3"/>
    <w:rsid w:val="00BD6F3D"/>
    <w:rsid w:val="00BD6F98"/>
    <w:rsid w:val="00BD7006"/>
    <w:rsid w:val="00BD70EE"/>
    <w:rsid w:val="00BD79B4"/>
    <w:rsid w:val="00BD7AD8"/>
    <w:rsid w:val="00BD7C5A"/>
    <w:rsid w:val="00BD7CFF"/>
    <w:rsid w:val="00BE0463"/>
    <w:rsid w:val="00BE086D"/>
    <w:rsid w:val="00BE0885"/>
    <w:rsid w:val="00BE0A56"/>
    <w:rsid w:val="00BE0C5D"/>
    <w:rsid w:val="00BE0E30"/>
    <w:rsid w:val="00BE104F"/>
    <w:rsid w:val="00BE2571"/>
    <w:rsid w:val="00BE270A"/>
    <w:rsid w:val="00BE2A98"/>
    <w:rsid w:val="00BE2E73"/>
    <w:rsid w:val="00BE32FE"/>
    <w:rsid w:val="00BE3991"/>
    <w:rsid w:val="00BE3CBD"/>
    <w:rsid w:val="00BE42B9"/>
    <w:rsid w:val="00BE4AE8"/>
    <w:rsid w:val="00BE4CE4"/>
    <w:rsid w:val="00BE5160"/>
    <w:rsid w:val="00BE5391"/>
    <w:rsid w:val="00BE6414"/>
    <w:rsid w:val="00BE6C21"/>
    <w:rsid w:val="00BE6CEF"/>
    <w:rsid w:val="00BE723A"/>
    <w:rsid w:val="00BE7B79"/>
    <w:rsid w:val="00BF1530"/>
    <w:rsid w:val="00BF199F"/>
    <w:rsid w:val="00BF1AC0"/>
    <w:rsid w:val="00BF1D55"/>
    <w:rsid w:val="00BF1F29"/>
    <w:rsid w:val="00BF3080"/>
    <w:rsid w:val="00BF4101"/>
    <w:rsid w:val="00BF41B9"/>
    <w:rsid w:val="00BF4377"/>
    <w:rsid w:val="00BF48D3"/>
    <w:rsid w:val="00BF4D69"/>
    <w:rsid w:val="00BF4DDD"/>
    <w:rsid w:val="00BF4FFA"/>
    <w:rsid w:val="00BF5D8F"/>
    <w:rsid w:val="00BF5F48"/>
    <w:rsid w:val="00BF5FAC"/>
    <w:rsid w:val="00BF6159"/>
    <w:rsid w:val="00BF6295"/>
    <w:rsid w:val="00BF68CC"/>
    <w:rsid w:val="00BF6E0C"/>
    <w:rsid w:val="00BF7AB5"/>
    <w:rsid w:val="00C00AE4"/>
    <w:rsid w:val="00C0358A"/>
    <w:rsid w:val="00C03ABE"/>
    <w:rsid w:val="00C043C3"/>
    <w:rsid w:val="00C04629"/>
    <w:rsid w:val="00C04C2D"/>
    <w:rsid w:val="00C05623"/>
    <w:rsid w:val="00C05FBA"/>
    <w:rsid w:val="00C06352"/>
    <w:rsid w:val="00C06A76"/>
    <w:rsid w:val="00C06D97"/>
    <w:rsid w:val="00C06E3E"/>
    <w:rsid w:val="00C07357"/>
    <w:rsid w:val="00C074A9"/>
    <w:rsid w:val="00C07872"/>
    <w:rsid w:val="00C07A57"/>
    <w:rsid w:val="00C10C56"/>
    <w:rsid w:val="00C10F27"/>
    <w:rsid w:val="00C116C9"/>
    <w:rsid w:val="00C1191F"/>
    <w:rsid w:val="00C1199B"/>
    <w:rsid w:val="00C11A48"/>
    <w:rsid w:val="00C12031"/>
    <w:rsid w:val="00C12AB3"/>
    <w:rsid w:val="00C12AF8"/>
    <w:rsid w:val="00C1327B"/>
    <w:rsid w:val="00C137A9"/>
    <w:rsid w:val="00C14E4F"/>
    <w:rsid w:val="00C15523"/>
    <w:rsid w:val="00C15526"/>
    <w:rsid w:val="00C161D9"/>
    <w:rsid w:val="00C16715"/>
    <w:rsid w:val="00C167AD"/>
    <w:rsid w:val="00C170D6"/>
    <w:rsid w:val="00C171F7"/>
    <w:rsid w:val="00C177B3"/>
    <w:rsid w:val="00C206E2"/>
    <w:rsid w:val="00C20FA6"/>
    <w:rsid w:val="00C225CA"/>
    <w:rsid w:val="00C23388"/>
    <w:rsid w:val="00C2346C"/>
    <w:rsid w:val="00C234CF"/>
    <w:rsid w:val="00C2367D"/>
    <w:rsid w:val="00C23CE4"/>
    <w:rsid w:val="00C23E40"/>
    <w:rsid w:val="00C24AB3"/>
    <w:rsid w:val="00C24BA6"/>
    <w:rsid w:val="00C24F32"/>
    <w:rsid w:val="00C252D5"/>
    <w:rsid w:val="00C253C8"/>
    <w:rsid w:val="00C2541F"/>
    <w:rsid w:val="00C261A7"/>
    <w:rsid w:val="00C2693D"/>
    <w:rsid w:val="00C273E3"/>
    <w:rsid w:val="00C276A8"/>
    <w:rsid w:val="00C279F4"/>
    <w:rsid w:val="00C301A6"/>
    <w:rsid w:val="00C304BA"/>
    <w:rsid w:val="00C305D9"/>
    <w:rsid w:val="00C30C1B"/>
    <w:rsid w:val="00C314CF"/>
    <w:rsid w:val="00C31895"/>
    <w:rsid w:val="00C31B22"/>
    <w:rsid w:val="00C32156"/>
    <w:rsid w:val="00C3264A"/>
    <w:rsid w:val="00C327EE"/>
    <w:rsid w:val="00C32A0E"/>
    <w:rsid w:val="00C33328"/>
    <w:rsid w:val="00C336C8"/>
    <w:rsid w:val="00C34636"/>
    <w:rsid w:val="00C351FD"/>
    <w:rsid w:val="00C35E7A"/>
    <w:rsid w:val="00C36839"/>
    <w:rsid w:val="00C37937"/>
    <w:rsid w:val="00C37F4D"/>
    <w:rsid w:val="00C40271"/>
    <w:rsid w:val="00C40377"/>
    <w:rsid w:val="00C403F9"/>
    <w:rsid w:val="00C40DD6"/>
    <w:rsid w:val="00C41112"/>
    <w:rsid w:val="00C417B2"/>
    <w:rsid w:val="00C42076"/>
    <w:rsid w:val="00C42108"/>
    <w:rsid w:val="00C4262C"/>
    <w:rsid w:val="00C42C80"/>
    <w:rsid w:val="00C43E7E"/>
    <w:rsid w:val="00C44925"/>
    <w:rsid w:val="00C44B9E"/>
    <w:rsid w:val="00C44DE3"/>
    <w:rsid w:val="00C453C3"/>
    <w:rsid w:val="00C4570B"/>
    <w:rsid w:val="00C45831"/>
    <w:rsid w:val="00C45BBB"/>
    <w:rsid w:val="00C45D76"/>
    <w:rsid w:val="00C462C3"/>
    <w:rsid w:val="00C464CB"/>
    <w:rsid w:val="00C46DEA"/>
    <w:rsid w:val="00C4708D"/>
    <w:rsid w:val="00C4721B"/>
    <w:rsid w:val="00C47309"/>
    <w:rsid w:val="00C4782C"/>
    <w:rsid w:val="00C47CFB"/>
    <w:rsid w:val="00C47DD4"/>
    <w:rsid w:val="00C50523"/>
    <w:rsid w:val="00C506F9"/>
    <w:rsid w:val="00C50ED8"/>
    <w:rsid w:val="00C5201C"/>
    <w:rsid w:val="00C52279"/>
    <w:rsid w:val="00C527EC"/>
    <w:rsid w:val="00C54242"/>
    <w:rsid w:val="00C54B20"/>
    <w:rsid w:val="00C55567"/>
    <w:rsid w:val="00C55DCF"/>
    <w:rsid w:val="00C55ECB"/>
    <w:rsid w:val="00C56087"/>
    <w:rsid w:val="00C5615B"/>
    <w:rsid w:val="00C56950"/>
    <w:rsid w:val="00C5752F"/>
    <w:rsid w:val="00C575F4"/>
    <w:rsid w:val="00C57AF9"/>
    <w:rsid w:val="00C57C24"/>
    <w:rsid w:val="00C603F0"/>
    <w:rsid w:val="00C6077C"/>
    <w:rsid w:val="00C61A1A"/>
    <w:rsid w:val="00C62E42"/>
    <w:rsid w:val="00C62F0D"/>
    <w:rsid w:val="00C6370D"/>
    <w:rsid w:val="00C639F9"/>
    <w:rsid w:val="00C63E72"/>
    <w:rsid w:val="00C643C1"/>
    <w:rsid w:val="00C644F0"/>
    <w:rsid w:val="00C647F9"/>
    <w:rsid w:val="00C64C78"/>
    <w:rsid w:val="00C64E21"/>
    <w:rsid w:val="00C6505A"/>
    <w:rsid w:val="00C6543D"/>
    <w:rsid w:val="00C6547E"/>
    <w:rsid w:val="00C658CF"/>
    <w:rsid w:val="00C65F64"/>
    <w:rsid w:val="00C665E0"/>
    <w:rsid w:val="00C66632"/>
    <w:rsid w:val="00C67095"/>
    <w:rsid w:val="00C674ED"/>
    <w:rsid w:val="00C675D9"/>
    <w:rsid w:val="00C67B72"/>
    <w:rsid w:val="00C67FC8"/>
    <w:rsid w:val="00C70211"/>
    <w:rsid w:val="00C7089D"/>
    <w:rsid w:val="00C70957"/>
    <w:rsid w:val="00C70A3B"/>
    <w:rsid w:val="00C70A8C"/>
    <w:rsid w:val="00C70C15"/>
    <w:rsid w:val="00C711EF"/>
    <w:rsid w:val="00C7187B"/>
    <w:rsid w:val="00C72164"/>
    <w:rsid w:val="00C722DE"/>
    <w:rsid w:val="00C72D16"/>
    <w:rsid w:val="00C73246"/>
    <w:rsid w:val="00C7330D"/>
    <w:rsid w:val="00C7355C"/>
    <w:rsid w:val="00C73857"/>
    <w:rsid w:val="00C73D4D"/>
    <w:rsid w:val="00C7435E"/>
    <w:rsid w:val="00C7480B"/>
    <w:rsid w:val="00C7497C"/>
    <w:rsid w:val="00C74B53"/>
    <w:rsid w:val="00C75C80"/>
    <w:rsid w:val="00C75D45"/>
    <w:rsid w:val="00C76308"/>
    <w:rsid w:val="00C76548"/>
    <w:rsid w:val="00C765C8"/>
    <w:rsid w:val="00C76990"/>
    <w:rsid w:val="00C7717B"/>
    <w:rsid w:val="00C811DE"/>
    <w:rsid w:val="00C81B31"/>
    <w:rsid w:val="00C81C8B"/>
    <w:rsid w:val="00C83310"/>
    <w:rsid w:val="00C835EF"/>
    <w:rsid w:val="00C83707"/>
    <w:rsid w:val="00C83889"/>
    <w:rsid w:val="00C8421E"/>
    <w:rsid w:val="00C843E4"/>
    <w:rsid w:val="00C84579"/>
    <w:rsid w:val="00C85399"/>
    <w:rsid w:val="00C854B8"/>
    <w:rsid w:val="00C858C1"/>
    <w:rsid w:val="00C85C4E"/>
    <w:rsid w:val="00C85F2E"/>
    <w:rsid w:val="00C860F0"/>
    <w:rsid w:val="00C86C9F"/>
    <w:rsid w:val="00C86D00"/>
    <w:rsid w:val="00C8707F"/>
    <w:rsid w:val="00C87537"/>
    <w:rsid w:val="00C87839"/>
    <w:rsid w:val="00C87905"/>
    <w:rsid w:val="00C91270"/>
    <w:rsid w:val="00C914DC"/>
    <w:rsid w:val="00C92A28"/>
    <w:rsid w:val="00C941E8"/>
    <w:rsid w:val="00C941F3"/>
    <w:rsid w:val="00C9429D"/>
    <w:rsid w:val="00C94886"/>
    <w:rsid w:val="00C94FA6"/>
    <w:rsid w:val="00C9583F"/>
    <w:rsid w:val="00C95894"/>
    <w:rsid w:val="00C95A35"/>
    <w:rsid w:val="00C96204"/>
    <w:rsid w:val="00C963CB"/>
    <w:rsid w:val="00C9680A"/>
    <w:rsid w:val="00C96B36"/>
    <w:rsid w:val="00C96D1F"/>
    <w:rsid w:val="00C96E0E"/>
    <w:rsid w:val="00C9768A"/>
    <w:rsid w:val="00C97717"/>
    <w:rsid w:val="00C97B1B"/>
    <w:rsid w:val="00C97ED4"/>
    <w:rsid w:val="00CA00EE"/>
    <w:rsid w:val="00CA03CE"/>
    <w:rsid w:val="00CA0567"/>
    <w:rsid w:val="00CA15BB"/>
    <w:rsid w:val="00CA1BA7"/>
    <w:rsid w:val="00CA2035"/>
    <w:rsid w:val="00CA2888"/>
    <w:rsid w:val="00CA2A30"/>
    <w:rsid w:val="00CA3098"/>
    <w:rsid w:val="00CA358F"/>
    <w:rsid w:val="00CA3D92"/>
    <w:rsid w:val="00CA4011"/>
    <w:rsid w:val="00CA50F4"/>
    <w:rsid w:val="00CA536D"/>
    <w:rsid w:val="00CA53E6"/>
    <w:rsid w:val="00CA53E8"/>
    <w:rsid w:val="00CA56C4"/>
    <w:rsid w:val="00CA6DE2"/>
    <w:rsid w:val="00CA71D6"/>
    <w:rsid w:val="00CA7506"/>
    <w:rsid w:val="00CA7BEB"/>
    <w:rsid w:val="00CB0313"/>
    <w:rsid w:val="00CB1E26"/>
    <w:rsid w:val="00CB1EF0"/>
    <w:rsid w:val="00CB2107"/>
    <w:rsid w:val="00CB353A"/>
    <w:rsid w:val="00CB3598"/>
    <w:rsid w:val="00CB3E0D"/>
    <w:rsid w:val="00CB3E35"/>
    <w:rsid w:val="00CB3FB5"/>
    <w:rsid w:val="00CB4024"/>
    <w:rsid w:val="00CB4FA2"/>
    <w:rsid w:val="00CB5421"/>
    <w:rsid w:val="00CB6B71"/>
    <w:rsid w:val="00CB72E9"/>
    <w:rsid w:val="00CB785E"/>
    <w:rsid w:val="00CB786E"/>
    <w:rsid w:val="00CB7C90"/>
    <w:rsid w:val="00CC01A1"/>
    <w:rsid w:val="00CC02E2"/>
    <w:rsid w:val="00CC0F55"/>
    <w:rsid w:val="00CC16AA"/>
    <w:rsid w:val="00CC2257"/>
    <w:rsid w:val="00CC237F"/>
    <w:rsid w:val="00CC24ED"/>
    <w:rsid w:val="00CC2A36"/>
    <w:rsid w:val="00CC2C7D"/>
    <w:rsid w:val="00CC2D85"/>
    <w:rsid w:val="00CC2F4C"/>
    <w:rsid w:val="00CC38E8"/>
    <w:rsid w:val="00CC394F"/>
    <w:rsid w:val="00CC4E65"/>
    <w:rsid w:val="00CC4EAD"/>
    <w:rsid w:val="00CC5036"/>
    <w:rsid w:val="00CC5AD7"/>
    <w:rsid w:val="00CC5B9C"/>
    <w:rsid w:val="00CC5C69"/>
    <w:rsid w:val="00CC5D21"/>
    <w:rsid w:val="00CC6B95"/>
    <w:rsid w:val="00CC77E0"/>
    <w:rsid w:val="00CD0744"/>
    <w:rsid w:val="00CD0F8C"/>
    <w:rsid w:val="00CD21E6"/>
    <w:rsid w:val="00CD2984"/>
    <w:rsid w:val="00CD2FF4"/>
    <w:rsid w:val="00CD316E"/>
    <w:rsid w:val="00CD38AB"/>
    <w:rsid w:val="00CD3A1E"/>
    <w:rsid w:val="00CD3B01"/>
    <w:rsid w:val="00CD3B95"/>
    <w:rsid w:val="00CD3C38"/>
    <w:rsid w:val="00CD3CE4"/>
    <w:rsid w:val="00CD4436"/>
    <w:rsid w:val="00CD4A56"/>
    <w:rsid w:val="00CD4B4A"/>
    <w:rsid w:val="00CD4CF7"/>
    <w:rsid w:val="00CD4FB5"/>
    <w:rsid w:val="00CD5179"/>
    <w:rsid w:val="00CD5F0C"/>
    <w:rsid w:val="00CD6262"/>
    <w:rsid w:val="00CD6AEE"/>
    <w:rsid w:val="00CD6D53"/>
    <w:rsid w:val="00CD6E92"/>
    <w:rsid w:val="00CD6FD0"/>
    <w:rsid w:val="00CD75F7"/>
    <w:rsid w:val="00CD7786"/>
    <w:rsid w:val="00CD7C1B"/>
    <w:rsid w:val="00CD7EC7"/>
    <w:rsid w:val="00CD7F09"/>
    <w:rsid w:val="00CE047B"/>
    <w:rsid w:val="00CE086E"/>
    <w:rsid w:val="00CE08CC"/>
    <w:rsid w:val="00CE0A2A"/>
    <w:rsid w:val="00CE0C11"/>
    <w:rsid w:val="00CE2296"/>
    <w:rsid w:val="00CE26B0"/>
    <w:rsid w:val="00CE3789"/>
    <w:rsid w:val="00CE38D7"/>
    <w:rsid w:val="00CE38F4"/>
    <w:rsid w:val="00CE3F28"/>
    <w:rsid w:val="00CE403F"/>
    <w:rsid w:val="00CE453A"/>
    <w:rsid w:val="00CE4809"/>
    <w:rsid w:val="00CE4A23"/>
    <w:rsid w:val="00CE513B"/>
    <w:rsid w:val="00CE51E6"/>
    <w:rsid w:val="00CE5373"/>
    <w:rsid w:val="00CE5A10"/>
    <w:rsid w:val="00CE61B0"/>
    <w:rsid w:val="00CE6346"/>
    <w:rsid w:val="00CE672B"/>
    <w:rsid w:val="00CE688E"/>
    <w:rsid w:val="00CF0117"/>
    <w:rsid w:val="00CF1E9C"/>
    <w:rsid w:val="00CF2057"/>
    <w:rsid w:val="00CF2735"/>
    <w:rsid w:val="00CF2B49"/>
    <w:rsid w:val="00CF2D19"/>
    <w:rsid w:val="00CF31A5"/>
    <w:rsid w:val="00CF36E3"/>
    <w:rsid w:val="00CF3BA8"/>
    <w:rsid w:val="00CF482C"/>
    <w:rsid w:val="00CF4B36"/>
    <w:rsid w:val="00CF5502"/>
    <w:rsid w:val="00CF61A6"/>
    <w:rsid w:val="00CF6650"/>
    <w:rsid w:val="00CF7279"/>
    <w:rsid w:val="00CF7902"/>
    <w:rsid w:val="00D0016A"/>
    <w:rsid w:val="00D00315"/>
    <w:rsid w:val="00D003B5"/>
    <w:rsid w:val="00D00C4A"/>
    <w:rsid w:val="00D00FF5"/>
    <w:rsid w:val="00D0118A"/>
    <w:rsid w:val="00D012C9"/>
    <w:rsid w:val="00D0132B"/>
    <w:rsid w:val="00D0199C"/>
    <w:rsid w:val="00D01D6B"/>
    <w:rsid w:val="00D023CD"/>
    <w:rsid w:val="00D02948"/>
    <w:rsid w:val="00D02B3E"/>
    <w:rsid w:val="00D02F2F"/>
    <w:rsid w:val="00D03B5B"/>
    <w:rsid w:val="00D040B9"/>
    <w:rsid w:val="00D0433C"/>
    <w:rsid w:val="00D04CFE"/>
    <w:rsid w:val="00D05BCC"/>
    <w:rsid w:val="00D0669A"/>
    <w:rsid w:val="00D06705"/>
    <w:rsid w:val="00D079BC"/>
    <w:rsid w:val="00D07A64"/>
    <w:rsid w:val="00D07AF5"/>
    <w:rsid w:val="00D07F99"/>
    <w:rsid w:val="00D10123"/>
    <w:rsid w:val="00D102ED"/>
    <w:rsid w:val="00D10AB4"/>
    <w:rsid w:val="00D10E32"/>
    <w:rsid w:val="00D115BC"/>
    <w:rsid w:val="00D1210E"/>
    <w:rsid w:val="00D124DD"/>
    <w:rsid w:val="00D12672"/>
    <w:rsid w:val="00D126F6"/>
    <w:rsid w:val="00D13772"/>
    <w:rsid w:val="00D13795"/>
    <w:rsid w:val="00D13825"/>
    <w:rsid w:val="00D13B72"/>
    <w:rsid w:val="00D141A3"/>
    <w:rsid w:val="00D1426D"/>
    <w:rsid w:val="00D14920"/>
    <w:rsid w:val="00D14C3B"/>
    <w:rsid w:val="00D15278"/>
    <w:rsid w:val="00D1571F"/>
    <w:rsid w:val="00D15DB8"/>
    <w:rsid w:val="00D169EB"/>
    <w:rsid w:val="00D16CBD"/>
    <w:rsid w:val="00D16EF6"/>
    <w:rsid w:val="00D1787C"/>
    <w:rsid w:val="00D200FB"/>
    <w:rsid w:val="00D20B9C"/>
    <w:rsid w:val="00D22799"/>
    <w:rsid w:val="00D228E9"/>
    <w:rsid w:val="00D23281"/>
    <w:rsid w:val="00D23A81"/>
    <w:rsid w:val="00D23D04"/>
    <w:rsid w:val="00D246C7"/>
    <w:rsid w:val="00D25833"/>
    <w:rsid w:val="00D25916"/>
    <w:rsid w:val="00D265A1"/>
    <w:rsid w:val="00D2661A"/>
    <w:rsid w:val="00D26A2B"/>
    <w:rsid w:val="00D26C9B"/>
    <w:rsid w:val="00D27416"/>
    <w:rsid w:val="00D2752F"/>
    <w:rsid w:val="00D27653"/>
    <w:rsid w:val="00D27878"/>
    <w:rsid w:val="00D27BC4"/>
    <w:rsid w:val="00D27E3F"/>
    <w:rsid w:val="00D3068C"/>
    <w:rsid w:val="00D30DFC"/>
    <w:rsid w:val="00D30E72"/>
    <w:rsid w:val="00D31213"/>
    <w:rsid w:val="00D312C0"/>
    <w:rsid w:val="00D315DE"/>
    <w:rsid w:val="00D31F7E"/>
    <w:rsid w:val="00D32307"/>
    <w:rsid w:val="00D331D3"/>
    <w:rsid w:val="00D33BDB"/>
    <w:rsid w:val="00D33D50"/>
    <w:rsid w:val="00D33F50"/>
    <w:rsid w:val="00D3406A"/>
    <w:rsid w:val="00D34498"/>
    <w:rsid w:val="00D34636"/>
    <w:rsid w:val="00D34C41"/>
    <w:rsid w:val="00D34F72"/>
    <w:rsid w:val="00D357AB"/>
    <w:rsid w:val="00D36413"/>
    <w:rsid w:val="00D36EFD"/>
    <w:rsid w:val="00D37637"/>
    <w:rsid w:val="00D376E9"/>
    <w:rsid w:val="00D37D2F"/>
    <w:rsid w:val="00D37E9C"/>
    <w:rsid w:val="00D37F72"/>
    <w:rsid w:val="00D40E9E"/>
    <w:rsid w:val="00D41454"/>
    <w:rsid w:val="00D41534"/>
    <w:rsid w:val="00D41C61"/>
    <w:rsid w:val="00D41E9E"/>
    <w:rsid w:val="00D4294D"/>
    <w:rsid w:val="00D42BFB"/>
    <w:rsid w:val="00D430E0"/>
    <w:rsid w:val="00D43E33"/>
    <w:rsid w:val="00D43EF2"/>
    <w:rsid w:val="00D44005"/>
    <w:rsid w:val="00D44469"/>
    <w:rsid w:val="00D44747"/>
    <w:rsid w:val="00D448A2"/>
    <w:rsid w:val="00D44BB1"/>
    <w:rsid w:val="00D468ED"/>
    <w:rsid w:val="00D46912"/>
    <w:rsid w:val="00D46E51"/>
    <w:rsid w:val="00D4713C"/>
    <w:rsid w:val="00D47687"/>
    <w:rsid w:val="00D47ABB"/>
    <w:rsid w:val="00D47AE4"/>
    <w:rsid w:val="00D47E0B"/>
    <w:rsid w:val="00D47E54"/>
    <w:rsid w:val="00D47ED3"/>
    <w:rsid w:val="00D5042A"/>
    <w:rsid w:val="00D5053A"/>
    <w:rsid w:val="00D50672"/>
    <w:rsid w:val="00D5086B"/>
    <w:rsid w:val="00D50A8D"/>
    <w:rsid w:val="00D5128D"/>
    <w:rsid w:val="00D51457"/>
    <w:rsid w:val="00D52395"/>
    <w:rsid w:val="00D528A0"/>
    <w:rsid w:val="00D52968"/>
    <w:rsid w:val="00D52E57"/>
    <w:rsid w:val="00D539B2"/>
    <w:rsid w:val="00D53AB0"/>
    <w:rsid w:val="00D54653"/>
    <w:rsid w:val="00D54770"/>
    <w:rsid w:val="00D547AB"/>
    <w:rsid w:val="00D55184"/>
    <w:rsid w:val="00D554C4"/>
    <w:rsid w:val="00D5580C"/>
    <w:rsid w:val="00D55D8D"/>
    <w:rsid w:val="00D5606E"/>
    <w:rsid w:val="00D56305"/>
    <w:rsid w:val="00D56435"/>
    <w:rsid w:val="00D5658E"/>
    <w:rsid w:val="00D56705"/>
    <w:rsid w:val="00D56DCC"/>
    <w:rsid w:val="00D570A5"/>
    <w:rsid w:val="00D57A01"/>
    <w:rsid w:val="00D57CAA"/>
    <w:rsid w:val="00D57EE0"/>
    <w:rsid w:val="00D614C6"/>
    <w:rsid w:val="00D61EB7"/>
    <w:rsid w:val="00D632D8"/>
    <w:rsid w:val="00D63903"/>
    <w:rsid w:val="00D6468A"/>
    <w:rsid w:val="00D64712"/>
    <w:rsid w:val="00D649E0"/>
    <w:rsid w:val="00D651D4"/>
    <w:rsid w:val="00D652AB"/>
    <w:rsid w:val="00D654FE"/>
    <w:rsid w:val="00D65602"/>
    <w:rsid w:val="00D65949"/>
    <w:rsid w:val="00D66817"/>
    <w:rsid w:val="00D668CC"/>
    <w:rsid w:val="00D66A93"/>
    <w:rsid w:val="00D67660"/>
    <w:rsid w:val="00D67CE6"/>
    <w:rsid w:val="00D7092D"/>
    <w:rsid w:val="00D70AC5"/>
    <w:rsid w:val="00D70ECF"/>
    <w:rsid w:val="00D713BA"/>
    <w:rsid w:val="00D71F59"/>
    <w:rsid w:val="00D7215B"/>
    <w:rsid w:val="00D72219"/>
    <w:rsid w:val="00D724D1"/>
    <w:rsid w:val="00D7269E"/>
    <w:rsid w:val="00D727D9"/>
    <w:rsid w:val="00D72CEE"/>
    <w:rsid w:val="00D72DF5"/>
    <w:rsid w:val="00D73164"/>
    <w:rsid w:val="00D7317F"/>
    <w:rsid w:val="00D73503"/>
    <w:rsid w:val="00D7496C"/>
    <w:rsid w:val="00D759D0"/>
    <w:rsid w:val="00D76627"/>
    <w:rsid w:val="00D76E96"/>
    <w:rsid w:val="00D76F28"/>
    <w:rsid w:val="00D770E2"/>
    <w:rsid w:val="00D7747E"/>
    <w:rsid w:val="00D774AE"/>
    <w:rsid w:val="00D8042B"/>
    <w:rsid w:val="00D806E2"/>
    <w:rsid w:val="00D8194E"/>
    <w:rsid w:val="00D819EE"/>
    <w:rsid w:val="00D81B1B"/>
    <w:rsid w:val="00D81CDA"/>
    <w:rsid w:val="00D82BE6"/>
    <w:rsid w:val="00D82EAF"/>
    <w:rsid w:val="00D82F56"/>
    <w:rsid w:val="00D83114"/>
    <w:rsid w:val="00D83746"/>
    <w:rsid w:val="00D84EAB"/>
    <w:rsid w:val="00D85522"/>
    <w:rsid w:val="00D85C4D"/>
    <w:rsid w:val="00D8647A"/>
    <w:rsid w:val="00D86ABA"/>
    <w:rsid w:val="00D86C08"/>
    <w:rsid w:val="00D910C8"/>
    <w:rsid w:val="00D916A8"/>
    <w:rsid w:val="00D91E17"/>
    <w:rsid w:val="00D92938"/>
    <w:rsid w:val="00D929ED"/>
    <w:rsid w:val="00D9367E"/>
    <w:rsid w:val="00D936EE"/>
    <w:rsid w:val="00D93A10"/>
    <w:rsid w:val="00D9487D"/>
    <w:rsid w:val="00D94CEB"/>
    <w:rsid w:val="00D94D15"/>
    <w:rsid w:val="00D951B8"/>
    <w:rsid w:val="00D95E60"/>
    <w:rsid w:val="00D96A63"/>
    <w:rsid w:val="00D96AB8"/>
    <w:rsid w:val="00D96ABF"/>
    <w:rsid w:val="00D96EF7"/>
    <w:rsid w:val="00D97286"/>
    <w:rsid w:val="00D97785"/>
    <w:rsid w:val="00D97A59"/>
    <w:rsid w:val="00DA03FC"/>
    <w:rsid w:val="00DA0BB7"/>
    <w:rsid w:val="00DA0FED"/>
    <w:rsid w:val="00DA10B6"/>
    <w:rsid w:val="00DA1325"/>
    <w:rsid w:val="00DA151B"/>
    <w:rsid w:val="00DA1D68"/>
    <w:rsid w:val="00DA1E66"/>
    <w:rsid w:val="00DA22D4"/>
    <w:rsid w:val="00DA243D"/>
    <w:rsid w:val="00DA248D"/>
    <w:rsid w:val="00DA2863"/>
    <w:rsid w:val="00DA3192"/>
    <w:rsid w:val="00DA3978"/>
    <w:rsid w:val="00DA3A87"/>
    <w:rsid w:val="00DA3BB6"/>
    <w:rsid w:val="00DA466A"/>
    <w:rsid w:val="00DA478C"/>
    <w:rsid w:val="00DA5A1B"/>
    <w:rsid w:val="00DA638B"/>
    <w:rsid w:val="00DA6460"/>
    <w:rsid w:val="00DA69C5"/>
    <w:rsid w:val="00DA6D45"/>
    <w:rsid w:val="00DA71B5"/>
    <w:rsid w:val="00DA7751"/>
    <w:rsid w:val="00DA777D"/>
    <w:rsid w:val="00DA77F1"/>
    <w:rsid w:val="00DA7898"/>
    <w:rsid w:val="00DB061B"/>
    <w:rsid w:val="00DB086D"/>
    <w:rsid w:val="00DB0E21"/>
    <w:rsid w:val="00DB0E83"/>
    <w:rsid w:val="00DB1096"/>
    <w:rsid w:val="00DB1115"/>
    <w:rsid w:val="00DB1319"/>
    <w:rsid w:val="00DB1466"/>
    <w:rsid w:val="00DB163E"/>
    <w:rsid w:val="00DB17E6"/>
    <w:rsid w:val="00DB1ACB"/>
    <w:rsid w:val="00DB2579"/>
    <w:rsid w:val="00DB2A46"/>
    <w:rsid w:val="00DB31F6"/>
    <w:rsid w:val="00DB3679"/>
    <w:rsid w:val="00DB3A52"/>
    <w:rsid w:val="00DB3C9B"/>
    <w:rsid w:val="00DB3CA0"/>
    <w:rsid w:val="00DB47DB"/>
    <w:rsid w:val="00DB5145"/>
    <w:rsid w:val="00DB59B2"/>
    <w:rsid w:val="00DB5D69"/>
    <w:rsid w:val="00DB5E0D"/>
    <w:rsid w:val="00DB6A74"/>
    <w:rsid w:val="00DB6B37"/>
    <w:rsid w:val="00DB6B61"/>
    <w:rsid w:val="00DB7162"/>
    <w:rsid w:val="00DB7191"/>
    <w:rsid w:val="00DB73A3"/>
    <w:rsid w:val="00DB74A5"/>
    <w:rsid w:val="00DB7BFB"/>
    <w:rsid w:val="00DB7EE1"/>
    <w:rsid w:val="00DB7F65"/>
    <w:rsid w:val="00DC070C"/>
    <w:rsid w:val="00DC0CFA"/>
    <w:rsid w:val="00DC165C"/>
    <w:rsid w:val="00DC17D1"/>
    <w:rsid w:val="00DC1BCF"/>
    <w:rsid w:val="00DC22EB"/>
    <w:rsid w:val="00DC253A"/>
    <w:rsid w:val="00DC2545"/>
    <w:rsid w:val="00DC4C47"/>
    <w:rsid w:val="00DC4C72"/>
    <w:rsid w:val="00DC53A2"/>
    <w:rsid w:val="00DC59D8"/>
    <w:rsid w:val="00DC5EED"/>
    <w:rsid w:val="00DC61C9"/>
    <w:rsid w:val="00DC691A"/>
    <w:rsid w:val="00DC6BA9"/>
    <w:rsid w:val="00DC6E20"/>
    <w:rsid w:val="00DC6F33"/>
    <w:rsid w:val="00DC784D"/>
    <w:rsid w:val="00DD096E"/>
    <w:rsid w:val="00DD0973"/>
    <w:rsid w:val="00DD0E3B"/>
    <w:rsid w:val="00DD13F9"/>
    <w:rsid w:val="00DD19B6"/>
    <w:rsid w:val="00DD21CF"/>
    <w:rsid w:val="00DD2708"/>
    <w:rsid w:val="00DD2C07"/>
    <w:rsid w:val="00DD3485"/>
    <w:rsid w:val="00DD375B"/>
    <w:rsid w:val="00DD3C0A"/>
    <w:rsid w:val="00DD3D5B"/>
    <w:rsid w:val="00DD3FA0"/>
    <w:rsid w:val="00DD4172"/>
    <w:rsid w:val="00DD4227"/>
    <w:rsid w:val="00DD477E"/>
    <w:rsid w:val="00DD5037"/>
    <w:rsid w:val="00DD5B6F"/>
    <w:rsid w:val="00DD5CC7"/>
    <w:rsid w:val="00DD66B1"/>
    <w:rsid w:val="00DD72EC"/>
    <w:rsid w:val="00DD749B"/>
    <w:rsid w:val="00DD7596"/>
    <w:rsid w:val="00DD7FBE"/>
    <w:rsid w:val="00DE0202"/>
    <w:rsid w:val="00DE0421"/>
    <w:rsid w:val="00DE0F20"/>
    <w:rsid w:val="00DE1162"/>
    <w:rsid w:val="00DE1AD3"/>
    <w:rsid w:val="00DE1C03"/>
    <w:rsid w:val="00DE1D27"/>
    <w:rsid w:val="00DE2387"/>
    <w:rsid w:val="00DE239D"/>
    <w:rsid w:val="00DE29B1"/>
    <w:rsid w:val="00DE2EAE"/>
    <w:rsid w:val="00DE2F0E"/>
    <w:rsid w:val="00DE3CA9"/>
    <w:rsid w:val="00DE4BE8"/>
    <w:rsid w:val="00DE4C28"/>
    <w:rsid w:val="00DE5D88"/>
    <w:rsid w:val="00DE6D36"/>
    <w:rsid w:val="00DE6F82"/>
    <w:rsid w:val="00DE70CC"/>
    <w:rsid w:val="00DE73E7"/>
    <w:rsid w:val="00DE7A11"/>
    <w:rsid w:val="00DE7BC0"/>
    <w:rsid w:val="00DF0175"/>
    <w:rsid w:val="00DF0A9B"/>
    <w:rsid w:val="00DF0D32"/>
    <w:rsid w:val="00DF11A6"/>
    <w:rsid w:val="00DF15E8"/>
    <w:rsid w:val="00DF163F"/>
    <w:rsid w:val="00DF1AC4"/>
    <w:rsid w:val="00DF1E00"/>
    <w:rsid w:val="00DF1FAF"/>
    <w:rsid w:val="00DF231A"/>
    <w:rsid w:val="00DF2623"/>
    <w:rsid w:val="00DF27AC"/>
    <w:rsid w:val="00DF2EC3"/>
    <w:rsid w:val="00DF36D4"/>
    <w:rsid w:val="00DF45BF"/>
    <w:rsid w:val="00DF45ED"/>
    <w:rsid w:val="00DF53A4"/>
    <w:rsid w:val="00DF542B"/>
    <w:rsid w:val="00DF59F7"/>
    <w:rsid w:val="00DF5E6B"/>
    <w:rsid w:val="00DF664A"/>
    <w:rsid w:val="00DF6A65"/>
    <w:rsid w:val="00DF6D20"/>
    <w:rsid w:val="00DF7147"/>
    <w:rsid w:val="00DF7436"/>
    <w:rsid w:val="00DF771A"/>
    <w:rsid w:val="00DF7D3F"/>
    <w:rsid w:val="00DF7DA2"/>
    <w:rsid w:val="00E008DB"/>
    <w:rsid w:val="00E010B0"/>
    <w:rsid w:val="00E0133F"/>
    <w:rsid w:val="00E01E46"/>
    <w:rsid w:val="00E028D4"/>
    <w:rsid w:val="00E0303A"/>
    <w:rsid w:val="00E0316F"/>
    <w:rsid w:val="00E04656"/>
    <w:rsid w:val="00E0467B"/>
    <w:rsid w:val="00E0475B"/>
    <w:rsid w:val="00E04B5C"/>
    <w:rsid w:val="00E04CC9"/>
    <w:rsid w:val="00E0598D"/>
    <w:rsid w:val="00E05A0A"/>
    <w:rsid w:val="00E05E9B"/>
    <w:rsid w:val="00E0673B"/>
    <w:rsid w:val="00E0693D"/>
    <w:rsid w:val="00E06E91"/>
    <w:rsid w:val="00E0709F"/>
    <w:rsid w:val="00E07E5C"/>
    <w:rsid w:val="00E07EDF"/>
    <w:rsid w:val="00E101B4"/>
    <w:rsid w:val="00E103B0"/>
    <w:rsid w:val="00E10463"/>
    <w:rsid w:val="00E10DCF"/>
    <w:rsid w:val="00E1184C"/>
    <w:rsid w:val="00E11A6D"/>
    <w:rsid w:val="00E11F20"/>
    <w:rsid w:val="00E1218A"/>
    <w:rsid w:val="00E13E6E"/>
    <w:rsid w:val="00E140E1"/>
    <w:rsid w:val="00E14596"/>
    <w:rsid w:val="00E148DF"/>
    <w:rsid w:val="00E14BA1"/>
    <w:rsid w:val="00E15322"/>
    <w:rsid w:val="00E159C1"/>
    <w:rsid w:val="00E15D8F"/>
    <w:rsid w:val="00E161B7"/>
    <w:rsid w:val="00E161FD"/>
    <w:rsid w:val="00E16A6A"/>
    <w:rsid w:val="00E171AE"/>
    <w:rsid w:val="00E17BF4"/>
    <w:rsid w:val="00E17C89"/>
    <w:rsid w:val="00E17C96"/>
    <w:rsid w:val="00E203EA"/>
    <w:rsid w:val="00E20752"/>
    <w:rsid w:val="00E20AFB"/>
    <w:rsid w:val="00E2119F"/>
    <w:rsid w:val="00E217D0"/>
    <w:rsid w:val="00E21807"/>
    <w:rsid w:val="00E22A81"/>
    <w:rsid w:val="00E22ABF"/>
    <w:rsid w:val="00E22AC0"/>
    <w:rsid w:val="00E22FBC"/>
    <w:rsid w:val="00E237FC"/>
    <w:rsid w:val="00E23F81"/>
    <w:rsid w:val="00E24024"/>
    <w:rsid w:val="00E2469A"/>
    <w:rsid w:val="00E2521D"/>
    <w:rsid w:val="00E2537B"/>
    <w:rsid w:val="00E25BC1"/>
    <w:rsid w:val="00E25E9C"/>
    <w:rsid w:val="00E268DB"/>
    <w:rsid w:val="00E26B64"/>
    <w:rsid w:val="00E27B11"/>
    <w:rsid w:val="00E300B0"/>
    <w:rsid w:val="00E3098E"/>
    <w:rsid w:val="00E309AA"/>
    <w:rsid w:val="00E309FA"/>
    <w:rsid w:val="00E3194C"/>
    <w:rsid w:val="00E3254E"/>
    <w:rsid w:val="00E32795"/>
    <w:rsid w:val="00E32C26"/>
    <w:rsid w:val="00E33295"/>
    <w:rsid w:val="00E33418"/>
    <w:rsid w:val="00E33977"/>
    <w:rsid w:val="00E33C06"/>
    <w:rsid w:val="00E3439C"/>
    <w:rsid w:val="00E34616"/>
    <w:rsid w:val="00E34C3F"/>
    <w:rsid w:val="00E34F2B"/>
    <w:rsid w:val="00E35775"/>
    <w:rsid w:val="00E364AC"/>
    <w:rsid w:val="00E36D66"/>
    <w:rsid w:val="00E36DA3"/>
    <w:rsid w:val="00E36E6E"/>
    <w:rsid w:val="00E3704F"/>
    <w:rsid w:val="00E373CD"/>
    <w:rsid w:val="00E374B5"/>
    <w:rsid w:val="00E37578"/>
    <w:rsid w:val="00E375D0"/>
    <w:rsid w:val="00E40408"/>
    <w:rsid w:val="00E408D4"/>
    <w:rsid w:val="00E40B64"/>
    <w:rsid w:val="00E40D0E"/>
    <w:rsid w:val="00E40E68"/>
    <w:rsid w:val="00E4155C"/>
    <w:rsid w:val="00E416E0"/>
    <w:rsid w:val="00E41877"/>
    <w:rsid w:val="00E42A53"/>
    <w:rsid w:val="00E4338A"/>
    <w:rsid w:val="00E437BD"/>
    <w:rsid w:val="00E438A1"/>
    <w:rsid w:val="00E43BB3"/>
    <w:rsid w:val="00E43CA6"/>
    <w:rsid w:val="00E43D21"/>
    <w:rsid w:val="00E451C2"/>
    <w:rsid w:val="00E4523A"/>
    <w:rsid w:val="00E455A6"/>
    <w:rsid w:val="00E456EB"/>
    <w:rsid w:val="00E457F3"/>
    <w:rsid w:val="00E46072"/>
    <w:rsid w:val="00E461A9"/>
    <w:rsid w:val="00E47B26"/>
    <w:rsid w:val="00E5058C"/>
    <w:rsid w:val="00E50625"/>
    <w:rsid w:val="00E50ACC"/>
    <w:rsid w:val="00E51D14"/>
    <w:rsid w:val="00E51E4F"/>
    <w:rsid w:val="00E521A6"/>
    <w:rsid w:val="00E52384"/>
    <w:rsid w:val="00E536CC"/>
    <w:rsid w:val="00E55091"/>
    <w:rsid w:val="00E550E5"/>
    <w:rsid w:val="00E55467"/>
    <w:rsid w:val="00E5588D"/>
    <w:rsid w:val="00E55B0F"/>
    <w:rsid w:val="00E55C99"/>
    <w:rsid w:val="00E56362"/>
    <w:rsid w:val="00E56713"/>
    <w:rsid w:val="00E56914"/>
    <w:rsid w:val="00E569FC"/>
    <w:rsid w:val="00E56CC3"/>
    <w:rsid w:val="00E57084"/>
    <w:rsid w:val="00E5730C"/>
    <w:rsid w:val="00E578BD"/>
    <w:rsid w:val="00E60510"/>
    <w:rsid w:val="00E60A3A"/>
    <w:rsid w:val="00E60DA9"/>
    <w:rsid w:val="00E6163C"/>
    <w:rsid w:val="00E6187B"/>
    <w:rsid w:val="00E61CCE"/>
    <w:rsid w:val="00E62033"/>
    <w:rsid w:val="00E62100"/>
    <w:rsid w:val="00E62C7D"/>
    <w:rsid w:val="00E6353A"/>
    <w:rsid w:val="00E636EF"/>
    <w:rsid w:val="00E637B5"/>
    <w:rsid w:val="00E637C5"/>
    <w:rsid w:val="00E63B76"/>
    <w:rsid w:val="00E63DC7"/>
    <w:rsid w:val="00E63E81"/>
    <w:rsid w:val="00E641E3"/>
    <w:rsid w:val="00E64466"/>
    <w:rsid w:val="00E6483D"/>
    <w:rsid w:val="00E64B64"/>
    <w:rsid w:val="00E64CD8"/>
    <w:rsid w:val="00E656D3"/>
    <w:rsid w:val="00E65DB9"/>
    <w:rsid w:val="00E661AC"/>
    <w:rsid w:val="00E668C9"/>
    <w:rsid w:val="00E66C20"/>
    <w:rsid w:val="00E66C24"/>
    <w:rsid w:val="00E66E6B"/>
    <w:rsid w:val="00E6733F"/>
    <w:rsid w:val="00E678AD"/>
    <w:rsid w:val="00E67A34"/>
    <w:rsid w:val="00E700E2"/>
    <w:rsid w:val="00E704F7"/>
    <w:rsid w:val="00E71492"/>
    <w:rsid w:val="00E718EB"/>
    <w:rsid w:val="00E71E36"/>
    <w:rsid w:val="00E7258A"/>
    <w:rsid w:val="00E72F9A"/>
    <w:rsid w:val="00E7379B"/>
    <w:rsid w:val="00E73EA5"/>
    <w:rsid w:val="00E74087"/>
    <w:rsid w:val="00E7413E"/>
    <w:rsid w:val="00E741C8"/>
    <w:rsid w:val="00E74984"/>
    <w:rsid w:val="00E74AB7"/>
    <w:rsid w:val="00E74D5B"/>
    <w:rsid w:val="00E74F10"/>
    <w:rsid w:val="00E752EA"/>
    <w:rsid w:val="00E759F9"/>
    <w:rsid w:val="00E76711"/>
    <w:rsid w:val="00E768F7"/>
    <w:rsid w:val="00E774DF"/>
    <w:rsid w:val="00E77625"/>
    <w:rsid w:val="00E77998"/>
    <w:rsid w:val="00E77DDA"/>
    <w:rsid w:val="00E8044B"/>
    <w:rsid w:val="00E8167B"/>
    <w:rsid w:val="00E826B4"/>
    <w:rsid w:val="00E82D34"/>
    <w:rsid w:val="00E835B2"/>
    <w:rsid w:val="00E83E33"/>
    <w:rsid w:val="00E83F59"/>
    <w:rsid w:val="00E84296"/>
    <w:rsid w:val="00E84E28"/>
    <w:rsid w:val="00E853C4"/>
    <w:rsid w:val="00E8556F"/>
    <w:rsid w:val="00E85A43"/>
    <w:rsid w:val="00E8752D"/>
    <w:rsid w:val="00E87AF0"/>
    <w:rsid w:val="00E9017D"/>
    <w:rsid w:val="00E90393"/>
    <w:rsid w:val="00E919F5"/>
    <w:rsid w:val="00E92035"/>
    <w:rsid w:val="00E920E3"/>
    <w:rsid w:val="00E923ED"/>
    <w:rsid w:val="00E92586"/>
    <w:rsid w:val="00E9309B"/>
    <w:rsid w:val="00E935E9"/>
    <w:rsid w:val="00E93950"/>
    <w:rsid w:val="00E93AEE"/>
    <w:rsid w:val="00E94681"/>
    <w:rsid w:val="00E950AD"/>
    <w:rsid w:val="00E951A0"/>
    <w:rsid w:val="00E95558"/>
    <w:rsid w:val="00E95E2E"/>
    <w:rsid w:val="00E96595"/>
    <w:rsid w:val="00E96861"/>
    <w:rsid w:val="00E96B76"/>
    <w:rsid w:val="00E96DAD"/>
    <w:rsid w:val="00E97316"/>
    <w:rsid w:val="00E973BC"/>
    <w:rsid w:val="00EA041B"/>
    <w:rsid w:val="00EA0BA8"/>
    <w:rsid w:val="00EA0D05"/>
    <w:rsid w:val="00EA1B33"/>
    <w:rsid w:val="00EA1EE7"/>
    <w:rsid w:val="00EA202C"/>
    <w:rsid w:val="00EA259E"/>
    <w:rsid w:val="00EA27F7"/>
    <w:rsid w:val="00EA2CE4"/>
    <w:rsid w:val="00EA2FBF"/>
    <w:rsid w:val="00EA367B"/>
    <w:rsid w:val="00EA3888"/>
    <w:rsid w:val="00EA3F17"/>
    <w:rsid w:val="00EA44A9"/>
    <w:rsid w:val="00EA466A"/>
    <w:rsid w:val="00EA4AB5"/>
    <w:rsid w:val="00EA5010"/>
    <w:rsid w:val="00EA5496"/>
    <w:rsid w:val="00EA5C4C"/>
    <w:rsid w:val="00EA5E4C"/>
    <w:rsid w:val="00EA6825"/>
    <w:rsid w:val="00EA6C65"/>
    <w:rsid w:val="00EA7B21"/>
    <w:rsid w:val="00EA7B9A"/>
    <w:rsid w:val="00EB1142"/>
    <w:rsid w:val="00EB13E3"/>
    <w:rsid w:val="00EB180F"/>
    <w:rsid w:val="00EB1B99"/>
    <w:rsid w:val="00EB2143"/>
    <w:rsid w:val="00EB2B84"/>
    <w:rsid w:val="00EB34FB"/>
    <w:rsid w:val="00EB3D5D"/>
    <w:rsid w:val="00EB41D5"/>
    <w:rsid w:val="00EB44E3"/>
    <w:rsid w:val="00EB4AEA"/>
    <w:rsid w:val="00EB588A"/>
    <w:rsid w:val="00EB5936"/>
    <w:rsid w:val="00EB622D"/>
    <w:rsid w:val="00EB6542"/>
    <w:rsid w:val="00EB72DF"/>
    <w:rsid w:val="00EB75EA"/>
    <w:rsid w:val="00EC0A8C"/>
    <w:rsid w:val="00EC19E5"/>
    <w:rsid w:val="00EC1DDB"/>
    <w:rsid w:val="00EC27DE"/>
    <w:rsid w:val="00EC2B72"/>
    <w:rsid w:val="00EC304A"/>
    <w:rsid w:val="00EC35A4"/>
    <w:rsid w:val="00EC42F8"/>
    <w:rsid w:val="00EC4E4B"/>
    <w:rsid w:val="00EC4ED1"/>
    <w:rsid w:val="00EC56E5"/>
    <w:rsid w:val="00EC6C35"/>
    <w:rsid w:val="00EC797C"/>
    <w:rsid w:val="00ED1348"/>
    <w:rsid w:val="00ED169F"/>
    <w:rsid w:val="00ED16B7"/>
    <w:rsid w:val="00ED219D"/>
    <w:rsid w:val="00ED23A8"/>
    <w:rsid w:val="00ED275A"/>
    <w:rsid w:val="00ED2E03"/>
    <w:rsid w:val="00ED340B"/>
    <w:rsid w:val="00ED3919"/>
    <w:rsid w:val="00ED3B71"/>
    <w:rsid w:val="00ED3D73"/>
    <w:rsid w:val="00ED4023"/>
    <w:rsid w:val="00ED4BAE"/>
    <w:rsid w:val="00ED4FFF"/>
    <w:rsid w:val="00ED53E6"/>
    <w:rsid w:val="00ED5657"/>
    <w:rsid w:val="00ED5716"/>
    <w:rsid w:val="00ED5DB7"/>
    <w:rsid w:val="00ED611D"/>
    <w:rsid w:val="00ED680E"/>
    <w:rsid w:val="00ED7FA4"/>
    <w:rsid w:val="00EE02F1"/>
    <w:rsid w:val="00EE06C6"/>
    <w:rsid w:val="00EE0C11"/>
    <w:rsid w:val="00EE0C6B"/>
    <w:rsid w:val="00EE1769"/>
    <w:rsid w:val="00EE17EB"/>
    <w:rsid w:val="00EE19BA"/>
    <w:rsid w:val="00EE1A7C"/>
    <w:rsid w:val="00EE1EC5"/>
    <w:rsid w:val="00EE2373"/>
    <w:rsid w:val="00EE29FF"/>
    <w:rsid w:val="00EE33A5"/>
    <w:rsid w:val="00EE34D6"/>
    <w:rsid w:val="00EE3B3C"/>
    <w:rsid w:val="00EE3B66"/>
    <w:rsid w:val="00EE3EB7"/>
    <w:rsid w:val="00EE42B5"/>
    <w:rsid w:val="00EE4784"/>
    <w:rsid w:val="00EE4C38"/>
    <w:rsid w:val="00EE569D"/>
    <w:rsid w:val="00EE5772"/>
    <w:rsid w:val="00EE5AD6"/>
    <w:rsid w:val="00EE6ADD"/>
    <w:rsid w:val="00EE71A6"/>
    <w:rsid w:val="00EE7557"/>
    <w:rsid w:val="00EE7F51"/>
    <w:rsid w:val="00EE7FE8"/>
    <w:rsid w:val="00EF03F5"/>
    <w:rsid w:val="00EF0907"/>
    <w:rsid w:val="00EF0985"/>
    <w:rsid w:val="00EF148C"/>
    <w:rsid w:val="00EF19B5"/>
    <w:rsid w:val="00EF1D51"/>
    <w:rsid w:val="00EF2733"/>
    <w:rsid w:val="00EF289C"/>
    <w:rsid w:val="00EF2A04"/>
    <w:rsid w:val="00EF2F73"/>
    <w:rsid w:val="00EF45B2"/>
    <w:rsid w:val="00EF469C"/>
    <w:rsid w:val="00EF4871"/>
    <w:rsid w:val="00EF5139"/>
    <w:rsid w:val="00EF52D4"/>
    <w:rsid w:val="00EF585D"/>
    <w:rsid w:val="00EF5F81"/>
    <w:rsid w:val="00EF67D7"/>
    <w:rsid w:val="00EF70AC"/>
    <w:rsid w:val="00EF723D"/>
    <w:rsid w:val="00EF7411"/>
    <w:rsid w:val="00EF774A"/>
    <w:rsid w:val="00EF7AA0"/>
    <w:rsid w:val="00EF7ED4"/>
    <w:rsid w:val="00EF7F57"/>
    <w:rsid w:val="00F00790"/>
    <w:rsid w:val="00F00B9A"/>
    <w:rsid w:val="00F00CDC"/>
    <w:rsid w:val="00F00E30"/>
    <w:rsid w:val="00F0103B"/>
    <w:rsid w:val="00F01CF1"/>
    <w:rsid w:val="00F02E6C"/>
    <w:rsid w:val="00F035B4"/>
    <w:rsid w:val="00F03858"/>
    <w:rsid w:val="00F038E3"/>
    <w:rsid w:val="00F03C48"/>
    <w:rsid w:val="00F03DFC"/>
    <w:rsid w:val="00F03ED3"/>
    <w:rsid w:val="00F03F03"/>
    <w:rsid w:val="00F04486"/>
    <w:rsid w:val="00F045AF"/>
    <w:rsid w:val="00F05667"/>
    <w:rsid w:val="00F056FE"/>
    <w:rsid w:val="00F05BA4"/>
    <w:rsid w:val="00F05D0A"/>
    <w:rsid w:val="00F063D4"/>
    <w:rsid w:val="00F0699E"/>
    <w:rsid w:val="00F06A89"/>
    <w:rsid w:val="00F074D6"/>
    <w:rsid w:val="00F07794"/>
    <w:rsid w:val="00F0787B"/>
    <w:rsid w:val="00F07D0E"/>
    <w:rsid w:val="00F10547"/>
    <w:rsid w:val="00F10738"/>
    <w:rsid w:val="00F1099D"/>
    <w:rsid w:val="00F113FA"/>
    <w:rsid w:val="00F11D8E"/>
    <w:rsid w:val="00F12761"/>
    <w:rsid w:val="00F13A98"/>
    <w:rsid w:val="00F13FDC"/>
    <w:rsid w:val="00F141BD"/>
    <w:rsid w:val="00F14342"/>
    <w:rsid w:val="00F14722"/>
    <w:rsid w:val="00F14AD1"/>
    <w:rsid w:val="00F14B6F"/>
    <w:rsid w:val="00F15551"/>
    <w:rsid w:val="00F1586A"/>
    <w:rsid w:val="00F168D9"/>
    <w:rsid w:val="00F16ABF"/>
    <w:rsid w:val="00F16B11"/>
    <w:rsid w:val="00F17747"/>
    <w:rsid w:val="00F204CB"/>
    <w:rsid w:val="00F20D65"/>
    <w:rsid w:val="00F20E73"/>
    <w:rsid w:val="00F20FBE"/>
    <w:rsid w:val="00F22BEC"/>
    <w:rsid w:val="00F22D7E"/>
    <w:rsid w:val="00F22DC6"/>
    <w:rsid w:val="00F22E52"/>
    <w:rsid w:val="00F22EEB"/>
    <w:rsid w:val="00F23411"/>
    <w:rsid w:val="00F2347C"/>
    <w:rsid w:val="00F23577"/>
    <w:rsid w:val="00F242E0"/>
    <w:rsid w:val="00F24748"/>
    <w:rsid w:val="00F247FD"/>
    <w:rsid w:val="00F24C83"/>
    <w:rsid w:val="00F24EEE"/>
    <w:rsid w:val="00F252FA"/>
    <w:rsid w:val="00F25C76"/>
    <w:rsid w:val="00F25C7A"/>
    <w:rsid w:val="00F25D24"/>
    <w:rsid w:val="00F27505"/>
    <w:rsid w:val="00F306BE"/>
    <w:rsid w:val="00F30A00"/>
    <w:rsid w:val="00F30BF6"/>
    <w:rsid w:val="00F3177F"/>
    <w:rsid w:val="00F31A25"/>
    <w:rsid w:val="00F31D55"/>
    <w:rsid w:val="00F31EAF"/>
    <w:rsid w:val="00F3205E"/>
    <w:rsid w:val="00F32816"/>
    <w:rsid w:val="00F32971"/>
    <w:rsid w:val="00F32A39"/>
    <w:rsid w:val="00F3334B"/>
    <w:rsid w:val="00F334B9"/>
    <w:rsid w:val="00F334DE"/>
    <w:rsid w:val="00F33D1A"/>
    <w:rsid w:val="00F33FBE"/>
    <w:rsid w:val="00F33FE2"/>
    <w:rsid w:val="00F345D1"/>
    <w:rsid w:val="00F34801"/>
    <w:rsid w:val="00F359D3"/>
    <w:rsid w:val="00F35D31"/>
    <w:rsid w:val="00F35D3B"/>
    <w:rsid w:val="00F35D6C"/>
    <w:rsid w:val="00F362C5"/>
    <w:rsid w:val="00F36A37"/>
    <w:rsid w:val="00F36B75"/>
    <w:rsid w:val="00F36D12"/>
    <w:rsid w:val="00F372B5"/>
    <w:rsid w:val="00F3751B"/>
    <w:rsid w:val="00F3785E"/>
    <w:rsid w:val="00F37881"/>
    <w:rsid w:val="00F37C67"/>
    <w:rsid w:val="00F400FD"/>
    <w:rsid w:val="00F404B2"/>
    <w:rsid w:val="00F40584"/>
    <w:rsid w:val="00F40AD5"/>
    <w:rsid w:val="00F40B33"/>
    <w:rsid w:val="00F410CD"/>
    <w:rsid w:val="00F4115D"/>
    <w:rsid w:val="00F41CC9"/>
    <w:rsid w:val="00F41F1D"/>
    <w:rsid w:val="00F4211E"/>
    <w:rsid w:val="00F422AD"/>
    <w:rsid w:val="00F42399"/>
    <w:rsid w:val="00F426EE"/>
    <w:rsid w:val="00F42D66"/>
    <w:rsid w:val="00F4311C"/>
    <w:rsid w:val="00F432A6"/>
    <w:rsid w:val="00F438A5"/>
    <w:rsid w:val="00F43B31"/>
    <w:rsid w:val="00F43D9B"/>
    <w:rsid w:val="00F44719"/>
    <w:rsid w:val="00F45D02"/>
    <w:rsid w:val="00F4666C"/>
    <w:rsid w:val="00F468FD"/>
    <w:rsid w:val="00F46D82"/>
    <w:rsid w:val="00F46DC6"/>
    <w:rsid w:val="00F46E4B"/>
    <w:rsid w:val="00F46EB8"/>
    <w:rsid w:val="00F47970"/>
    <w:rsid w:val="00F47BA2"/>
    <w:rsid w:val="00F47E0F"/>
    <w:rsid w:val="00F47E2B"/>
    <w:rsid w:val="00F47E5F"/>
    <w:rsid w:val="00F5022B"/>
    <w:rsid w:val="00F503F3"/>
    <w:rsid w:val="00F51548"/>
    <w:rsid w:val="00F51AB7"/>
    <w:rsid w:val="00F51E3A"/>
    <w:rsid w:val="00F51E76"/>
    <w:rsid w:val="00F51F9F"/>
    <w:rsid w:val="00F5220F"/>
    <w:rsid w:val="00F53021"/>
    <w:rsid w:val="00F532C5"/>
    <w:rsid w:val="00F53AAE"/>
    <w:rsid w:val="00F53C54"/>
    <w:rsid w:val="00F54075"/>
    <w:rsid w:val="00F54530"/>
    <w:rsid w:val="00F54C61"/>
    <w:rsid w:val="00F5599C"/>
    <w:rsid w:val="00F55D5F"/>
    <w:rsid w:val="00F56370"/>
    <w:rsid w:val="00F56608"/>
    <w:rsid w:val="00F56D3D"/>
    <w:rsid w:val="00F57052"/>
    <w:rsid w:val="00F576DF"/>
    <w:rsid w:val="00F60332"/>
    <w:rsid w:val="00F6187B"/>
    <w:rsid w:val="00F6208C"/>
    <w:rsid w:val="00F62133"/>
    <w:rsid w:val="00F63079"/>
    <w:rsid w:val="00F63826"/>
    <w:rsid w:val="00F64BF7"/>
    <w:rsid w:val="00F64C2B"/>
    <w:rsid w:val="00F66E34"/>
    <w:rsid w:val="00F672C1"/>
    <w:rsid w:val="00F67E43"/>
    <w:rsid w:val="00F702D0"/>
    <w:rsid w:val="00F70471"/>
    <w:rsid w:val="00F70519"/>
    <w:rsid w:val="00F707C4"/>
    <w:rsid w:val="00F70C92"/>
    <w:rsid w:val="00F70D0B"/>
    <w:rsid w:val="00F70FD6"/>
    <w:rsid w:val="00F71C76"/>
    <w:rsid w:val="00F71D4D"/>
    <w:rsid w:val="00F72453"/>
    <w:rsid w:val="00F724FB"/>
    <w:rsid w:val="00F73531"/>
    <w:rsid w:val="00F737D6"/>
    <w:rsid w:val="00F73E18"/>
    <w:rsid w:val="00F740AC"/>
    <w:rsid w:val="00F7445D"/>
    <w:rsid w:val="00F751C6"/>
    <w:rsid w:val="00F75212"/>
    <w:rsid w:val="00F756BE"/>
    <w:rsid w:val="00F7624D"/>
    <w:rsid w:val="00F762DF"/>
    <w:rsid w:val="00F769E6"/>
    <w:rsid w:val="00F76D03"/>
    <w:rsid w:val="00F76E6C"/>
    <w:rsid w:val="00F772F0"/>
    <w:rsid w:val="00F775E9"/>
    <w:rsid w:val="00F77A98"/>
    <w:rsid w:val="00F80C54"/>
    <w:rsid w:val="00F80EC0"/>
    <w:rsid w:val="00F80F70"/>
    <w:rsid w:val="00F811E2"/>
    <w:rsid w:val="00F82702"/>
    <w:rsid w:val="00F82729"/>
    <w:rsid w:val="00F8407E"/>
    <w:rsid w:val="00F8483E"/>
    <w:rsid w:val="00F8498B"/>
    <w:rsid w:val="00F84AF2"/>
    <w:rsid w:val="00F84D11"/>
    <w:rsid w:val="00F84E54"/>
    <w:rsid w:val="00F84FB3"/>
    <w:rsid w:val="00F859C0"/>
    <w:rsid w:val="00F85A70"/>
    <w:rsid w:val="00F85ABE"/>
    <w:rsid w:val="00F85C18"/>
    <w:rsid w:val="00F865CB"/>
    <w:rsid w:val="00F869C9"/>
    <w:rsid w:val="00F87812"/>
    <w:rsid w:val="00F87A5D"/>
    <w:rsid w:val="00F91FB3"/>
    <w:rsid w:val="00F92474"/>
    <w:rsid w:val="00F92C6C"/>
    <w:rsid w:val="00F930A7"/>
    <w:rsid w:val="00F93128"/>
    <w:rsid w:val="00F94074"/>
    <w:rsid w:val="00F945F4"/>
    <w:rsid w:val="00F94AE8"/>
    <w:rsid w:val="00F95606"/>
    <w:rsid w:val="00F9568C"/>
    <w:rsid w:val="00F96026"/>
    <w:rsid w:val="00F96DE6"/>
    <w:rsid w:val="00F97591"/>
    <w:rsid w:val="00F97653"/>
    <w:rsid w:val="00FA0844"/>
    <w:rsid w:val="00FA0917"/>
    <w:rsid w:val="00FA0970"/>
    <w:rsid w:val="00FA0EFC"/>
    <w:rsid w:val="00FA1260"/>
    <w:rsid w:val="00FA12BB"/>
    <w:rsid w:val="00FA13BA"/>
    <w:rsid w:val="00FA1501"/>
    <w:rsid w:val="00FA1A25"/>
    <w:rsid w:val="00FA2106"/>
    <w:rsid w:val="00FA246A"/>
    <w:rsid w:val="00FA273C"/>
    <w:rsid w:val="00FA2D84"/>
    <w:rsid w:val="00FA352E"/>
    <w:rsid w:val="00FA3987"/>
    <w:rsid w:val="00FA3DD2"/>
    <w:rsid w:val="00FA4584"/>
    <w:rsid w:val="00FA47E4"/>
    <w:rsid w:val="00FA4B50"/>
    <w:rsid w:val="00FA4F7B"/>
    <w:rsid w:val="00FA50B0"/>
    <w:rsid w:val="00FA5A76"/>
    <w:rsid w:val="00FA64EF"/>
    <w:rsid w:val="00FA66B4"/>
    <w:rsid w:val="00FA706B"/>
    <w:rsid w:val="00FA70D4"/>
    <w:rsid w:val="00FA720C"/>
    <w:rsid w:val="00FA731C"/>
    <w:rsid w:val="00FA74AF"/>
    <w:rsid w:val="00FA7A2A"/>
    <w:rsid w:val="00FB0053"/>
    <w:rsid w:val="00FB02C7"/>
    <w:rsid w:val="00FB094B"/>
    <w:rsid w:val="00FB10A9"/>
    <w:rsid w:val="00FB18CB"/>
    <w:rsid w:val="00FB1DC8"/>
    <w:rsid w:val="00FB20FF"/>
    <w:rsid w:val="00FB2929"/>
    <w:rsid w:val="00FB37AD"/>
    <w:rsid w:val="00FB430B"/>
    <w:rsid w:val="00FB494B"/>
    <w:rsid w:val="00FB54FF"/>
    <w:rsid w:val="00FB5604"/>
    <w:rsid w:val="00FB5E69"/>
    <w:rsid w:val="00FB6EA7"/>
    <w:rsid w:val="00FB73A1"/>
    <w:rsid w:val="00FB7603"/>
    <w:rsid w:val="00FB7815"/>
    <w:rsid w:val="00FB7A26"/>
    <w:rsid w:val="00FC00D2"/>
    <w:rsid w:val="00FC0B2F"/>
    <w:rsid w:val="00FC1D69"/>
    <w:rsid w:val="00FC1E11"/>
    <w:rsid w:val="00FC225F"/>
    <w:rsid w:val="00FC22A5"/>
    <w:rsid w:val="00FC3698"/>
    <w:rsid w:val="00FC397F"/>
    <w:rsid w:val="00FC3E83"/>
    <w:rsid w:val="00FC4409"/>
    <w:rsid w:val="00FC46F0"/>
    <w:rsid w:val="00FC4E7E"/>
    <w:rsid w:val="00FC4FE9"/>
    <w:rsid w:val="00FC52C3"/>
    <w:rsid w:val="00FC52CF"/>
    <w:rsid w:val="00FC6724"/>
    <w:rsid w:val="00FC75B4"/>
    <w:rsid w:val="00FC769E"/>
    <w:rsid w:val="00FD018A"/>
    <w:rsid w:val="00FD04E7"/>
    <w:rsid w:val="00FD0AEC"/>
    <w:rsid w:val="00FD0D67"/>
    <w:rsid w:val="00FD0FB9"/>
    <w:rsid w:val="00FD1072"/>
    <w:rsid w:val="00FD1B14"/>
    <w:rsid w:val="00FD249A"/>
    <w:rsid w:val="00FD256C"/>
    <w:rsid w:val="00FD338A"/>
    <w:rsid w:val="00FD3F29"/>
    <w:rsid w:val="00FD4A9D"/>
    <w:rsid w:val="00FD5FCB"/>
    <w:rsid w:val="00FE0E44"/>
    <w:rsid w:val="00FE1120"/>
    <w:rsid w:val="00FE11A0"/>
    <w:rsid w:val="00FE148F"/>
    <w:rsid w:val="00FE15AD"/>
    <w:rsid w:val="00FE2160"/>
    <w:rsid w:val="00FE32AD"/>
    <w:rsid w:val="00FE3C65"/>
    <w:rsid w:val="00FE3D50"/>
    <w:rsid w:val="00FE4058"/>
    <w:rsid w:val="00FE4C0C"/>
    <w:rsid w:val="00FE5085"/>
    <w:rsid w:val="00FE53A5"/>
    <w:rsid w:val="00FE5925"/>
    <w:rsid w:val="00FE59B8"/>
    <w:rsid w:val="00FE5E98"/>
    <w:rsid w:val="00FE6553"/>
    <w:rsid w:val="00FE6AA5"/>
    <w:rsid w:val="00FE6F3E"/>
    <w:rsid w:val="00FE725A"/>
    <w:rsid w:val="00FE739C"/>
    <w:rsid w:val="00FE785E"/>
    <w:rsid w:val="00FE7A1C"/>
    <w:rsid w:val="00FE7ADD"/>
    <w:rsid w:val="00FE7B05"/>
    <w:rsid w:val="00FF1A7D"/>
    <w:rsid w:val="00FF1AC7"/>
    <w:rsid w:val="00FF2EE5"/>
    <w:rsid w:val="00FF3993"/>
    <w:rsid w:val="00FF418D"/>
    <w:rsid w:val="00FF423F"/>
    <w:rsid w:val="00FF4BD4"/>
    <w:rsid w:val="00FF50AA"/>
    <w:rsid w:val="00FF5545"/>
    <w:rsid w:val="00FF5A1E"/>
    <w:rsid w:val="00FF5A30"/>
    <w:rsid w:val="00FF5E95"/>
    <w:rsid w:val="00FF6238"/>
    <w:rsid w:val="00FF6664"/>
    <w:rsid w:val="00FF6AEB"/>
    <w:rsid w:val="00FF7D1E"/>
    <w:rsid w:val="00FF7D6A"/>
    <w:rsid w:val="091E707D"/>
    <w:rsid w:val="0F7C2838"/>
    <w:rsid w:val="106E612A"/>
    <w:rsid w:val="17495C48"/>
    <w:rsid w:val="1764261F"/>
    <w:rsid w:val="181341FD"/>
    <w:rsid w:val="19FD0C00"/>
    <w:rsid w:val="1BC71D2D"/>
    <w:rsid w:val="1BE813F0"/>
    <w:rsid w:val="1DAD2F66"/>
    <w:rsid w:val="1F9D3AFE"/>
    <w:rsid w:val="20D02DD5"/>
    <w:rsid w:val="218155F7"/>
    <w:rsid w:val="23705F26"/>
    <w:rsid w:val="2473675E"/>
    <w:rsid w:val="298F7CDB"/>
    <w:rsid w:val="2DC73237"/>
    <w:rsid w:val="2F263C81"/>
    <w:rsid w:val="34DC6215"/>
    <w:rsid w:val="35B82134"/>
    <w:rsid w:val="36F9770A"/>
    <w:rsid w:val="37C9788A"/>
    <w:rsid w:val="38E53C7C"/>
    <w:rsid w:val="39282F5D"/>
    <w:rsid w:val="39E01DF2"/>
    <w:rsid w:val="3A0349A7"/>
    <w:rsid w:val="3AD12D11"/>
    <w:rsid w:val="3B0F7D80"/>
    <w:rsid w:val="3C6E3070"/>
    <w:rsid w:val="3E153B1E"/>
    <w:rsid w:val="3F4537A0"/>
    <w:rsid w:val="41387FCA"/>
    <w:rsid w:val="447A3848"/>
    <w:rsid w:val="467D08BC"/>
    <w:rsid w:val="48A8488A"/>
    <w:rsid w:val="4BC82056"/>
    <w:rsid w:val="4D177899"/>
    <w:rsid w:val="4E341D8E"/>
    <w:rsid w:val="4EC6573C"/>
    <w:rsid w:val="50A4241F"/>
    <w:rsid w:val="50C1560F"/>
    <w:rsid w:val="5166706A"/>
    <w:rsid w:val="51EF745A"/>
    <w:rsid w:val="520E1992"/>
    <w:rsid w:val="54D73A6B"/>
    <w:rsid w:val="555F75B0"/>
    <w:rsid w:val="57F33492"/>
    <w:rsid w:val="5A8127F0"/>
    <w:rsid w:val="5A8E431E"/>
    <w:rsid w:val="5B3A1407"/>
    <w:rsid w:val="5F115CC1"/>
    <w:rsid w:val="62015785"/>
    <w:rsid w:val="622F36E0"/>
    <w:rsid w:val="638274CF"/>
    <w:rsid w:val="64750C3B"/>
    <w:rsid w:val="64E526A9"/>
    <w:rsid w:val="6668269E"/>
    <w:rsid w:val="67454016"/>
    <w:rsid w:val="6A3F2224"/>
    <w:rsid w:val="6B8B3F14"/>
    <w:rsid w:val="6C316202"/>
    <w:rsid w:val="6E832F55"/>
    <w:rsid w:val="6E8450AB"/>
    <w:rsid w:val="6F4F3316"/>
    <w:rsid w:val="70AF69B6"/>
    <w:rsid w:val="72832066"/>
    <w:rsid w:val="7498516C"/>
    <w:rsid w:val="75FF5629"/>
    <w:rsid w:val="77FE4FAB"/>
    <w:rsid w:val="7E5D3E55"/>
    <w:rsid w:val="7F0D3B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仿宋"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styleId="3">
    <w:name w:val="heading 1"/>
    <w:basedOn w:val="1"/>
    <w:next w:val="1"/>
    <w:link w:val="39"/>
    <w:qFormat/>
    <w:uiPriority w:val="0"/>
    <w:pPr>
      <w:keepNext/>
      <w:keepLines/>
      <w:numPr>
        <w:ilvl w:val="0"/>
        <w:numId w:val="1"/>
      </w:numPr>
      <w:adjustRightInd/>
      <w:spacing w:beforeLines="50" w:afterLines="50" w:line="360" w:lineRule="auto"/>
      <w:textAlignment w:val="auto"/>
      <w:outlineLvl w:val="0"/>
    </w:pPr>
    <w:rPr>
      <w:rFonts w:eastAsia="楷体_GB2312"/>
      <w:b/>
      <w:kern w:val="44"/>
      <w:sz w:val="44"/>
      <w:szCs w:val="21"/>
    </w:rPr>
  </w:style>
  <w:style w:type="paragraph" w:styleId="4">
    <w:name w:val="heading 2"/>
    <w:basedOn w:val="1"/>
    <w:next w:val="1"/>
    <w:link w:val="40"/>
    <w:qFormat/>
    <w:uiPriority w:val="0"/>
    <w:pPr>
      <w:keepNext/>
      <w:keepLines/>
      <w:numPr>
        <w:ilvl w:val="1"/>
        <w:numId w:val="1"/>
      </w:numPr>
      <w:adjustRightInd/>
      <w:spacing w:beforeLines="50" w:afterLines="50" w:line="360" w:lineRule="auto"/>
      <w:jc w:val="left"/>
      <w:textAlignment w:val="auto"/>
      <w:outlineLvl w:val="1"/>
    </w:pPr>
    <w:rPr>
      <w:rFonts w:eastAsia="楷体_GB2312"/>
      <w:b/>
      <w:bCs/>
      <w:smallCaps/>
      <w:kern w:val="2"/>
      <w:sz w:val="36"/>
      <w:szCs w:val="28"/>
    </w:rPr>
  </w:style>
  <w:style w:type="paragraph" w:styleId="5">
    <w:name w:val="heading 3"/>
    <w:basedOn w:val="1"/>
    <w:next w:val="1"/>
    <w:link w:val="41"/>
    <w:qFormat/>
    <w:uiPriority w:val="0"/>
    <w:pPr>
      <w:keepNext/>
      <w:keepLines/>
      <w:numPr>
        <w:ilvl w:val="2"/>
        <w:numId w:val="1"/>
      </w:numPr>
      <w:adjustRightInd/>
      <w:spacing w:beforeLines="50" w:afterLines="50" w:line="360" w:lineRule="auto"/>
      <w:textAlignment w:val="auto"/>
      <w:outlineLvl w:val="2"/>
    </w:pPr>
    <w:rPr>
      <w:rFonts w:eastAsia="华文楷体"/>
      <w:b/>
      <w:bCs/>
      <w:kern w:val="2"/>
      <w:sz w:val="32"/>
      <w:szCs w:val="21"/>
    </w:rPr>
  </w:style>
  <w:style w:type="paragraph" w:styleId="6">
    <w:name w:val="heading 4"/>
    <w:basedOn w:val="1"/>
    <w:next w:val="1"/>
    <w:link w:val="42"/>
    <w:qFormat/>
    <w:uiPriority w:val="0"/>
    <w:pPr>
      <w:numPr>
        <w:ilvl w:val="3"/>
        <w:numId w:val="1"/>
      </w:numPr>
      <w:spacing w:beforeLines="50" w:afterLines="50" w:line="360" w:lineRule="auto"/>
      <w:jc w:val="left"/>
      <w:outlineLvl w:val="3"/>
    </w:pPr>
    <w:rPr>
      <w:b/>
      <w:bCs/>
      <w:smallCaps/>
      <w:kern w:val="2"/>
      <w:sz w:val="28"/>
      <w:szCs w:val="24"/>
    </w:rPr>
  </w:style>
  <w:style w:type="paragraph" w:styleId="7">
    <w:name w:val="heading 7"/>
    <w:basedOn w:val="1"/>
    <w:next w:val="1"/>
    <w:link w:val="160"/>
    <w:semiHidden/>
    <w:unhideWhenUsed/>
    <w:qFormat/>
    <w:uiPriority w:val="9"/>
    <w:pPr>
      <w:keepNext/>
      <w:keepLines/>
      <w:spacing w:before="240" w:after="64" w:line="320" w:lineRule="atLeast"/>
      <w:outlineLvl w:val="6"/>
    </w:pPr>
    <w:rPr>
      <w:b/>
      <w:bCs/>
      <w:sz w:val="24"/>
      <w:szCs w:val="24"/>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8">
    <w:name w:val="Normal Indent"/>
    <w:basedOn w:val="1"/>
    <w:link w:val="43"/>
    <w:qFormat/>
    <w:uiPriority w:val="0"/>
    <w:pPr>
      <w:ind w:firstLine="420" w:firstLineChars="200"/>
    </w:pPr>
  </w:style>
  <w:style w:type="paragraph" w:styleId="9">
    <w:name w:val="caption"/>
    <w:basedOn w:val="1"/>
    <w:next w:val="1"/>
    <w:link w:val="144"/>
    <w:unhideWhenUsed/>
    <w:qFormat/>
    <w:uiPriority w:val="0"/>
    <w:rPr>
      <w:rFonts w:eastAsia="黑体" w:asciiTheme="majorHAnsi" w:hAnsiTheme="majorHAnsi" w:cstheme="majorBidi"/>
      <w:sz w:val="20"/>
    </w:rPr>
  </w:style>
  <w:style w:type="paragraph" w:styleId="10">
    <w:name w:val="Document Map"/>
    <w:basedOn w:val="1"/>
    <w:link w:val="162"/>
    <w:semiHidden/>
    <w:qFormat/>
    <w:uiPriority w:val="0"/>
    <w:pPr>
      <w:shd w:val="clear" w:color="auto" w:fill="000080"/>
    </w:pPr>
  </w:style>
  <w:style w:type="paragraph" w:styleId="11">
    <w:name w:val="annotation text"/>
    <w:basedOn w:val="1"/>
    <w:link w:val="49"/>
    <w:qFormat/>
    <w:uiPriority w:val="0"/>
    <w:pPr>
      <w:jc w:val="left"/>
    </w:pPr>
  </w:style>
  <w:style w:type="paragraph" w:styleId="12">
    <w:name w:val="Body Text 3"/>
    <w:basedOn w:val="1"/>
    <w:link w:val="163"/>
    <w:qFormat/>
    <w:uiPriority w:val="0"/>
    <w:pPr>
      <w:adjustRightInd/>
      <w:spacing w:before="120" w:line="360" w:lineRule="auto"/>
      <w:textAlignment w:val="auto"/>
    </w:pPr>
    <w:rPr>
      <w:b/>
      <w:kern w:val="10"/>
      <w:sz w:val="24"/>
    </w:rPr>
  </w:style>
  <w:style w:type="paragraph" w:styleId="13">
    <w:name w:val="Body Text"/>
    <w:basedOn w:val="1"/>
    <w:link w:val="89"/>
    <w:qFormat/>
    <w:uiPriority w:val="0"/>
    <w:pPr>
      <w:spacing w:after="120"/>
    </w:pPr>
  </w:style>
  <w:style w:type="paragraph" w:styleId="14">
    <w:name w:val="Body Text Indent"/>
    <w:basedOn w:val="1"/>
    <w:link w:val="85"/>
    <w:qFormat/>
    <w:uiPriority w:val="0"/>
    <w:pPr>
      <w:spacing w:line="360" w:lineRule="auto"/>
      <w:ind w:firstLine="480" w:firstLineChars="200"/>
    </w:pPr>
    <w:rPr>
      <w:rFonts w:ascii="宋体"/>
      <w:sz w:val="24"/>
    </w:rPr>
  </w:style>
  <w:style w:type="paragraph" w:styleId="15">
    <w:name w:val="List 2"/>
    <w:basedOn w:val="1"/>
    <w:qFormat/>
    <w:uiPriority w:val="0"/>
    <w:pPr>
      <w:spacing w:line="240" w:lineRule="auto"/>
      <w:ind w:left="840" w:hanging="420"/>
    </w:pPr>
    <w:rPr>
      <w:sz w:val="24"/>
    </w:rPr>
  </w:style>
  <w:style w:type="paragraph" w:styleId="16">
    <w:name w:val="toc 3"/>
    <w:basedOn w:val="1"/>
    <w:next w:val="1"/>
    <w:unhideWhenUsed/>
    <w:qFormat/>
    <w:uiPriority w:val="39"/>
    <w:pPr>
      <w:adjustRightInd/>
      <w:spacing w:line="240" w:lineRule="auto"/>
      <w:ind w:left="840" w:leftChars="400"/>
      <w:textAlignment w:val="auto"/>
    </w:pPr>
    <w:rPr>
      <w:rFonts w:cs="宋体"/>
      <w:kern w:val="2"/>
      <w:sz w:val="24"/>
    </w:rPr>
  </w:style>
  <w:style w:type="paragraph" w:styleId="17">
    <w:name w:val="Plain Text"/>
    <w:basedOn w:val="1"/>
    <w:link w:val="74"/>
    <w:qFormat/>
    <w:uiPriority w:val="0"/>
    <w:pPr>
      <w:adjustRightInd/>
      <w:spacing w:line="240" w:lineRule="auto"/>
      <w:textAlignment w:val="auto"/>
    </w:pPr>
    <w:rPr>
      <w:rFonts w:ascii="宋体" w:hAnsi="Courier New"/>
      <w:kern w:val="2"/>
    </w:rPr>
  </w:style>
  <w:style w:type="paragraph" w:styleId="18">
    <w:name w:val="Body Text Indent 2"/>
    <w:basedOn w:val="1"/>
    <w:link w:val="164"/>
    <w:qFormat/>
    <w:uiPriority w:val="0"/>
    <w:pPr>
      <w:adjustRightInd/>
      <w:spacing w:line="500" w:lineRule="exact"/>
      <w:ind w:firstLine="556"/>
      <w:textAlignment w:val="auto"/>
    </w:pPr>
    <w:rPr>
      <w:rFonts w:ascii="仿宋_GB2312" w:eastAsia="仿宋_GB2312"/>
      <w:kern w:val="2"/>
      <w:sz w:val="28"/>
    </w:rPr>
  </w:style>
  <w:style w:type="paragraph" w:styleId="19">
    <w:name w:val="Balloon Text"/>
    <w:basedOn w:val="1"/>
    <w:link w:val="69"/>
    <w:qFormat/>
    <w:uiPriority w:val="99"/>
    <w:rPr>
      <w:sz w:val="18"/>
    </w:rPr>
  </w:style>
  <w:style w:type="paragraph" w:styleId="20">
    <w:name w:val="footer"/>
    <w:basedOn w:val="1"/>
    <w:link w:val="72"/>
    <w:qFormat/>
    <w:uiPriority w:val="99"/>
    <w:pPr>
      <w:tabs>
        <w:tab w:val="center" w:pos="4153"/>
        <w:tab w:val="right" w:pos="8306"/>
      </w:tabs>
      <w:snapToGrid w:val="0"/>
      <w:spacing w:line="240" w:lineRule="atLeast"/>
      <w:jc w:val="left"/>
    </w:pPr>
    <w:rPr>
      <w:sz w:val="18"/>
    </w:rPr>
  </w:style>
  <w:style w:type="paragraph" w:styleId="21">
    <w:name w:val="header"/>
    <w:basedOn w:val="1"/>
    <w:link w:val="82"/>
    <w:qFormat/>
    <w:uiPriority w:val="99"/>
    <w:pPr>
      <w:pBdr>
        <w:bottom w:val="single" w:color="auto" w:sz="6" w:space="1"/>
      </w:pBdr>
      <w:tabs>
        <w:tab w:val="center" w:pos="4153"/>
        <w:tab w:val="right" w:pos="8306"/>
      </w:tabs>
      <w:snapToGrid w:val="0"/>
      <w:spacing w:line="240" w:lineRule="atLeast"/>
      <w:jc w:val="center"/>
    </w:pPr>
    <w:rPr>
      <w:sz w:val="18"/>
    </w:rPr>
  </w:style>
  <w:style w:type="paragraph" w:styleId="22">
    <w:name w:val="toc 1"/>
    <w:basedOn w:val="1"/>
    <w:next w:val="1"/>
    <w:unhideWhenUsed/>
    <w:qFormat/>
    <w:uiPriority w:val="39"/>
    <w:pPr>
      <w:tabs>
        <w:tab w:val="left" w:pos="420"/>
        <w:tab w:val="right" w:leader="dot" w:pos="8296"/>
      </w:tabs>
      <w:adjustRightInd/>
      <w:spacing w:line="240" w:lineRule="auto"/>
      <w:textAlignment w:val="auto"/>
    </w:pPr>
    <w:rPr>
      <w:rFonts w:cs="宋体"/>
      <w:b/>
      <w:kern w:val="2"/>
      <w:sz w:val="24"/>
    </w:rPr>
  </w:style>
  <w:style w:type="paragraph" w:styleId="23">
    <w:name w:val="Body Text Indent 3"/>
    <w:basedOn w:val="1"/>
    <w:link w:val="165"/>
    <w:qFormat/>
    <w:uiPriority w:val="0"/>
    <w:pPr>
      <w:adjustRightInd/>
      <w:spacing w:line="360" w:lineRule="auto"/>
      <w:ind w:firstLine="560" w:firstLineChars="200"/>
      <w:textAlignment w:val="auto"/>
    </w:pPr>
    <w:rPr>
      <w:rFonts w:ascii="仿宋_GB2312" w:hAnsi="宋体" w:eastAsia="仿宋_GB2312"/>
      <w:color w:val="000000"/>
      <w:kern w:val="2"/>
      <w:sz w:val="28"/>
    </w:rPr>
  </w:style>
  <w:style w:type="paragraph" w:styleId="24">
    <w:name w:val="toc 2"/>
    <w:basedOn w:val="1"/>
    <w:next w:val="1"/>
    <w:link w:val="155"/>
    <w:unhideWhenUsed/>
    <w:qFormat/>
    <w:uiPriority w:val="39"/>
    <w:pPr>
      <w:adjustRightInd/>
      <w:spacing w:line="240" w:lineRule="auto"/>
      <w:ind w:left="420" w:leftChars="200"/>
      <w:textAlignment w:val="auto"/>
    </w:pPr>
    <w:rPr>
      <w:rFonts w:cs="宋体"/>
      <w:kern w:val="2"/>
      <w:sz w:val="24"/>
    </w:rPr>
  </w:style>
  <w:style w:type="paragraph" w:styleId="25">
    <w:name w:val="Body Text 2"/>
    <w:basedOn w:val="1"/>
    <w:link w:val="166"/>
    <w:qFormat/>
    <w:uiPriority w:val="0"/>
    <w:rPr>
      <w:rFonts w:eastAsia="仿宋_GB2312"/>
      <w:sz w:val="28"/>
    </w:rPr>
  </w:style>
  <w:style w:type="paragraph" w:styleId="26">
    <w:name w:val="Normal (Web)"/>
    <w:basedOn w:val="1"/>
    <w:qFormat/>
    <w:uiPriority w:val="99"/>
    <w:pPr>
      <w:widowControl/>
      <w:adjustRightInd/>
      <w:spacing w:before="100" w:beforeAutospacing="1" w:after="100" w:afterAutospacing="1" w:line="240" w:lineRule="auto"/>
      <w:jc w:val="left"/>
      <w:textAlignment w:val="auto"/>
    </w:pPr>
    <w:rPr>
      <w:rFonts w:ascii="宋体" w:hAnsi="宋体"/>
      <w:sz w:val="24"/>
    </w:rPr>
  </w:style>
  <w:style w:type="paragraph" w:styleId="27">
    <w:name w:val="index 1"/>
    <w:basedOn w:val="1"/>
    <w:next w:val="1"/>
    <w:semiHidden/>
    <w:qFormat/>
    <w:uiPriority w:val="0"/>
    <w:pPr>
      <w:spacing w:line="240" w:lineRule="auto"/>
      <w:jc w:val="center"/>
    </w:pPr>
    <w:rPr>
      <w:rFonts w:ascii="仿宋_GB2312" w:hAnsi="宋体" w:eastAsia="仿宋_GB2312"/>
      <w:color w:val="000000"/>
      <w:sz w:val="24"/>
    </w:rPr>
  </w:style>
  <w:style w:type="paragraph" w:styleId="28">
    <w:name w:val="annotation subject"/>
    <w:basedOn w:val="11"/>
    <w:next w:val="11"/>
    <w:link w:val="167"/>
    <w:qFormat/>
    <w:uiPriority w:val="0"/>
    <w:rPr>
      <w:b/>
    </w:rPr>
  </w:style>
  <w:style w:type="paragraph" w:styleId="29">
    <w:name w:val="Body Text First Indent"/>
    <w:basedOn w:val="13"/>
    <w:link w:val="123"/>
    <w:qFormat/>
    <w:uiPriority w:val="0"/>
    <w:pPr>
      <w:adjustRightInd/>
      <w:spacing w:line="240" w:lineRule="auto"/>
      <w:ind w:firstLine="420" w:firstLineChars="100"/>
      <w:textAlignment w:val="auto"/>
    </w:pPr>
    <w:rPr>
      <w:kern w:val="2"/>
    </w:rPr>
  </w:style>
  <w:style w:type="table" w:styleId="31">
    <w:name w:val="Table Grid"/>
    <w:basedOn w:val="3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3">
    <w:name w:val="Strong"/>
    <w:qFormat/>
    <w:uiPriority w:val="0"/>
    <w:rPr>
      <w:b/>
    </w:rPr>
  </w:style>
  <w:style w:type="character" w:styleId="34">
    <w:name w:val="page number"/>
    <w:basedOn w:val="32"/>
    <w:qFormat/>
    <w:uiPriority w:val="0"/>
  </w:style>
  <w:style w:type="character" w:styleId="35">
    <w:name w:val="FollowedHyperlink"/>
    <w:qFormat/>
    <w:uiPriority w:val="99"/>
    <w:rPr>
      <w:color w:val="800080"/>
      <w:u w:val="single"/>
    </w:rPr>
  </w:style>
  <w:style w:type="character" w:styleId="36">
    <w:name w:val="Emphasis"/>
    <w:qFormat/>
    <w:uiPriority w:val="20"/>
    <w:rPr>
      <w:color w:val="CC0033"/>
    </w:rPr>
  </w:style>
  <w:style w:type="character" w:styleId="37">
    <w:name w:val="Hyperlink"/>
    <w:qFormat/>
    <w:uiPriority w:val="99"/>
    <w:rPr>
      <w:color w:val="000000"/>
      <w:u w:val="single"/>
    </w:rPr>
  </w:style>
  <w:style w:type="character" w:styleId="38">
    <w:name w:val="annotation reference"/>
    <w:qFormat/>
    <w:uiPriority w:val="0"/>
    <w:rPr>
      <w:sz w:val="21"/>
    </w:rPr>
  </w:style>
  <w:style w:type="character" w:customStyle="1" w:styleId="39">
    <w:name w:val="标题 1 字符"/>
    <w:basedOn w:val="32"/>
    <w:link w:val="3"/>
    <w:qFormat/>
    <w:uiPriority w:val="0"/>
    <w:rPr>
      <w:rFonts w:eastAsia="楷体_GB2312"/>
      <w:b/>
      <w:kern w:val="44"/>
      <w:sz w:val="44"/>
      <w:szCs w:val="21"/>
    </w:rPr>
  </w:style>
  <w:style w:type="character" w:customStyle="1" w:styleId="40">
    <w:name w:val="标题 2 字符"/>
    <w:basedOn w:val="32"/>
    <w:link w:val="4"/>
    <w:qFormat/>
    <w:uiPriority w:val="0"/>
    <w:rPr>
      <w:rFonts w:eastAsia="楷体_GB2312"/>
      <w:b/>
      <w:bCs/>
      <w:smallCaps/>
      <w:kern w:val="2"/>
      <w:sz w:val="36"/>
      <w:szCs w:val="28"/>
    </w:rPr>
  </w:style>
  <w:style w:type="character" w:customStyle="1" w:styleId="41">
    <w:name w:val="标题 3 字符"/>
    <w:basedOn w:val="32"/>
    <w:link w:val="5"/>
    <w:qFormat/>
    <w:uiPriority w:val="0"/>
    <w:rPr>
      <w:rFonts w:eastAsia="华文楷体"/>
      <w:b/>
      <w:bCs/>
      <w:kern w:val="2"/>
      <w:sz w:val="32"/>
      <w:szCs w:val="21"/>
    </w:rPr>
  </w:style>
  <w:style w:type="character" w:customStyle="1" w:styleId="42">
    <w:name w:val="标题 4 字符"/>
    <w:basedOn w:val="32"/>
    <w:link w:val="6"/>
    <w:qFormat/>
    <w:uiPriority w:val="0"/>
    <w:rPr>
      <w:b/>
      <w:bCs/>
      <w:smallCaps/>
      <w:kern w:val="2"/>
      <w:sz w:val="28"/>
      <w:szCs w:val="24"/>
    </w:rPr>
  </w:style>
  <w:style w:type="character" w:customStyle="1" w:styleId="43">
    <w:name w:val="正文缩进 字符"/>
    <w:link w:val="8"/>
    <w:qFormat/>
    <w:uiPriority w:val="0"/>
    <w:rPr>
      <w:sz w:val="21"/>
    </w:rPr>
  </w:style>
  <w:style w:type="character" w:customStyle="1" w:styleId="44">
    <w:name w:val="WW-编号"/>
    <w:qFormat/>
    <w:uiPriority w:val="0"/>
  </w:style>
  <w:style w:type="character" w:customStyle="1" w:styleId="45">
    <w:name w:val="t_tag"/>
    <w:basedOn w:val="32"/>
    <w:qFormat/>
    <w:uiPriority w:val="0"/>
  </w:style>
  <w:style w:type="character" w:customStyle="1" w:styleId="46">
    <w:name w:val="样式 宋体 小四"/>
    <w:qFormat/>
    <w:uiPriority w:val="0"/>
    <w:rPr>
      <w:rFonts w:ascii="宋体" w:hAnsi="宋体" w:eastAsia="宋体"/>
      <w:sz w:val="24"/>
    </w:rPr>
  </w:style>
  <w:style w:type="character" w:customStyle="1" w:styleId="47">
    <w:name w:val="hh1"/>
    <w:qFormat/>
    <w:uiPriority w:val="0"/>
    <w:rPr>
      <w:u w:val="none"/>
    </w:rPr>
  </w:style>
  <w:style w:type="character" w:customStyle="1" w:styleId="48">
    <w:name w:val="表格正文 Char Char Char"/>
    <w:qFormat/>
    <w:uiPriority w:val="0"/>
    <w:rPr>
      <w:rFonts w:ascii="宋体" w:eastAsia="宋体"/>
      <w:snapToGrid w:val="0"/>
      <w:spacing w:val="4"/>
      <w:w w:val="90"/>
      <w:kern w:val="18"/>
      <w:sz w:val="24"/>
      <w:lang w:val="en-US" w:eastAsia="zh-CN"/>
    </w:rPr>
  </w:style>
  <w:style w:type="character" w:customStyle="1" w:styleId="49">
    <w:name w:val="批注文字 字符"/>
    <w:link w:val="11"/>
    <w:qFormat/>
    <w:uiPriority w:val="0"/>
    <w:rPr>
      <w:sz w:val="21"/>
    </w:rPr>
  </w:style>
  <w:style w:type="paragraph" w:customStyle="1" w:styleId="50">
    <w:name w:val="表头"/>
    <w:basedOn w:val="1"/>
    <w:link w:val="51"/>
    <w:qFormat/>
    <w:uiPriority w:val="0"/>
    <w:pPr>
      <w:snapToGrid w:val="0"/>
      <w:spacing w:line="360" w:lineRule="auto"/>
      <w:jc w:val="center"/>
    </w:pPr>
    <w:rPr>
      <w:rFonts w:ascii="宋体" w:hAnsi="宋体"/>
      <w:snapToGrid w:val="0"/>
      <w:spacing w:val="6"/>
      <w:kern w:val="10"/>
      <w:sz w:val="24"/>
    </w:rPr>
  </w:style>
  <w:style w:type="character" w:customStyle="1" w:styleId="51">
    <w:name w:val="表头 Char1"/>
    <w:link w:val="50"/>
    <w:qFormat/>
    <w:uiPriority w:val="0"/>
    <w:rPr>
      <w:rFonts w:ascii="宋体" w:hAnsi="宋体"/>
      <w:snapToGrid w:val="0"/>
      <w:spacing w:val="6"/>
      <w:kern w:val="10"/>
      <w:sz w:val="24"/>
    </w:rPr>
  </w:style>
  <w:style w:type="paragraph" w:customStyle="1" w:styleId="52">
    <w:name w:val="标题4"/>
    <w:basedOn w:val="1"/>
    <w:qFormat/>
    <w:uiPriority w:val="0"/>
    <w:pPr>
      <w:snapToGrid w:val="0"/>
      <w:spacing w:line="360" w:lineRule="auto"/>
      <w:ind w:left="496" w:leftChars="200"/>
      <w:textAlignment w:val="auto"/>
    </w:pPr>
    <w:rPr>
      <w:rFonts w:ascii="宋体" w:hAnsi="宋体"/>
      <w:snapToGrid w:val="0"/>
      <w:spacing w:val="4"/>
      <w:sz w:val="24"/>
    </w:rPr>
  </w:style>
  <w:style w:type="paragraph" w:customStyle="1" w:styleId="53">
    <w:name w:val="Char Char Char Char Char Char Char Char Char"/>
    <w:basedOn w:val="1"/>
    <w:qFormat/>
    <w:uiPriority w:val="0"/>
    <w:pPr>
      <w:adjustRightInd/>
      <w:spacing w:line="240" w:lineRule="auto"/>
      <w:textAlignment w:val="auto"/>
    </w:pPr>
    <w:rPr>
      <w:kern w:val="2"/>
      <w:sz w:val="24"/>
    </w:rPr>
  </w:style>
  <w:style w:type="paragraph" w:customStyle="1" w:styleId="54">
    <w:name w:val="附录五级条标题"/>
    <w:basedOn w:val="55"/>
    <w:next w:val="60"/>
    <w:qFormat/>
    <w:uiPriority w:val="0"/>
    <w:pPr>
      <w:outlineLvl w:val="6"/>
    </w:pPr>
  </w:style>
  <w:style w:type="paragraph" w:customStyle="1" w:styleId="55">
    <w:name w:val="附录四级条标题"/>
    <w:basedOn w:val="56"/>
    <w:next w:val="60"/>
    <w:qFormat/>
    <w:uiPriority w:val="0"/>
    <w:pPr>
      <w:outlineLvl w:val="5"/>
    </w:pPr>
  </w:style>
  <w:style w:type="paragraph" w:customStyle="1" w:styleId="56">
    <w:name w:val="附录三级条标题"/>
    <w:basedOn w:val="57"/>
    <w:next w:val="60"/>
    <w:qFormat/>
    <w:uiPriority w:val="0"/>
    <w:pPr>
      <w:outlineLvl w:val="4"/>
    </w:pPr>
  </w:style>
  <w:style w:type="paragraph" w:customStyle="1" w:styleId="57">
    <w:name w:val="附录二级条标题"/>
    <w:basedOn w:val="58"/>
    <w:next w:val="60"/>
    <w:qFormat/>
    <w:uiPriority w:val="0"/>
    <w:pPr>
      <w:outlineLvl w:val="3"/>
    </w:pPr>
  </w:style>
  <w:style w:type="paragraph" w:customStyle="1" w:styleId="58">
    <w:name w:val="附录一级条标题"/>
    <w:basedOn w:val="59"/>
    <w:next w:val="60"/>
    <w:qFormat/>
    <w:uiPriority w:val="0"/>
    <w:pPr>
      <w:autoSpaceDN w:val="0"/>
      <w:spacing w:beforeLines="0" w:afterLines="0"/>
      <w:outlineLvl w:val="2"/>
    </w:pPr>
  </w:style>
  <w:style w:type="paragraph" w:customStyle="1" w:styleId="59">
    <w:name w:val="附录章标题"/>
    <w:next w:val="60"/>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6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1">
    <w:name w:val="附录标识"/>
    <w:basedOn w:val="1"/>
    <w:qFormat/>
    <w:uiPriority w:val="0"/>
    <w:pPr>
      <w:widowControl/>
      <w:shd w:val="clear" w:color="FFFFFF" w:fill="FFFFFF"/>
      <w:tabs>
        <w:tab w:val="left" w:pos="6405"/>
      </w:tabs>
      <w:adjustRightInd/>
      <w:spacing w:before="240" w:after="200" w:line="240" w:lineRule="auto"/>
      <w:jc w:val="center"/>
      <w:textAlignment w:val="auto"/>
      <w:outlineLvl w:val="0"/>
    </w:pPr>
    <w:rPr>
      <w:rFonts w:ascii="黑体" w:eastAsia="黑体"/>
    </w:rPr>
  </w:style>
  <w:style w:type="paragraph" w:customStyle="1" w:styleId="62">
    <w:name w:val="日期1"/>
    <w:basedOn w:val="1"/>
    <w:next w:val="1"/>
    <w:qFormat/>
    <w:uiPriority w:val="0"/>
    <w:rPr>
      <w:sz w:val="28"/>
    </w:rPr>
  </w:style>
  <w:style w:type="paragraph" w:customStyle="1" w:styleId="63">
    <w:name w:val="表格正文 Char"/>
    <w:basedOn w:val="1"/>
    <w:qFormat/>
    <w:uiPriority w:val="0"/>
    <w:pPr>
      <w:spacing w:line="240" w:lineRule="auto"/>
      <w:jc w:val="center"/>
    </w:pPr>
    <w:rPr>
      <w:rFonts w:ascii="宋体"/>
      <w:color w:val="000000"/>
      <w:spacing w:val="4"/>
      <w:w w:val="90"/>
      <w:sz w:val="24"/>
    </w:rPr>
  </w:style>
  <w:style w:type="paragraph" w:customStyle="1" w:styleId="64">
    <w:name w:val="样式 正文2 + 仿宋_GB2312 黑色 首行缩进:  2 字符"/>
    <w:basedOn w:val="1"/>
    <w:qFormat/>
    <w:uiPriority w:val="0"/>
    <w:pPr>
      <w:spacing w:line="360" w:lineRule="auto"/>
      <w:ind w:firstLine="496" w:firstLineChars="200"/>
    </w:pPr>
    <w:rPr>
      <w:rFonts w:ascii="仿宋_GB2312" w:hAnsi="仿宋_GB2312" w:eastAsia="仿宋_GB2312"/>
      <w:color w:val="000000"/>
      <w:spacing w:val="4"/>
      <w:kern w:val="18"/>
      <w:sz w:val="28"/>
    </w:rPr>
  </w:style>
  <w:style w:type="paragraph" w:customStyle="1" w:styleId="65">
    <w:name w:val="表格正文4"/>
    <w:basedOn w:val="1"/>
    <w:qFormat/>
    <w:uiPriority w:val="0"/>
    <w:pPr>
      <w:snapToGrid w:val="0"/>
      <w:spacing w:line="240" w:lineRule="auto"/>
    </w:pPr>
    <w:rPr>
      <w:rFonts w:ascii="宋体"/>
      <w:snapToGrid w:val="0"/>
      <w:w w:val="90"/>
      <w:sz w:val="24"/>
    </w:rPr>
  </w:style>
  <w:style w:type="paragraph" w:customStyle="1" w:styleId="66">
    <w:name w:val="表格居中"/>
    <w:basedOn w:val="1"/>
    <w:qFormat/>
    <w:uiPriority w:val="0"/>
    <w:pPr>
      <w:adjustRightInd/>
      <w:spacing w:line="240" w:lineRule="auto"/>
      <w:jc w:val="center"/>
      <w:textAlignment w:val="auto"/>
    </w:pPr>
    <w:rPr>
      <w:rFonts w:ascii="宋体" w:hAnsi="宋体"/>
      <w:snapToGrid w:val="0"/>
      <w:spacing w:val="-4"/>
      <w:w w:val="90"/>
      <w:sz w:val="24"/>
    </w:rPr>
  </w:style>
  <w:style w:type="paragraph" w:customStyle="1" w:styleId="67">
    <w:name w:val="正文内容"/>
    <w:basedOn w:val="1"/>
    <w:qFormat/>
    <w:uiPriority w:val="0"/>
    <w:pPr>
      <w:snapToGrid w:val="0"/>
      <w:spacing w:line="360" w:lineRule="auto"/>
      <w:ind w:firstLine="496" w:firstLineChars="200"/>
      <w:textAlignment w:val="auto"/>
    </w:pPr>
    <w:rPr>
      <w:rFonts w:ascii="宋体" w:hAnsi="宋体"/>
      <w:snapToGrid w:val="0"/>
      <w:spacing w:val="4"/>
      <w:sz w:val="24"/>
    </w:rPr>
  </w:style>
  <w:style w:type="paragraph" w:customStyle="1" w:styleId="68">
    <w:name w:val="胡奔流-标题6"/>
    <w:basedOn w:val="1"/>
    <w:qFormat/>
    <w:uiPriority w:val="0"/>
    <w:pPr>
      <w:snapToGrid w:val="0"/>
      <w:spacing w:line="360" w:lineRule="auto"/>
    </w:pPr>
    <w:rPr>
      <w:rFonts w:ascii="宋体"/>
      <w:snapToGrid w:val="0"/>
      <w:spacing w:val="10"/>
      <w:sz w:val="24"/>
    </w:rPr>
  </w:style>
  <w:style w:type="character" w:customStyle="1" w:styleId="69">
    <w:name w:val="批注框文本 字符"/>
    <w:basedOn w:val="32"/>
    <w:link w:val="19"/>
    <w:qFormat/>
    <w:uiPriority w:val="99"/>
    <w:rPr>
      <w:sz w:val="18"/>
    </w:rPr>
  </w:style>
  <w:style w:type="paragraph" w:customStyle="1" w:styleId="70">
    <w:name w:val="正文 Char Char Char Char"/>
    <w:basedOn w:val="1"/>
    <w:next w:val="1"/>
    <w:qFormat/>
    <w:uiPriority w:val="0"/>
    <w:pPr>
      <w:spacing w:line="360" w:lineRule="auto"/>
      <w:ind w:firstLine="482"/>
      <w:jc w:val="left"/>
    </w:pPr>
    <w:rPr>
      <w:rFonts w:ascii="宋体"/>
      <w:snapToGrid w:val="0"/>
      <w:kern w:val="21"/>
      <w:sz w:val="24"/>
    </w:rPr>
  </w:style>
  <w:style w:type="paragraph" w:customStyle="1" w:styleId="71">
    <w:name w:val="Char Char Char"/>
    <w:basedOn w:val="1"/>
    <w:qFormat/>
    <w:uiPriority w:val="0"/>
    <w:pPr>
      <w:adjustRightInd/>
      <w:spacing w:line="240" w:lineRule="auto"/>
      <w:textAlignment w:val="auto"/>
    </w:pPr>
    <w:rPr>
      <w:kern w:val="2"/>
      <w:sz w:val="24"/>
    </w:rPr>
  </w:style>
  <w:style w:type="character" w:customStyle="1" w:styleId="72">
    <w:name w:val="页脚 字符"/>
    <w:basedOn w:val="32"/>
    <w:link w:val="20"/>
    <w:qFormat/>
    <w:uiPriority w:val="99"/>
    <w:rPr>
      <w:sz w:val="18"/>
    </w:rPr>
  </w:style>
  <w:style w:type="paragraph" w:customStyle="1" w:styleId="73">
    <w:name w:val="默认段落字体 Para Char"/>
    <w:basedOn w:val="1"/>
    <w:qFormat/>
    <w:uiPriority w:val="0"/>
    <w:pPr>
      <w:adjustRightInd/>
      <w:spacing w:line="240" w:lineRule="auto"/>
      <w:textAlignment w:val="auto"/>
    </w:pPr>
    <w:rPr>
      <w:rFonts w:ascii="Arial" w:hAnsi="Arial"/>
      <w:kern w:val="2"/>
    </w:rPr>
  </w:style>
  <w:style w:type="character" w:customStyle="1" w:styleId="74">
    <w:name w:val="纯文本 字符"/>
    <w:link w:val="17"/>
    <w:qFormat/>
    <w:uiPriority w:val="0"/>
    <w:rPr>
      <w:rFonts w:ascii="宋体" w:hAnsi="Courier New"/>
      <w:kern w:val="2"/>
      <w:sz w:val="21"/>
    </w:rPr>
  </w:style>
  <w:style w:type="paragraph" w:customStyle="1" w:styleId="75">
    <w:name w:val="正文文本 21"/>
    <w:basedOn w:val="1"/>
    <w:qFormat/>
    <w:uiPriority w:val="0"/>
    <w:pPr>
      <w:spacing w:line="240" w:lineRule="auto"/>
      <w:jc w:val="center"/>
    </w:pPr>
    <w:rPr>
      <w:kern w:val="2"/>
      <w:sz w:val="24"/>
    </w:rPr>
  </w:style>
  <w:style w:type="paragraph" w:customStyle="1" w:styleId="76">
    <w:name w:val="字元 字元"/>
    <w:basedOn w:val="1"/>
    <w:qFormat/>
    <w:uiPriority w:val="0"/>
    <w:pPr>
      <w:adjustRightInd/>
      <w:spacing w:line="240" w:lineRule="auto"/>
      <w:textAlignment w:val="auto"/>
    </w:pPr>
    <w:rPr>
      <w:kern w:val="2"/>
      <w:sz w:val="24"/>
    </w:rPr>
  </w:style>
  <w:style w:type="paragraph" w:customStyle="1" w:styleId="77">
    <w:name w:val="Char Char Char Char Char Char Char Char Char Char Char Char Char Char Char Char Char Char"/>
    <w:basedOn w:val="1"/>
    <w:qFormat/>
    <w:uiPriority w:val="0"/>
    <w:pPr>
      <w:adjustRightInd/>
      <w:spacing w:line="240" w:lineRule="auto"/>
      <w:textAlignment w:val="auto"/>
    </w:pPr>
    <w:rPr>
      <w:kern w:val="2"/>
      <w:sz w:val="24"/>
    </w:rPr>
  </w:style>
  <w:style w:type="paragraph" w:customStyle="1" w:styleId="78">
    <w:name w:val="_Style 17"/>
    <w:basedOn w:val="1"/>
    <w:next w:val="17"/>
    <w:qFormat/>
    <w:uiPriority w:val="0"/>
    <w:pPr>
      <w:adjustRightInd/>
      <w:spacing w:line="240" w:lineRule="auto"/>
      <w:textAlignment w:val="auto"/>
    </w:pPr>
    <w:rPr>
      <w:rFonts w:ascii="Courier New" w:hAnsi="Courier New"/>
      <w:kern w:val="2"/>
      <w:sz w:val="15"/>
    </w:rPr>
  </w:style>
  <w:style w:type="paragraph" w:customStyle="1" w:styleId="79">
    <w:name w:val="中文报告书样式"/>
    <w:basedOn w:val="1"/>
    <w:qFormat/>
    <w:uiPriority w:val="0"/>
    <w:pPr>
      <w:spacing w:line="480" w:lineRule="atLeast"/>
      <w:ind w:firstLine="482"/>
    </w:pPr>
    <w:rPr>
      <w:kern w:val="24"/>
      <w:sz w:val="24"/>
    </w:rPr>
  </w:style>
  <w:style w:type="paragraph" w:customStyle="1" w:styleId="80">
    <w:name w:val="Char Char Char Char Char Char Char Char Char Char Char Char"/>
    <w:basedOn w:val="1"/>
    <w:qFormat/>
    <w:uiPriority w:val="0"/>
    <w:pPr>
      <w:adjustRightInd/>
      <w:spacing w:line="240" w:lineRule="auto"/>
      <w:textAlignment w:val="auto"/>
    </w:pPr>
    <w:rPr>
      <w:kern w:val="2"/>
      <w:sz w:val="24"/>
    </w:rPr>
  </w:style>
  <w:style w:type="paragraph" w:customStyle="1" w:styleId="81">
    <w:name w:val="表格正文 Char Char"/>
    <w:basedOn w:val="1"/>
    <w:next w:val="1"/>
    <w:qFormat/>
    <w:uiPriority w:val="0"/>
    <w:pPr>
      <w:snapToGrid w:val="0"/>
      <w:spacing w:line="240" w:lineRule="auto"/>
      <w:jc w:val="center"/>
    </w:pPr>
    <w:rPr>
      <w:rFonts w:ascii="宋体"/>
      <w:snapToGrid w:val="0"/>
      <w:spacing w:val="4"/>
      <w:w w:val="90"/>
      <w:kern w:val="18"/>
      <w:sz w:val="24"/>
    </w:rPr>
  </w:style>
  <w:style w:type="character" w:customStyle="1" w:styleId="82">
    <w:name w:val="页眉 字符"/>
    <w:basedOn w:val="32"/>
    <w:link w:val="21"/>
    <w:qFormat/>
    <w:uiPriority w:val="99"/>
    <w:rPr>
      <w:sz w:val="18"/>
    </w:rPr>
  </w:style>
  <w:style w:type="paragraph" w:customStyle="1" w:styleId="83">
    <w:name w:val="Char Char Char Char Char Char Char Char Char Char Char Char Char 字元 字元"/>
    <w:basedOn w:val="1"/>
    <w:qFormat/>
    <w:uiPriority w:val="0"/>
    <w:pPr>
      <w:adjustRightInd/>
      <w:spacing w:line="240" w:lineRule="auto"/>
      <w:textAlignment w:val="auto"/>
    </w:pPr>
    <w:rPr>
      <w:kern w:val="2"/>
      <w:sz w:val="24"/>
    </w:rPr>
  </w:style>
  <w:style w:type="paragraph" w:customStyle="1" w:styleId="84">
    <w:name w:val="纯文本1"/>
    <w:basedOn w:val="1"/>
    <w:qFormat/>
    <w:uiPriority w:val="0"/>
    <w:pPr>
      <w:autoSpaceDE w:val="0"/>
      <w:autoSpaceDN w:val="0"/>
      <w:spacing w:line="240" w:lineRule="auto"/>
    </w:pPr>
    <w:rPr>
      <w:rFonts w:ascii="Courier New" w:hAnsi="Courier New"/>
      <w:kern w:val="2"/>
      <w:sz w:val="15"/>
    </w:rPr>
  </w:style>
  <w:style w:type="character" w:customStyle="1" w:styleId="85">
    <w:name w:val="正文文本缩进 字符"/>
    <w:basedOn w:val="32"/>
    <w:link w:val="14"/>
    <w:qFormat/>
    <w:uiPriority w:val="0"/>
    <w:rPr>
      <w:rFonts w:ascii="宋体"/>
      <w:sz w:val="24"/>
    </w:rPr>
  </w:style>
  <w:style w:type="paragraph" w:customStyle="1" w:styleId="86">
    <w:name w:val="样式1"/>
    <w:basedOn w:val="1"/>
    <w:qFormat/>
    <w:uiPriority w:val="0"/>
    <w:pPr>
      <w:adjustRightInd/>
      <w:spacing w:line="360" w:lineRule="auto"/>
      <w:ind w:firstLine="510"/>
      <w:textAlignment w:val="auto"/>
    </w:pPr>
    <w:rPr>
      <w:kern w:val="2"/>
      <w:sz w:val="24"/>
    </w:rPr>
  </w:style>
  <w:style w:type="paragraph" w:customStyle="1" w:styleId="87">
    <w:name w:val="Char Char Char Char Char Char Char Char Char Char Char Char Char 字元 字元 Char Char Char"/>
    <w:basedOn w:val="1"/>
    <w:qFormat/>
    <w:uiPriority w:val="0"/>
    <w:pPr>
      <w:adjustRightInd/>
      <w:spacing w:line="240" w:lineRule="auto"/>
      <w:textAlignment w:val="auto"/>
    </w:pPr>
    <w:rPr>
      <w:kern w:val="2"/>
      <w:sz w:val="24"/>
    </w:rPr>
  </w:style>
  <w:style w:type="paragraph" w:customStyle="1" w:styleId="88">
    <w:name w:val="1"/>
    <w:basedOn w:val="1"/>
    <w:next w:val="13"/>
    <w:qFormat/>
    <w:uiPriority w:val="0"/>
    <w:pPr>
      <w:spacing w:after="120"/>
    </w:pPr>
    <w:rPr>
      <w:rFonts w:ascii="宋体"/>
      <w:spacing w:val="4"/>
      <w:kern w:val="21"/>
      <w:sz w:val="24"/>
    </w:rPr>
  </w:style>
  <w:style w:type="character" w:customStyle="1" w:styleId="89">
    <w:name w:val="正文文本 字符"/>
    <w:link w:val="13"/>
    <w:qFormat/>
    <w:uiPriority w:val="0"/>
    <w:rPr>
      <w:sz w:val="21"/>
    </w:rPr>
  </w:style>
  <w:style w:type="paragraph" w:customStyle="1" w:styleId="90">
    <w:name w:val="表格正文"/>
    <w:basedOn w:val="1"/>
    <w:next w:val="1"/>
    <w:link w:val="91"/>
    <w:qFormat/>
    <w:uiPriority w:val="0"/>
    <w:pPr>
      <w:snapToGrid w:val="0"/>
      <w:spacing w:line="240" w:lineRule="auto"/>
      <w:jc w:val="center"/>
    </w:pPr>
    <w:rPr>
      <w:rFonts w:ascii="宋体"/>
      <w:snapToGrid w:val="0"/>
      <w:spacing w:val="4"/>
      <w:w w:val="90"/>
      <w:sz w:val="24"/>
    </w:rPr>
  </w:style>
  <w:style w:type="character" w:customStyle="1" w:styleId="91">
    <w:name w:val="表格正文 Char1"/>
    <w:link w:val="90"/>
    <w:qFormat/>
    <w:uiPriority w:val="0"/>
    <w:rPr>
      <w:rFonts w:ascii="宋体"/>
      <w:snapToGrid w:val="0"/>
      <w:spacing w:val="4"/>
      <w:w w:val="90"/>
      <w:sz w:val="24"/>
    </w:rPr>
  </w:style>
  <w:style w:type="paragraph" w:customStyle="1" w:styleId="92">
    <w:name w:val="HJN-ZZ"/>
    <w:basedOn w:val="1"/>
    <w:qFormat/>
    <w:uiPriority w:val="0"/>
    <w:pPr>
      <w:spacing w:line="360" w:lineRule="auto"/>
      <w:ind w:firstLine="482"/>
      <w:jc w:val="left"/>
    </w:pPr>
    <w:rPr>
      <w:rFonts w:ascii="宋体" w:hAnsi="宋体"/>
      <w:kern w:val="21"/>
      <w:sz w:val="24"/>
    </w:rPr>
  </w:style>
  <w:style w:type="paragraph" w:customStyle="1" w:styleId="93">
    <w:name w:val="胡奔流-标题4"/>
    <w:basedOn w:val="1"/>
    <w:qFormat/>
    <w:uiPriority w:val="0"/>
    <w:pPr>
      <w:spacing w:before="240" w:after="240" w:line="360" w:lineRule="auto"/>
    </w:pPr>
    <w:rPr>
      <w:rFonts w:ascii="宋体"/>
      <w:spacing w:val="10"/>
      <w:kern w:val="21"/>
      <w:sz w:val="24"/>
    </w:rPr>
  </w:style>
  <w:style w:type="character" w:customStyle="1" w:styleId="94">
    <w:name w:val="Char"/>
    <w:qFormat/>
    <w:uiPriority w:val="0"/>
    <w:rPr>
      <w:rFonts w:ascii="宋体" w:hAnsi="Courier New"/>
      <w:kern w:val="2"/>
      <w:sz w:val="21"/>
    </w:rPr>
  </w:style>
  <w:style w:type="paragraph" w:customStyle="1" w:styleId="95">
    <w:name w:val="Char1"/>
    <w:basedOn w:val="1"/>
    <w:qFormat/>
    <w:uiPriority w:val="0"/>
    <w:pPr>
      <w:adjustRightInd/>
      <w:spacing w:line="240" w:lineRule="auto"/>
      <w:textAlignment w:val="auto"/>
    </w:pPr>
    <w:rPr>
      <w:kern w:val="2"/>
      <w:szCs w:val="24"/>
    </w:rPr>
  </w:style>
  <w:style w:type="paragraph" w:customStyle="1" w:styleId="96">
    <w:name w:val="Char Char Char Char Char Char"/>
    <w:basedOn w:val="1"/>
    <w:qFormat/>
    <w:uiPriority w:val="0"/>
    <w:pPr>
      <w:adjustRightInd/>
      <w:spacing w:line="240" w:lineRule="auto"/>
      <w:textAlignment w:val="auto"/>
    </w:pPr>
    <w:rPr>
      <w:kern w:val="2"/>
      <w:sz w:val="24"/>
      <w:szCs w:val="24"/>
    </w:rPr>
  </w:style>
  <w:style w:type="paragraph" w:customStyle="1" w:styleId="97">
    <w:name w:val="报告表正文"/>
    <w:basedOn w:val="1"/>
    <w:qFormat/>
    <w:uiPriority w:val="0"/>
    <w:pPr>
      <w:spacing w:line="312" w:lineRule="auto"/>
      <w:ind w:left="113" w:right="113" w:firstLine="482"/>
      <w:jc w:val="left"/>
    </w:pPr>
    <w:rPr>
      <w:sz w:val="24"/>
    </w:rPr>
  </w:style>
  <w:style w:type="paragraph" w:customStyle="1" w:styleId="98">
    <w:name w:val="修订1"/>
    <w:hidden/>
    <w:semiHidden/>
    <w:qFormat/>
    <w:uiPriority w:val="99"/>
    <w:rPr>
      <w:rFonts w:ascii="Times New Roman" w:hAnsi="Times New Roman" w:eastAsia="宋体" w:cs="Times New Roman"/>
      <w:sz w:val="21"/>
      <w:lang w:val="en-US" w:eastAsia="zh-CN" w:bidi="ar-SA"/>
    </w:rPr>
  </w:style>
  <w:style w:type="paragraph" w:customStyle="1" w:styleId="99">
    <w:name w:val="正文文本 22"/>
    <w:basedOn w:val="1"/>
    <w:qFormat/>
    <w:uiPriority w:val="0"/>
    <w:pPr>
      <w:spacing w:line="240" w:lineRule="auto"/>
      <w:jc w:val="center"/>
    </w:pPr>
    <w:rPr>
      <w:kern w:val="2"/>
      <w:sz w:val="24"/>
    </w:rPr>
  </w:style>
  <w:style w:type="paragraph" w:customStyle="1" w:styleId="100">
    <w:name w:val="Char Char Char Char Char Char Char Char Char Char Char Char1"/>
    <w:basedOn w:val="1"/>
    <w:qFormat/>
    <w:uiPriority w:val="0"/>
    <w:pPr>
      <w:adjustRightInd/>
      <w:spacing w:line="240" w:lineRule="auto"/>
      <w:textAlignment w:val="auto"/>
    </w:pPr>
    <w:rPr>
      <w:kern w:val="2"/>
      <w:sz w:val="24"/>
      <w:szCs w:val="24"/>
    </w:rPr>
  </w:style>
  <w:style w:type="paragraph" w:customStyle="1" w:styleId="101">
    <w:name w:val="表格内正文"/>
    <w:basedOn w:val="1"/>
    <w:qFormat/>
    <w:uiPriority w:val="0"/>
    <w:pPr>
      <w:adjustRightInd/>
      <w:spacing w:line="360" w:lineRule="auto"/>
      <w:ind w:firstLine="493"/>
      <w:textAlignment w:val="auto"/>
    </w:pPr>
    <w:rPr>
      <w:rFonts w:ascii="宋体" w:hAnsi="宋体"/>
      <w:spacing w:val="4"/>
      <w:kern w:val="18"/>
      <w:sz w:val="24"/>
      <w:szCs w:val="24"/>
    </w:rPr>
  </w:style>
  <w:style w:type="paragraph" w:customStyle="1" w:styleId="102">
    <w:name w:val="表格内正文 Char Char"/>
    <w:basedOn w:val="1"/>
    <w:qFormat/>
    <w:uiPriority w:val="0"/>
    <w:pPr>
      <w:adjustRightInd/>
      <w:spacing w:line="360" w:lineRule="auto"/>
      <w:ind w:firstLine="493"/>
      <w:textAlignment w:val="auto"/>
    </w:pPr>
    <w:rPr>
      <w:rFonts w:ascii="宋体" w:hAnsi="宋体"/>
      <w:spacing w:val="4"/>
      <w:kern w:val="18"/>
      <w:sz w:val="24"/>
      <w:szCs w:val="24"/>
    </w:rPr>
  </w:style>
  <w:style w:type="paragraph" w:customStyle="1" w:styleId="103">
    <w:name w:val="小四+首行缩进"/>
    <w:basedOn w:val="1"/>
    <w:link w:val="104"/>
    <w:qFormat/>
    <w:uiPriority w:val="0"/>
    <w:pPr>
      <w:adjustRightInd/>
      <w:spacing w:line="360" w:lineRule="auto"/>
      <w:ind w:firstLine="482"/>
      <w:textAlignment w:val="auto"/>
    </w:pPr>
    <w:rPr>
      <w:rFonts w:ascii="宋体" w:hAnsi="宋体"/>
      <w:kern w:val="2"/>
      <w:sz w:val="24"/>
    </w:rPr>
  </w:style>
  <w:style w:type="character" w:customStyle="1" w:styleId="104">
    <w:name w:val="小四+首行缩进 Char2"/>
    <w:link w:val="103"/>
    <w:qFormat/>
    <w:uiPriority w:val="0"/>
    <w:rPr>
      <w:rFonts w:ascii="宋体" w:hAnsi="宋体" w:cs="宋体"/>
      <w:kern w:val="2"/>
      <w:sz w:val="24"/>
    </w:rPr>
  </w:style>
  <w:style w:type="character" w:customStyle="1" w:styleId="105">
    <w:name w:val="btitle"/>
    <w:basedOn w:val="32"/>
    <w:qFormat/>
    <w:uiPriority w:val="0"/>
  </w:style>
  <w:style w:type="paragraph" w:customStyle="1" w:styleId="106">
    <w:name w:val="表格居中 Char"/>
    <w:basedOn w:val="1"/>
    <w:link w:val="107"/>
    <w:qFormat/>
    <w:uiPriority w:val="0"/>
    <w:pPr>
      <w:adjustRightInd/>
      <w:spacing w:line="240" w:lineRule="auto"/>
      <w:jc w:val="center"/>
      <w:textAlignment w:val="auto"/>
    </w:pPr>
    <w:rPr>
      <w:rFonts w:ascii="宋体" w:hAnsi="宋体"/>
      <w:w w:val="90"/>
      <w:sz w:val="24"/>
      <w:szCs w:val="24"/>
    </w:rPr>
  </w:style>
  <w:style w:type="character" w:customStyle="1" w:styleId="107">
    <w:name w:val="表格居中 Char Char"/>
    <w:link w:val="106"/>
    <w:qFormat/>
    <w:uiPriority w:val="0"/>
    <w:rPr>
      <w:rFonts w:ascii="宋体" w:hAnsi="宋体" w:eastAsia="宋体"/>
      <w:w w:val="90"/>
      <w:sz w:val="24"/>
      <w:szCs w:val="24"/>
      <w:lang w:val="en-US" w:eastAsia="zh-CN" w:bidi="ar-SA"/>
    </w:rPr>
  </w:style>
  <w:style w:type="paragraph" w:customStyle="1" w:styleId="108">
    <w:name w:val="样式 文本正文 + 首行缩进:  2 字符3"/>
    <w:basedOn w:val="1"/>
    <w:qFormat/>
    <w:uiPriority w:val="0"/>
    <w:pPr>
      <w:autoSpaceDE w:val="0"/>
      <w:autoSpaceDN w:val="0"/>
      <w:spacing w:line="360" w:lineRule="auto"/>
      <w:ind w:firstLine="496" w:firstLineChars="200"/>
    </w:pPr>
    <w:rPr>
      <w:rFonts w:ascii="宋体" w:hAnsi="宋体" w:cs="宋体"/>
      <w:snapToGrid w:val="0"/>
      <w:color w:val="000000"/>
      <w:kern w:val="21"/>
      <w:sz w:val="24"/>
      <w:szCs w:val="24"/>
    </w:rPr>
  </w:style>
  <w:style w:type="paragraph" w:customStyle="1" w:styleId="109">
    <w:name w:val="表后文字"/>
    <w:next w:val="1"/>
    <w:qFormat/>
    <w:uiPriority w:val="0"/>
    <w:pPr>
      <w:ind w:firstLine="493"/>
    </w:pPr>
    <w:rPr>
      <w:rFonts w:ascii="宋体" w:hAnsi="Times New Roman" w:eastAsia="宋体" w:cs="Times New Roman"/>
      <w:spacing w:val="4"/>
      <w:w w:val="80"/>
      <w:kern w:val="18"/>
      <w:sz w:val="24"/>
      <w:szCs w:val="24"/>
      <w:lang w:val="en-US" w:eastAsia="zh-CN" w:bidi="ar-SA"/>
    </w:rPr>
  </w:style>
  <w:style w:type="paragraph" w:customStyle="1" w:styleId="110">
    <w:name w:val="表格AM"/>
    <w:basedOn w:val="1"/>
    <w:qFormat/>
    <w:uiPriority w:val="0"/>
    <w:pPr>
      <w:tabs>
        <w:tab w:val="left" w:pos="0"/>
      </w:tabs>
      <w:snapToGrid w:val="0"/>
      <w:spacing w:line="240" w:lineRule="auto"/>
      <w:ind w:left="-113" w:right="-113"/>
      <w:jc w:val="center"/>
      <w:textAlignment w:val="auto"/>
    </w:pPr>
    <w:rPr>
      <w:rFonts w:eastAsia="仿宋_GB2312"/>
      <w:spacing w:val="4"/>
      <w:kern w:val="18"/>
      <w:sz w:val="24"/>
      <w:szCs w:val="24"/>
    </w:rPr>
  </w:style>
  <w:style w:type="paragraph" w:customStyle="1" w:styleId="111">
    <w:name w:val="君邦正文"/>
    <w:qFormat/>
    <w:uiPriority w:val="0"/>
    <w:pPr>
      <w:spacing w:line="360" w:lineRule="auto"/>
      <w:ind w:left="-4" w:leftChars="-2" w:firstLine="480" w:firstLineChars="200"/>
      <w:jc w:val="both"/>
    </w:pPr>
    <w:rPr>
      <w:rFonts w:ascii="宋体" w:hAnsi="宋体" w:eastAsia="宋体" w:cs="Times New Roman"/>
      <w:kern w:val="2"/>
      <w:sz w:val="24"/>
      <w:lang w:val="en-US" w:eastAsia="zh-CN" w:bidi="ar-SA"/>
    </w:rPr>
  </w:style>
  <w:style w:type="paragraph" w:customStyle="1" w:styleId="112">
    <w:name w:val="Char Char Char1 Char Char Char Char Char Char Char Char Char Char Char Char Char Char Char Char Char Char Char"/>
    <w:basedOn w:val="1"/>
    <w:qFormat/>
    <w:uiPriority w:val="0"/>
    <w:pPr>
      <w:adjustRightInd/>
      <w:spacing w:line="360" w:lineRule="auto"/>
      <w:ind w:firstLine="200" w:firstLineChars="200"/>
      <w:textAlignment w:val="auto"/>
    </w:pPr>
    <w:rPr>
      <w:rFonts w:ascii="宋体" w:hAnsi="宋体" w:cs="宋体"/>
      <w:kern w:val="2"/>
      <w:sz w:val="24"/>
      <w:szCs w:val="24"/>
    </w:rPr>
  </w:style>
  <w:style w:type="paragraph" w:customStyle="1" w:styleId="113">
    <w:name w:val="默认段落字体 Para Char Char Char Char Char Char Char"/>
    <w:basedOn w:val="1"/>
    <w:qFormat/>
    <w:uiPriority w:val="0"/>
    <w:pPr>
      <w:tabs>
        <w:tab w:val="left" w:pos="4665"/>
        <w:tab w:val="left" w:pos="8970"/>
      </w:tabs>
      <w:adjustRightInd/>
      <w:spacing w:line="240" w:lineRule="auto"/>
      <w:ind w:firstLine="400"/>
      <w:textAlignment w:val="auto"/>
    </w:pPr>
    <w:rPr>
      <w:kern w:val="2"/>
    </w:rPr>
  </w:style>
  <w:style w:type="paragraph" w:customStyle="1" w:styleId="114">
    <w:name w:val="Char Char Char2 Char"/>
    <w:basedOn w:val="1"/>
    <w:qFormat/>
    <w:uiPriority w:val="0"/>
    <w:pPr>
      <w:adjustRightInd/>
      <w:spacing w:line="240" w:lineRule="auto"/>
      <w:textAlignment w:val="auto"/>
    </w:pPr>
    <w:rPr>
      <w:rFonts w:eastAsia="Times New Roman"/>
      <w:kern w:val="2"/>
    </w:rPr>
  </w:style>
  <w:style w:type="paragraph" w:customStyle="1" w:styleId="115">
    <w:name w:val="_Style 1"/>
    <w:basedOn w:val="1"/>
    <w:qFormat/>
    <w:uiPriority w:val="0"/>
    <w:pPr>
      <w:adjustRightInd/>
      <w:spacing w:line="240" w:lineRule="auto"/>
      <w:textAlignment w:val="auto"/>
    </w:pPr>
    <w:rPr>
      <w:kern w:val="2"/>
      <w:szCs w:val="24"/>
    </w:rPr>
  </w:style>
  <w:style w:type="character" w:customStyle="1" w:styleId="116">
    <w:name w:val="正文20110824 Char"/>
    <w:link w:val="117"/>
    <w:qFormat/>
    <w:uiPriority w:val="0"/>
    <w:rPr>
      <w:color w:val="000000"/>
      <w:kern w:val="2"/>
      <w:sz w:val="24"/>
      <w:szCs w:val="24"/>
    </w:rPr>
  </w:style>
  <w:style w:type="paragraph" w:customStyle="1" w:styleId="117">
    <w:name w:val="正文20110824"/>
    <w:basedOn w:val="1"/>
    <w:link w:val="116"/>
    <w:qFormat/>
    <w:uiPriority w:val="0"/>
    <w:pPr>
      <w:adjustRightInd/>
      <w:spacing w:line="360" w:lineRule="auto"/>
      <w:ind w:firstLine="200" w:firstLineChars="200"/>
      <w:textAlignment w:val="auto"/>
    </w:pPr>
    <w:rPr>
      <w:color w:val="000000"/>
      <w:kern w:val="2"/>
      <w:sz w:val="24"/>
      <w:szCs w:val="24"/>
    </w:rPr>
  </w:style>
  <w:style w:type="character" w:customStyle="1" w:styleId="118">
    <w:name w:val="注释 Char"/>
    <w:link w:val="119"/>
    <w:semiHidden/>
    <w:qFormat/>
    <w:uiPriority w:val="0"/>
    <w:rPr>
      <w:rFonts w:ascii="宋体"/>
      <w:snapToGrid w:val="0"/>
      <w:spacing w:val="4"/>
      <w:sz w:val="21"/>
      <w:szCs w:val="24"/>
    </w:rPr>
  </w:style>
  <w:style w:type="paragraph" w:customStyle="1" w:styleId="119">
    <w:name w:val="注释"/>
    <w:basedOn w:val="1"/>
    <w:link w:val="118"/>
    <w:semiHidden/>
    <w:qFormat/>
    <w:uiPriority w:val="0"/>
    <w:pPr>
      <w:snapToGrid w:val="0"/>
      <w:spacing w:line="360" w:lineRule="auto"/>
    </w:pPr>
    <w:rPr>
      <w:rFonts w:ascii="宋体"/>
      <w:snapToGrid w:val="0"/>
      <w:spacing w:val="4"/>
      <w:szCs w:val="24"/>
    </w:rPr>
  </w:style>
  <w:style w:type="character" w:customStyle="1" w:styleId="120">
    <w:name w:val="正文20110920 Char"/>
    <w:link w:val="121"/>
    <w:qFormat/>
    <w:uiPriority w:val="0"/>
    <w:rPr>
      <w:rFonts w:cs="宋体"/>
      <w:color w:val="000000"/>
      <w:kern w:val="2"/>
      <w:sz w:val="24"/>
      <w:szCs w:val="24"/>
    </w:rPr>
  </w:style>
  <w:style w:type="paragraph" w:customStyle="1" w:styleId="121">
    <w:name w:val="正文20110920"/>
    <w:basedOn w:val="1"/>
    <w:link w:val="120"/>
    <w:qFormat/>
    <w:uiPriority w:val="0"/>
    <w:pPr>
      <w:adjustRightInd/>
      <w:spacing w:line="360" w:lineRule="auto"/>
      <w:ind w:firstLine="480" w:firstLineChars="200"/>
      <w:textAlignment w:val="auto"/>
    </w:pPr>
    <w:rPr>
      <w:rFonts w:cs="宋体"/>
      <w:color w:val="000000"/>
      <w:kern w:val="2"/>
      <w:sz w:val="24"/>
      <w:szCs w:val="24"/>
    </w:rPr>
  </w:style>
  <w:style w:type="paragraph" w:customStyle="1" w:styleId="122">
    <w:name w:val="表中正文标题"/>
    <w:basedOn w:val="1"/>
    <w:qFormat/>
    <w:uiPriority w:val="0"/>
    <w:pPr>
      <w:adjustRightInd/>
      <w:spacing w:line="360" w:lineRule="auto"/>
      <w:jc w:val="left"/>
      <w:textAlignment w:val="auto"/>
    </w:pPr>
    <w:rPr>
      <w:rFonts w:ascii="宋体"/>
      <w:b/>
      <w:spacing w:val="4"/>
      <w:kern w:val="2"/>
      <w:sz w:val="28"/>
      <w:szCs w:val="24"/>
    </w:rPr>
  </w:style>
  <w:style w:type="character" w:customStyle="1" w:styleId="123">
    <w:name w:val="正文文本首行缩进 字符"/>
    <w:link w:val="29"/>
    <w:qFormat/>
    <w:uiPriority w:val="0"/>
    <w:rPr>
      <w:kern w:val="2"/>
      <w:sz w:val="21"/>
    </w:rPr>
  </w:style>
  <w:style w:type="paragraph" w:customStyle="1" w:styleId="124">
    <w:name w:val="xyb自建表格名称"/>
    <w:basedOn w:val="1"/>
    <w:qFormat/>
    <w:uiPriority w:val="0"/>
    <w:pPr>
      <w:adjustRightInd/>
      <w:spacing w:line="300" w:lineRule="auto"/>
      <w:jc w:val="center"/>
    </w:pPr>
    <w:rPr>
      <w:rFonts w:hAnsi="宋体"/>
      <w:b/>
      <w:snapToGrid w:val="0"/>
      <w:sz w:val="24"/>
    </w:rPr>
  </w:style>
  <w:style w:type="character" w:customStyle="1" w:styleId="125">
    <w:name w:val="正文01 Char Char"/>
    <w:link w:val="126"/>
    <w:qFormat/>
    <w:uiPriority w:val="0"/>
    <w:rPr>
      <w:bCs/>
      <w:kern w:val="2"/>
      <w:sz w:val="24"/>
    </w:rPr>
  </w:style>
  <w:style w:type="paragraph" w:customStyle="1" w:styleId="126">
    <w:name w:val="正文01"/>
    <w:basedOn w:val="1"/>
    <w:link w:val="125"/>
    <w:qFormat/>
    <w:uiPriority w:val="0"/>
    <w:pPr>
      <w:adjustRightInd/>
      <w:spacing w:before="60" w:line="460" w:lineRule="exact"/>
      <w:ind w:firstLine="200" w:firstLineChars="200"/>
      <w:textAlignment w:val="auto"/>
    </w:pPr>
    <w:rPr>
      <w:bCs/>
      <w:kern w:val="2"/>
      <w:sz w:val="24"/>
    </w:rPr>
  </w:style>
  <w:style w:type="paragraph" w:customStyle="1" w:styleId="127">
    <w:name w:val="表格2"/>
    <w:basedOn w:val="1"/>
    <w:next w:val="1"/>
    <w:qFormat/>
    <w:uiPriority w:val="0"/>
    <w:pPr>
      <w:topLinePunct/>
      <w:autoSpaceDE w:val="0"/>
      <w:autoSpaceDN w:val="0"/>
      <w:spacing w:line="240" w:lineRule="auto"/>
      <w:jc w:val="center"/>
    </w:pPr>
    <w:rPr>
      <w:rFonts w:ascii="宋体" w:hAnsi="Impact"/>
      <w:kern w:val="24"/>
      <w:position w:val="-28"/>
    </w:rPr>
  </w:style>
  <w:style w:type="paragraph" w:customStyle="1" w:styleId="128">
    <w:name w:val="zxz5"/>
    <w:next w:val="1"/>
    <w:qFormat/>
    <w:uiPriority w:val="0"/>
    <w:pPr>
      <w:tabs>
        <w:tab w:val="left" w:pos="0"/>
      </w:tabs>
      <w:jc w:val="center"/>
    </w:pPr>
    <w:rPr>
      <w:rFonts w:ascii="Times New Roman" w:hAnsi="Times New Roman" w:eastAsia="宋体" w:cs="Times New Roman"/>
      <w:lang w:val="en-US" w:eastAsia="zh-CN" w:bidi="ar-SA"/>
    </w:rPr>
  </w:style>
  <w:style w:type="paragraph" w:customStyle="1" w:styleId="129">
    <w:name w:val="Default1"/>
    <w:basedOn w:val="1"/>
    <w:qFormat/>
    <w:uiPriority w:val="0"/>
    <w:pPr>
      <w:autoSpaceDE w:val="0"/>
      <w:autoSpaceDN w:val="0"/>
      <w:spacing w:line="240" w:lineRule="auto"/>
      <w:jc w:val="left"/>
      <w:textAlignment w:val="auto"/>
    </w:pPr>
    <w:rPr>
      <w:rFonts w:ascii="宋体" w:hAnsi="Calibri" w:cs="宋体"/>
      <w:color w:val="000000"/>
      <w:sz w:val="24"/>
      <w:szCs w:val="24"/>
    </w:rPr>
  </w:style>
  <w:style w:type="paragraph" w:customStyle="1" w:styleId="130">
    <w:name w:val="表格标题20110824"/>
    <w:basedOn w:val="1"/>
    <w:qFormat/>
    <w:uiPriority w:val="0"/>
    <w:pPr>
      <w:adjustRightInd/>
      <w:spacing w:beforeLines="50" w:line="240" w:lineRule="auto"/>
      <w:jc w:val="center"/>
      <w:textAlignment w:val="auto"/>
    </w:pPr>
    <w:rPr>
      <w:rFonts w:ascii="黑体" w:eastAsia="黑体"/>
      <w:b/>
      <w:bCs/>
      <w:kern w:val="2"/>
      <w:sz w:val="24"/>
      <w:szCs w:val="24"/>
    </w:rPr>
  </w:style>
  <w:style w:type="character" w:customStyle="1" w:styleId="131">
    <w:name w:val="样式 正文20110824 + 宋体 首行缩进:  2 字符 Char"/>
    <w:link w:val="132"/>
    <w:qFormat/>
    <w:uiPriority w:val="0"/>
    <w:rPr>
      <w:rFonts w:cs="宋体"/>
      <w:color w:val="000000"/>
      <w:kern w:val="2"/>
      <w:sz w:val="24"/>
      <w:szCs w:val="24"/>
    </w:rPr>
  </w:style>
  <w:style w:type="paragraph" w:customStyle="1" w:styleId="132">
    <w:name w:val="样式 正文20110824 + 宋体 首行缩进:  2 字符"/>
    <w:basedOn w:val="117"/>
    <w:link w:val="131"/>
    <w:qFormat/>
    <w:uiPriority w:val="0"/>
    <w:rPr>
      <w:rFonts w:cs="宋体"/>
    </w:rPr>
  </w:style>
  <w:style w:type="paragraph" w:customStyle="1" w:styleId="133">
    <w:name w:val="Table Paragraph"/>
    <w:basedOn w:val="1"/>
    <w:qFormat/>
    <w:uiPriority w:val="1"/>
    <w:pPr>
      <w:autoSpaceDE w:val="0"/>
      <w:autoSpaceDN w:val="0"/>
      <w:adjustRightInd/>
      <w:spacing w:line="240" w:lineRule="auto"/>
      <w:jc w:val="center"/>
      <w:textAlignment w:val="auto"/>
    </w:pPr>
    <w:rPr>
      <w:rFonts w:ascii="宋体" w:hAnsi="宋体" w:cs="宋体"/>
      <w:sz w:val="22"/>
      <w:szCs w:val="22"/>
      <w:lang w:val="zh-CN" w:bidi="zh-CN"/>
    </w:rPr>
  </w:style>
  <w:style w:type="table" w:customStyle="1" w:styleId="134">
    <w:name w:val="Table Normal"/>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135">
    <w:name w:val="标题 41"/>
    <w:basedOn w:val="1"/>
    <w:qFormat/>
    <w:uiPriority w:val="1"/>
    <w:pPr>
      <w:autoSpaceDE w:val="0"/>
      <w:autoSpaceDN w:val="0"/>
      <w:adjustRightInd/>
      <w:spacing w:before="1" w:line="240" w:lineRule="auto"/>
      <w:ind w:left="716"/>
      <w:jc w:val="left"/>
      <w:textAlignment w:val="auto"/>
      <w:outlineLvl w:val="4"/>
    </w:pPr>
    <w:rPr>
      <w:rFonts w:ascii="宋体" w:hAnsi="宋体" w:cs="宋体"/>
      <w:b/>
      <w:bCs/>
      <w:sz w:val="24"/>
      <w:szCs w:val="24"/>
      <w:lang w:val="zh-CN" w:bidi="zh-CN"/>
    </w:rPr>
  </w:style>
  <w:style w:type="paragraph" w:customStyle="1" w:styleId="136">
    <w:name w:val="正文 lux"/>
    <w:basedOn w:val="1"/>
    <w:qFormat/>
    <w:uiPriority w:val="0"/>
    <w:pPr>
      <w:snapToGrid w:val="0"/>
      <w:spacing w:line="500" w:lineRule="exact"/>
      <w:ind w:firstLine="200" w:firstLineChars="200"/>
      <w:textAlignment w:val="auto"/>
    </w:pPr>
    <w:rPr>
      <w:kern w:val="2"/>
      <w:sz w:val="24"/>
      <w:szCs w:val="28"/>
    </w:rPr>
  </w:style>
  <w:style w:type="paragraph" w:customStyle="1" w:styleId="137">
    <w:name w:val="A-z正文"/>
    <w:basedOn w:val="1"/>
    <w:link w:val="138"/>
    <w:qFormat/>
    <w:uiPriority w:val="0"/>
    <w:pPr>
      <w:adjustRightInd/>
      <w:spacing w:line="360" w:lineRule="auto"/>
      <w:ind w:firstLine="200" w:firstLineChars="200"/>
      <w:textAlignment w:val="auto"/>
    </w:pPr>
    <w:rPr>
      <w:rFonts w:cs="宋体"/>
      <w:kern w:val="2"/>
      <w:sz w:val="24"/>
    </w:rPr>
  </w:style>
  <w:style w:type="character" w:customStyle="1" w:styleId="138">
    <w:name w:val="A-z正文 Char"/>
    <w:basedOn w:val="32"/>
    <w:link w:val="137"/>
    <w:qFormat/>
    <w:uiPriority w:val="0"/>
    <w:rPr>
      <w:rFonts w:cs="宋体"/>
      <w:kern w:val="2"/>
      <w:sz w:val="24"/>
    </w:rPr>
  </w:style>
  <w:style w:type="table" w:customStyle="1" w:styleId="139">
    <w:name w:val="A-表格边框"/>
    <w:basedOn w:val="30"/>
    <w:qFormat/>
    <w:uiPriority w:val="99"/>
    <w:pPr>
      <w:jc w:val="center"/>
    </w:pPr>
    <w:rPr>
      <w:kern w:val="2"/>
      <w:sz w:val="21"/>
      <w:szCs w:val="22"/>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tblHeader/>
      <w:jc w:val="center"/>
    </w:trPr>
    <w:tcPr>
      <w:vAlign w:val="center"/>
    </w:tcPr>
  </w:style>
  <w:style w:type="table" w:customStyle="1" w:styleId="140">
    <w:name w:val="A-表格属性"/>
    <w:basedOn w:val="30"/>
    <w:qFormat/>
    <w:uiPriority w:val="99"/>
    <w:pPr>
      <w:jc w:val="center"/>
    </w:pPr>
    <w:rPr>
      <w:rFonts w:cs="宋体"/>
      <w:kern w:val="2"/>
      <w:sz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tblHeader/>
    </w:trPr>
    <w:tcPr>
      <w:vAlign w:val="center"/>
    </w:tcPr>
  </w:style>
  <w:style w:type="paragraph" w:customStyle="1" w:styleId="141">
    <w:name w:val="A-表格文字"/>
    <w:basedOn w:val="1"/>
    <w:next w:val="137"/>
    <w:link w:val="142"/>
    <w:qFormat/>
    <w:uiPriority w:val="0"/>
    <w:pPr>
      <w:autoSpaceDE w:val="0"/>
      <w:autoSpaceDN w:val="0"/>
      <w:spacing w:line="240" w:lineRule="auto"/>
      <w:jc w:val="center"/>
      <w:textAlignment w:val="center"/>
    </w:pPr>
    <w:rPr>
      <w:szCs w:val="21"/>
    </w:rPr>
  </w:style>
  <w:style w:type="character" w:customStyle="1" w:styleId="142">
    <w:name w:val="A-表格文字 Char"/>
    <w:basedOn w:val="32"/>
    <w:link w:val="141"/>
    <w:qFormat/>
    <w:uiPriority w:val="0"/>
    <w:rPr>
      <w:sz w:val="21"/>
      <w:szCs w:val="21"/>
    </w:rPr>
  </w:style>
  <w:style w:type="paragraph" w:customStyle="1" w:styleId="143">
    <w:name w:val="A-题注-表"/>
    <w:basedOn w:val="9"/>
    <w:link w:val="145"/>
    <w:qFormat/>
    <w:uiPriority w:val="0"/>
    <w:pPr>
      <w:adjustRightInd/>
      <w:spacing w:beforeLines="50" w:line="360" w:lineRule="auto"/>
      <w:jc w:val="center"/>
      <w:textAlignment w:val="auto"/>
    </w:pPr>
    <w:rPr>
      <w:rFonts w:ascii="Times New Roman" w:hAnsi="Times New Roman" w:eastAsia="宋体" w:cs="Arial"/>
      <w:b/>
      <w:kern w:val="2"/>
      <w:sz w:val="24"/>
    </w:rPr>
  </w:style>
  <w:style w:type="character" w:customStyle="1" w:styleId="144">
    <w:name w:val="题注 字符"/>
    <w:basedOn w:val="32"/>
    <w:link w:val="9"/>
    <w:qFormat/>
    <w:uiPriority w:val="0"/>
    <w:rPr>
      <w:rFonts w:eastAsia="黑体" w:asciiTheme="majorHAnsi" w:hAnsiTheme="majorHAnsi" w:cstheme="majorBidi"/>
    </w:rPr>
  </w:style>
  <w:style w:type="character" w:customStyle="1" w:styleId="145">
    <w:name w:val="A-题注-表 Char"/>
    <w:basedOn w:val="32"/>
    <w:link w:val="143"/>
    <w:qFormat/>
    <w:uiPriority w:val="0"/>
    <w:rPr>
      <w:rFonts w:cs="Arial"/>
      <w:b/>
      <w:kern w:val="2"/>
      <w:sz w:val="24"/>
    </w:rPr>
  </w:style>
  <w:style w:type="paragraph" w:customStyle="1" w:styleId="146">
    <w:name w:val="A-题注-图"/>
    <w:basedOn w:val="143"/>
    <w:link w:val="147"/>
    <w:qFormat/>
    <w:uiPriority w:val="0"/>
    <w:pPr>
      <w:spacing w:beforeLines="0" w:afterLines="50"/>
    </w:pPr>
  </w:style>
  <w:style w:type="character" w:customStyle="1" w:styleId="147">
    <w:name w:val="A-题注-图 Char"/>
    <w:basedOn w:val="145"/>
    <w:link w:val="146"/>
    <w:qFormat/>
    <w:uiPriority w:val="0"/>
    <w:rPr>
      <w:rFonts w:cs="Arial"/>
      <w:kern w:val="2"/>
      <w:sz w:val="24"/>
    </w:rPr>
  </w:style>
  <w:style w:type="paragraph" w:customStyle="1" w:styleId="148">
    <w:name w:val="A-尾注"/>
    <w:basedOn w:val="137"/>
    <w:link w:val="149"/>
    <w:qFormat/>
    <w:uiPriority w:val="0"/>
    <w:pPr>
      <w:spacing w:line="240" w:lineRule="auto"/>
      <w:ind w:firstLine="0" w:firstLineChars="0"/>
      <w:jc w:val="left"/>
    </w:pPr>
    <w:rPr>
      <w:sz w:val="18"/>
    </w:rPr>
  </w:style>
  <w:style w:type="character" w:customStyle="1" w:styleId="149">
    <w:name w:val="A-尾注 Char"/>
    <w:basedOn w:val="138"/>
    <w:link w:val="148"/>
    <w:qFormat/>
    <w:uiPriority w:val="0"/>
    <w:rPr>
      <w:rFonts w:cs="宋体"/>
      <w:kern w:val="2"/>
      <w:sz w:val="18"/>
    </w:rPr>
  </w:style>
  <w:style w:type="paragraph" w:customStyle="1" w:styleId="150">
    <w:name w:val="A-问题已解决"/>
    <w:basedOn w:val="1"/>
    <w:qFormat/>
    <w:uiPriority w:val="0"/>
    <w:pPr>
      <w:adjustRightInd/>
      <w:spacing w:line="360" w:lineRule="auto"/>
      <w:ind w:firstLine="444" w:firstLineChars="200"/>
      <w:textAlignment w:val="auto"/>
    </w:pPr>
    <w:rPr>
      <w:rFonts w:ascii="宋体" w:cs="宋体"/>
      <w:strike/>
      <w:kern w:val="2"/>
      <w:sz w:val="24"/>
      <w:szCs w:val="21"/>
    </w:rPr>
  </w:style>
  <w:style w:type="paragraph" w:customStyle="1" w:styleId="151">
    <w:name w:val="A-页脚"/>
    <w:basedOn w:val="20"/>
    <w:link w:val="152"/>
    <w:qFormat/>
    <w:uiPriority w:val="0"/>
    <w:pPr>
      <w:adjustRightInd/>
      <w:spacing w:line="240" w:lineRule="auto"/>
      <w:ind w:firstLine="480"/>
      <w:textAlignment w:val="auto"/>
    </w:pPr>
    <w:rPr>
      <w:kern w:val="2"/>
      <w:szCs w:val="18"/>
    </w:rPr>
  </w:style>
  <w:style w:type="character" w:customStyle="1" w:styleId="152">
    <w:name w:val="A-页脚 Char"/>
    <w:basedOn w:val="32"/>
    <w:link w:val="151"/>
    <w:qFormat/>
    <w:uiPriority w:val="0"/>
    <w:rPr>
      <w:kern w:val="2"/>
      <w:sz w:val="18"/>
      <w:szCs w:val="18"/>
    </w:rPr>
  </w:style>
  <w:style w:type="paragraph" w:customStyle="1" w:styleId="153">
    <w:name w:val="A-页眉"/>
    <w:basedOn w:val="21"/>
    <w:link w:val="154"/>
    <w:qFormat/>
    <w:uiPriority w:val="0"/>
    <w:pPr>
      <w:adjustRightInd/>
      <w:spacing w:line="240" w:lineRule="auto"/>
      <w:textAlignment w:val="auto"/>
    </w:pPr>
    <w:rPr>
      <w:kern w:val="2"/>
      <w:sz w:val="21"/>
      <w:szCs w:val="18"/>
      <w:lang w:val="zh-CN"/>
    </w:rPr>
  </w:style>
  <w:style w:type="character" w:customStyle="1" w:styleId="154">
    <w:name w:val="A-页眉 Char"/>
    <w:basedOn w:val="32"/>
    <w:link w:val="153"/>
    <w:qFormat/>
    <w:uiPriority w:val="0"/>
    <w:rPr>
      <w:kern w:val="2"/>
      <w:sz w:val="21"/>
      <w:szCs w:val="18"/>
      <w:lang w:val="zh-CN"/>
    </w:rPr>
  </w:style>
  <w:style w:type="character" w:customStyle="1" w:styleId="155">
    <w:name w:val="TOC 2 字符"/>
    <w:basedOn w:val="32"/>
    <w:link w:val="24"/>
    <w:qFormat/>
    <w:uiPriority w:val="39"/>
    <w:rPr>
      <w:rFonts w:cs="宋体"/>
      <w:kern w:val="2"/>
      <w:sz w:val="24"/>
    </w:rPr>
  </w:style>
  <w:style w:type="paragraph" w:customStyle="1" w:styleId="156">
    <w:name w:val="TOC 标题1"/>
    <w:basedOn w:val="3"/>
    <w:next w:val="1"/>
    <w:unhideWhenUsed/>
    <w:qFormat/>
    <w:uiPriority w:val="39"/>
    <w:pPr>
      <w:widowControl/>
      <w:numPr>
        <w:numId w:val="0"/>
      </w:numPr>
      <w:spacing w:beforeLines="0" w:afterLines="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57">
    <w:name w:val="普通(网站)1"/>
    <w:basedOn w:val="1"/>
    <w:qFormat/>
    <w:uiPriority w:val="0"/>
    <w:pPr>
      <w:widowControl/>
      <w:adjustRightInd/>
      <w:spacing w:before="100" w:beforeAutospacing="1" w:after="100" w:afterAutospacing="1" w:line="240" w:lineRule="auto"/>
      <w:jc w:val="left"/>
      <w:textAlignment w:val="auto"/>
    </w:pPr>
    <w:rPr>
      <w:rFonts w:hint="eastAsia" w:ascii="宋体" w:hAnsi="宋体"/>
      <w:kern w:val="2"/>
      <w:sz w:val="24"/>
    </w:rPr>
  </w:style>
  <w:style w:type="table" w:customStyle="1" w:styleId="158">
    <w:name w:val="TableGrid"/>
    <w:qFormat/>
    <w:uiPriority w:val="0"/>
    <w:tblPr>
      <w:tblCellMar>
        <w:top w:w="0" w:type="dxa"/>
        <w:left w:w="0" w:type="dxa"/>
        <w:bottom w:w="0" w:type="dxa"/>
        <w:right w:w="0" w:type="dxa"/>
      </w:tblCellMar>
    </w:tblPr>
  </w:style>
  <w:style w:type="paragraph" w:customStyle="1" w:styleId="159">
    <w:name w:val="表"/>
    <w:basedOn w:val="7"/>
    <w:qFormat/>
    <w:uiPriority w:val="0"/>
    <w:pPr>
      <w:keepNext w:val="0"/>
      <w:keepLines w:val="0"/>
      <w:adjustRightInd/>
      <w:spacing w:before="0" w:after="0" w:line="240" w:lineRule="auto"/>
      <w:jc w:val="center"/>
      <w:textAlignment w:val="auto"/>
      <w:outlineLvl w:val="9"/>
    </w:pPr>
    <w:rPr>
      <w:b w:val="0"/>
      <w:bCs w:val="0"/>
      <w:kern w:val="2"/>
      <w:sz w:val="21"/>
      <w:szCs w:val="21"/>
    </w:rPr>
  </w:style>
  <w:style w:type="character" w:customStyle="1" w:styleId="160">
    <w:name w:val="标题 7 字符"/>
    <w:basedOn w:val="32"/>
    <w:link w:val="7"/>
    <w:semiHidden/>
    <w:qFormat/>
    <w:uiPriority w:val="9"/>
    <w:rPr>
      <w:b/>
      <w:bCs/>
      <w:sz w:val="24"/>
      <w:szCs w:val="24"/>
    </w:rPr>
  </w:style>
  <w:style w:type="paragraph" w:customStyle="1" w:styleId="161">
    <w:name w:val="加粗小标题1"/>
    <w:basedOn w:val="1"/>
    <w:qFormat/>
    <w:uiPriority w:val="0"/>
    <w:pPr>
      <w:tabs>
        <w:tab w:val="left" w:pos="0"/>
      </w:tabs>
      <w:adjustRightInd/>
      <w:spacing w:line="360" w:lineRule="auto"/>
      <w:ind w:firstLine="482" w:firstLineChars="200"/>
    </w:pPr>
    <w:rPr>
      <w:b/>
      <w:sz w:val="24"/>
    </w:rPr>
  </w:style>
  <w:style w:type="character" w:customStyle="1" w:styleId="162">
    <w:name w:val="文档结构图 字符"/>
    <w:basedOn w:val="32"/>
    <w:link w:val="10"/>
    <w:semiHidden/>
    <w:qFormat/>
    <w:uiPriority w:val="0"/>
    <w:rPr>
      <w:sz w:val="21"/>
      <w:shd w:val="clear" w:color="auto" w:fill="000080"/>
    </w:rPr>
  </w:style>
  <w:style w:type="character" w:customStyle="1" w:styleId="163">
    <w:name w:val="正文文本 3 字符"/>
    <w:basedOn w:val="32"/>
    <w:link w:val="12"/>
    <w:qFormat/>
    <w:uiPriority w:val="0"/>
    <w:rPr>
      <w:b/>
      <w:kern w:val="10"/>
      <w:sz w:val="24"/>
    </w:rPr>
  </w:style>
  <w:style w:type="character" w:customStyle="1" w:styleId="164">
    <w:name w:val="正文文本缩进 2 字符"/>
    <w:basedOn w:val="32"/>
    <w:link w:val="18"/>
    <w:qFormat/>
    <w:uiPriority w:val="0"/>
    <w:rPr>
      <w:rFonts w:ascii="仿宋_GB2312" w:eastAsia="仿宋_GB2312"/>
      <w:kern w:val="2"/>
      <w:sz w:val="28"/>
    </w:rPr>
  </w:style>
  <w:style w:type="character" w:customStyle="1" w:styleId="165">
    <w:name w:val="正文文本缩进 3 字符"/>
    <w:basedOn w:val="32"/>
    <w:link w:val="23"/>
    <w:qFormat/>
    <w:uiPriority w:val="0"/>
    <w:rPr>
      <w:rFonts w:ascii="仿宋_GB2312" w:hAnsi="宋体" w:eastAsia="仿宋_GB2312"/>
      <w:color w:val="000000"/>
      <w:kern w:val="2"/>
      <w:sz w:val="28"/>
    </w:rPr>
  </w:style>
  <w:style w:type="character" w:customStyle="1" w:styleId="166">
    <w:name w:val="正文文本 2 字符"/>
    <w:basedOn w:val="32"/>
    <w:link w:val="25"/>
    <w:qFormat/>
    <w:uiPriority w:val="0"/>
    <w:rPr>
      <w:rFonts w:eastAsia="仿宋_GB2312"/>
      <w:sz w:val="28"/>
    </w:rPr>
  </w:style>
  <w:style w:type="character" w:customStyle="1" w:styleId="167">
    <w:name w:val="批注主题 字符"/>
    <w:basedOn w:val="49"/>
    <w:link w:val="28"/>
    <w:qFormat/>
    <w:uiPriority w:val="0"/>
    <w:rPr>
      <w:b/>
      <w:sz w:val="21"/>
    </w:rPr>
  </w:style>
  <w:style w:type="character" w:customStyle="1" w:styleId="168">
    <w:name w:val="表格 Char"/>
    <w:link w:val="169"/>
    <w:qFormat/>
    <w:uiPriority w:val="0"/>
    <w:rPr>
      <w:rFonts w:ascii="仿宋_GB2312" w:eastAsia="仿宋_GB2312"/>
      <w:kern w:val="2"/>
      <w:sz w:val="21"/>
    </w:rPr>
  </w:style>
  <w:style w:type="paragraph" w:customStyle="1" w:styleId="169">
    <w:name w:val="表格"/>
    <w:basedOn w:val="1"/>
    <w:link w:val="168"/>
    <w:qFormat/>
    <w:uiPriority w:val="0"/>
    <w:pPr>
      <w:snapToGrid w:val="0"/>
      <w:spacing w:line="240" w:lineRule="auto"/>
      <w:jc w:val="center"/>
      <w:textAlignment w:val="auto"/>
    </w:pPr>
    <w:rPr>
      <w:rFonts w:ascii="仿宋_GB2312" w:eastAsia="仿宋_GB2312"/>
      <w:kern w:val="2"/>
    </w:rPr>
  </w:style>
  <w:style w:type="character" w:customStyle="1" w:styleId="170">
    <w:name w:val="0-Meng Char"/>
    <w:link w:val="171"/>
    <w:qFormat/>
    <w:uiPriority w:val="0"/>
    <w:rPr>
      <w:color w:val="000000"/>
      <w:kern w:val="2"/>
      <w:sz w:val="24"/>
      <w:szCs w:val="24"/>
    </w:rPr>
  </w:style>
  <w:style w:type="paragraph" w:customStyle="1" w:styleId="171">
    <w:name w:val="0-Meng"/>
    <w:basedOn w:val="1"/>
    <w:next w:val="1"/>
    <w:link w:val="170"/>
    <w:qFormat/>
    <w:uiPriority w:val="0"/>
    <w:pPr>
      <w:adjustRightInd/>
      <w:spacing w:line="360" w:lineRule="auto"/>
      <w:ind w:firstLine="200" w:firstLineChars="200"/>
      <w:textAlignment w:val="auto"/>
    </w:pPr>
    <w:rPr>
      <w:color w:val="000000"/>
      <w:kern w:val="2"/>
      <w:sz w:val="24"/>
      <w:szCs w:val="24"/>
    </w:rPr>
  </w:style>
  <w:style w:type="character" w:customStyle="1" w:styleId="172">
    <w:name w:val="纯文本 字符1"/>
    <w:qFormat/>
    <w:uiPriority w:val="0"/>
    <w:rPr>
      <w:rFonts w:ascii="宋体" w:hAnsi="Courier New" w:eastAsia="宋体"/>
      <w:kern w:val="2"/>
      <w:sz w:val="21"/>
      <w:lang w:val="en-US" w:eastAsia="zh-CN" w:bidi="ar-SA"/>
    </w:rPr>
  </w:style>
  <w:style w:type="character" w:customStyle="1" w:styleId="173">
    <w:name w:val="font21"/>
    <w:basedOn w:val="32"/>
    <w:qFormat/>
    <w:uiPriority w:val="0"/>
    <w:rPr>
      <w:rFonts w:hint="eastAsia" w:ascii="宋体" w:hAnsi="宋体" w:eastAsia="宋体" w:cs="宋体"/>
      <w:color w:val="000000"/>
      <w:sz w:val="22"/>
      <w:szCs w:val="22"/>
      <w:u w:val="none"/>
    </w:rPr>
  </w:style>
  <w:style w:type="character" w:customStyle="1" w:styleId="174">
    <w:name w:val="font31"/>
    <w:basedOn w:val="32"/>
    <w:qFormat/>
    <w:uiPriority w:val="0"/>
    <w:rPr>
      <w:rFonts w:ascii="Wingdings 2" w:hAnsi="Wingdings 2" w:eastAsia="Wingdings 2" w:cs="Wingdings 2"/>
      <w:color w:val="000000"/>
      <w:sz w:val="24"/>
      <w:szCs w:val="24"/>
      <w:u w:val="none"/>
    </w:rPr>
  </w:style>
  <w:style w:type="character" w:customStyle="1" w:styleId="175">
    <w:name w:val="font41"/>
    <w:basedOn w:val="32"/>
    <w:qFormat/>
    <w:uiPriority w:val="0"/>
    <w:rPr>
      <w:rFonts w:hint="default" w:ascii="Times New Roman" w:hAnsi="Times New Roman" w:cs="Times New Roman"/>
      <w:color w:val="000000"/>
      <w:sz w:val="22"/>
      <w:szCs w:val="22"/>
      <w:u w:val="none"/>
    </w:rPr>
  </w:style>
  <w:style w:type="character" w:customStyle="1" w:styleId="176">
    <w:name w:val="font11"/>
    <w:basedOn w:val="32"/>
    <w:qFormat/>
    <w:uiPriority w:val="0"/>
    <w:rPr>
      <w:rFonts w:hint="default" w:ascii="Times New Roman" w:hAnsi="Times New Roman" w:cs="Times New Roman"/>
      <w:color w:val="000000"/>
      <w:sz w:val="22"/>
      <w:szCs w:val="22"/>
      <w:u w:val="none"/>
      <w:vertAlign w:val="subscript"/>
    </w:rPr>
  </w:style>
  <w:style w:type="character" w:customStyle="1" w:styleId="177">
    <w:name w:val="font01"/>
    <w:basedOn w:val="32"/>
    <w:qFormat/>
    <w:uiPriority w:val="0"/>
    <w:rPr>
      <w:rFonts w:hint="eastAsia" w:ascii="宋体" w:hAnsi="宋体" w:eastAsia="宋体" w:cs="宋体"/>
      <w:color w:val="000000"/>
      <w:sz w:val="22"/>
      <w:szCs w:val="22"/>
      <w:u w:val="none"/>
      <w:vertAlign w:val="subscript"/>
    </w:rPr>
  </w:style>
  <w:style w:type="paragraph" w:styleId="178">
    <w:name w:val="List Paragraph"/>
    <w:basedOn w:val="1"/>
    <w:qFormat/>
    <w:uiPriority w:val="1"/>
    <w:pPr>
      <w:ind w:firstLine="420" w:firstLineChars="200"/>
    </w:pPr>
  </w:style>
  <w:style w:type="paragraph" w:customStyle="1" w:styleId="179">
    <w:name w:val="表题"/>
    <w:basedOn w:val="1"/>
    <w:qFormat/>
    <w:uiPriority w:val="0"/>
    <w:pPr>
      <w:keepNext/>
      <w:snapToGrid w:val="0"/>
      <w:spacing w:beforeLines="50" w:afterLines="50" w:line="400" w:lineRule="exact"/>
      <w:ind w:firstLine="480" w:firstLineChars="200"/>
      <w:jc w:val="left"/>
      <w:textAlignment w:val="auto"/>
      <w:outlineLvl w:val="1"/>
    </w:pPr>
    <w:rPr>
      <w:rFonts w:ascii="黑体" w:hAnsi="Arial" w:eastAsia="黑体"/>
      <w:spacing w:val="16"/>
      <w:sz w:val="28"/>
      <w:szCs w:val="28"/>
    </w:rPr>
  </w:style>
  <w:style w:type="paragraph" w:customStyle="1" w:styleId="180">
    <w:name w:val="WPSOffice手动目录 1"/>
    <w:qFormat/>
    <w:uiPriority w:val="0"/>
    <w:pPr>
      <w:ind w:leftChars="0"/>
    </w:pPr>
    <w:rPr>
      <w:rFonts w:ascii="Times New Roman" w:hAnsi="Times New Roman" w:eastAsia="仿宋"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3" Type="http://schemas.openxmlformats.org/officeDocument/2006/relationships/fontTable" Target="fontTable.xml"/><Relationship Id="rId62" Type="http://schemas.openxmlformats.org/officeDocument/2006/relationships/customXml" Target="../customXml/item2.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footer" Target="footer4.xml"/><Relationship Id="rId59" Type="http://schemas.openxmlformats.org/officeDocument/2006/relationships/image" Target="media/image46.jpeg"/><Relationship Id="rId58" Type="http://schemas.openxmlformats.org/officeDocument/2006/relationships/image" Target="media/image45.jpeg"/><Relationship Id="rId57" Type="http://schemas.openxmlformats.org/officeDocument/2006/relationships/image" Target="media/image44.jpeg"/><Relationship Id="rId56" Type="http://schemas.openxmlformats.org/officeDocument/2006/relationships/image" Target="media/image43.jpeg"/><Relationship Id="rId55" Type="http://schemas.openxmlformats.org/officeDocument/2006/relationships/image" Target="media/image42.jpeg"/><Relationship Id="rId54" Type="http://schemas.openxmlformats.org/officeDocument/2006/relationships/image" Target="media/image41.jpeg"/><Relationship Id="rId53" Type="http://schemas.openxmlformats.org/officeDocument/2006/relationships/image" Target="media/image40.jpeg"/><Relationship Id="rId52" Type="http://schemas.openxmlformats.org/officeDocument/2006/relationships/image" Target="media/image39.jpeg"/><Relationship Id="rId51" Type="http://schemas.openxmlformats.org/officeDocument/2006/relationships/image" Target="media/image38.jpeg"/><Relationship Id="rId50" Type="http://schemas.openxmlformats.org/officeDocument/2006/relationships/image" Target="media/image37.jpeg"/><Relationship Id="rId5" Type="http://schemas.openxmlformats.org/officeDocument/2006/relationships/footer" Target="footer3.xml"/><Relationship Id="rId49" Type="http://schemas.openxmlformats.org/officeDocument/2006/relationships/image" Target="media/image36.jpeg"/><Relationship Id="rId48" Type="http://schemas.openxmlformats.org/officeDocument/2006/relationships/image" Target="media/image35.jpeg"/><Relationship Id="rId47" Type="http://schemas.openxmlformats.org/officeDocument/2006/relationships/image" Target="media/image34.jpeg"/><Relationship Id="rId46" Type="http://schemas.openxmlformats.org/officeDocument/2006/relationships/image" Target="media/image33.jpeg"/><Relationship Id="rId45" Type="http://schemas.openxmlformats.org/officeDocument/2006/relationships/image" Target="media/image32.jpeg"/><Relationship Id="rId44" Type="http://schemas.openxmlformats.org/officeDocument/2006/relationships/image" Target="media/image31.jpeg"/><Relationship Id="rId43" Type="http://schemas.openxmlformats.org/officeDocument/2006/relationships/image" Target="media/image30.jpeg"/><Relationship Id="rId42" Type="http://schemas.openxmlformats.org/officeDocument/2006/relationships/image" Target="media/image29.jpeg"/><Relationship Id="rId41" Type="http://schemas.openxmlformats.org/officeDocument/2006/relationships/image" Target="media/image28.jpeg"/><Relationship Id="rId40" Type="http://schemas.openxmlformats.org/officeDocument/2006/relationships/image" Target="media/image27.jpeg"/><Relationship Id="rId4" Type="http://schemas.openxmlformats.org/officeDocument/2006/relationships/footer" Target="footer2.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pn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er" Target="foot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A4248D-BF0A-42F1-87A1-81C857A8FD1C}">
  <ds:schemaRefs/>
</ds:datastoreItem>
</file>

<file path=docProps/app.xml><?xml version="1.0" encoding="utf-8"?>
<Properties xmlns="http://schemas.openxmlformats.org/officeDocument/2006/extended-properties" xmlns:vt="http://schemas.openxmlformats.org/officeDocument/2006/docPropsVTypes">
  <Template>Normal.dotm</Template>
  <Company>neci</Company>
  <Pages>116</Pages>
  <Words>53612</Words>
  <Characters>60385</Characters>
  <Lines>493</Lines>
  <Paragraphs>139</Paragraphs>
  <TotalTime>8</TotalTime>
  <ScaleCrop>false</ScaleCrop>
  <LinksUpToDate>false</LinksUpToDate>
  <CharactersWithSpaces>61781</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2020-02-12T07:07:00Z</dcterms:created>
  <dc:creator>envsea</dc:creator>
  <cp:lastModifiedBy>莫玲芳</cp:lastModifiedBy>
  <cp:lastPrinted>2020-02-17T04:41:00Z</cp:lastPrinted>
  <dcterms:modified xsi:type="dcterms:W3CDTF">2020-12-05T14:07:26Z</dcterms:modified>
  <dc:title>游艇组装</dc:title>
  <cp:revision>913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