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200" w:after="200" w:line="579" w:lineRule="auto"/>
        <w:jc w:val="center"/>
        <w:textAlignment w:val="auto"/>
        <w:rPr>
          <w:rFonts w:hint="eastAsia" w:ascii="方正小标宋简体" w:hAnsi="方正小标宋简体" w:eastAsia="方正小标宋简体" w:cs="方正小标宋简体"/>
          <w:b w:val="0"/>
          <w:bCs w:val="0"/>
          <w:sz w:val="44"/>
          <w:szCs w:val="44"/>
        </w:rPr>
      </w:pPr>
      <w:bookmarkStart w:id="1" w:name="_GoBack"/>
      <w:bookmarkStart w:id="0" w:name="_Toc24724705"/>
      <w:r>
        <w:rPr>
          <w:rFonts w:hint="eastAsia" w:ascii="方正小标宋简体" w:hAnsi="方正小标宋简体" w:eastAsia="方正小标宋简体" w:cs="方正小标宋简体"/>
          <w:b w:val="0"/>
          <w:bCs w:val="0"/>
          <w:sz w:val="44"/>
          <w:szCs w:val="44"/>
          <w:lang w:eastAsia="zh-CN"/>
        </w:rPr>
        <w:t>（二）</w:t>
      </w:r>
      <w:r>
        <w:rPr>
          <w:rFonts w:hint="eastAsia" w:ascii="方正小标宋简体" w:hAnsi="方正小标宋简体" w:eastAsia="方正小标宋简体" w:cs="方正小标宋简体"/>
          <w:b w:val="0"/>
          <w:bCs w:val="0"/>
          <w:sz w:val="44"/>
          <w:szCs w:val="44"/>
        </w:rPr>
        <w:t>公共资源交易领域基层政务公开标准目录</w:t>
      </w:r>
      <w:bookmarkEnd w:id="0"/>
    </w:p>
    <w:bookmarkEnd w:id="1"/>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vMerge w:val="restart"/>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kern w:val="0"/>
                <w:sz w:val="22"/>
                <w:szCs w:val="22"/>
              </w:rPr>
              <w:t>序号</w:t>
            </w:r>
          </w:p>
        </w:tc>
        <w:tc>
          <w:tcPr>
            <w:tcW w:w="1676" w:type="dxa"/>
            <w:gridSpan w:val="2"/>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公开事项</w:t>
            </w:r>
          </w:p>
        </w:tc>
        <w:tc>
          <w:tcPr>
            <w:tcW w:w="3364" w:type="dxa"/>
            <w:vMerge w:val="restart"/>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公开内容（要素）</w:t>
            </w:r>
          </w:p>
        </w:tc>
        <w:tc>
          <w:tcPr>
            <w:tcW w:w="2340" w:type="dxa"/>
            <w:vMerge w:val="restart"/>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公开依据</w:t>
            </w:r>
          </w:p>
        </w:tc>
        <w:tc>
          <w:tcPr>
            <w:tcW w:w="1620" w:type="dxa"/>
            <w:vMerge w:val="restart"/>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w:t>
            </w:r>
          </w:p>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时限</w:t>
            </w:r>
          </w:p>
        </w:tc>
        <w:tc>
          <w:tcPr>
            <w:tcW w:w="956" w:type="dxa"/>
            <w:vMerge w:val="restart"/>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w:t>
            </w:r>
          </w:p>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主体</w:t>
            </w:r>
          </w:p>
        </w:tc>
        <w:tc>
          <w:tcPr>
            <w:tcW w:w="1856" w:type="dxa"/>
            <w:vMerge w:val="restart"/>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公开渠道和载体</w:t>
            </w:r>
          </w:p>
        </w:tc>
        <w:tc>
          <w:tcPr>
            <w:tcW w:w="1620" w:type="dxa"/>
            <w:gridSpan w:val="2"/>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公开对象</w:t>
            </w:r>
          </w:p>
        </w:tc>
        <w:tc>
          <w:tcPr>
            <w:tcW w:w="1688" w:type="dxa"/>
            <w:gridSpan w:val="2"/>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40" w:type="dxa"/>
            <w:vMerge w:val="continue"/>
            <w:noWrap w:val="0"/>
            <w:vAlign w:val="center"/>
          </w:tcPr>
          <w:p>
            <w:pPr>
              <w:widowControl/>
              <w:jc w:val="left"/>
              <w:rPr>
                <w:rFonts w:hint="eastAsia" w:asciiTheme="minorEastAsia" w:hAnsiTheme="minorEastAsia" w:eastAsiaTheme="minorEastAsia" w:cstheme="minorEastAsia"/>
                <w:b/>
                <w:bCs/>
                <w:color w:val="000000"/>
                <w:kern w:val="0"/>
                <w:sz w:val="22"/>
                <w:szCs w:val="22"/>
              </w:rPr>
            </w:pPr>
          </w:p>
        </w:tc>
        <w:tc>
          <w:tcPr>
            <w:tcW w:w="900" w:type="dxa"/>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一级事项</w:t>
            </w:r>
          </w:p>
        </w:tc>
        <w:tc>
          <w:tcPr>
            <w:tcW w:w="776" w:type="dxa"/>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二级事项</w:t>
            </w:r>
          </w:p>
        </w:tc>
        <w:tc>
          <w:tcPr>
            <w:tcW w:w="3364" w:type="dxa"/>
            <w:vMerge w:val="continue"/>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2340" w:type="dxa"/>
            <w:vMerge w:val="continue"/>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1620" w:type="dxa"/>
            <w:vMerge w:val="continue"/>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956" w:type="dxa"/>
            <w:vMerge w:val="continue"/>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1856" w:type="dxa"/>
            <w:vMerge w:val="continue"/>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720" w:type="dxa"/>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全社会</w:t>
            </w:r>
          </w:p>
        </w:tc>
        <w:tc>
          <w:tcPr>
            <w:tcW w:w="900" w:type="dxa"/>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特定</w:t>
            </w:r>
          </w:p>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群众</w:t>
            </w:r>
          </w:p>
        </w:tc>
        <w:tc>
          <w:tcPr>
            <w:tcW w:w="788" w:type="dxa"/>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主动</w:t>
            </w:r>
          </w:p>
        </w:tc>
        <w:tc>
          <w:tcPr>
            <w:tcW w:w="900" w:type="dxa"/>
            <w:noWrap w:val="0"/>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1</w:t>
            </w:r>
          </w:p>
        </w:tc>
        <w:tc>
          <w:tcPr>
            <w:tcW w:w="90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2</w:t>
            </w:r>
          </w:p>
        </w:tc>
        <w:tc>
          <w:tcPr>
            <w:tcW w:w="90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3</w:t>
            </w:r>
          </w:p>
        </w:tc>
        <w:tc>
          <w:tcPr>
            <w:tcW w:w="90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hAnsi="宋体" w:eastAsia="仿宋_GB2312"/>
                <w:sz w:val="18"/>
                <w:szCs w:val="18"/>
                <w:lang w:val="en-US" w:eastAsia="zh-CN"/>
              </w:rPr>
              <w:t>4</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中标结果</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招标项目名称、中标人名称、中标价、工期、项目负责人、中标内容。</w:t>
            </w:r>
          </w:p>
        </w:tc>
        <w:tc>
          <w:tcPr>
            <w:tcW w:w="2340" w:type="dxa"/>
            <w:vMerge w:val="continue"/>
            <w:noWrap w:val="0"/>
            <w:vAlign w:val="center"/>
          </w:tcPr>
          <w:p>
            <w:pPr>
              <w:rPr>
                <w:rFonts w:hint="eastAsia" w:ascii="仿宋_GB2312" w:hAnsi="宋体" w:eastAsia="仿宋_GB2312"/>
                <w:sz w:val="18"/>
                <w:szCs w:val="18"/>
              </w:rPr>
            </w:pP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sz w:val="18"/>
                <w:szCs w:val="18"/>
                <w:lang w:eastAsia="zh-CN"/>
              </w:rPr>
            </w:pPr>
            <w:r>
              <w:rPr>
                <w:rFonts w:hint="eastAsia" w:ascii="仿宋_GB2312" w:eastAsia="仿宋_GB2312"/>
                <w:sz w:val="18"/>
                <w:szCs w:val="18"/>
                <w:lang w:val="en-US" w:eastAsia="zh-CN"/>
              </w:rPr>
              <w:t>5</w:t>
            </w:r>
          </w:p>
        </w:tc>
        <w:tc>
          <w:tcPr>
            <w:tcW w:w="900" w:type="dxa"/>
            <w:vMerge w:val="restart"/>
            <w:noWrap w:val="0"/>
            <w:vAlign w:val="center"/>
          </w:tcPr>
          <w:p>
            <w:pPr>
              <w:jc w:val="center"/>
              <w:rPr>
                <w:rFonts w:hint="eastAsia" w:ascii="仿宋_GB2312" w:hAnsi="宋体"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noWrap w:val="0"/>
            <w:vAlign w:val="center"/>
          </w:tcPr>
          <w:p>
            <w:pPr>
              <w:rPr>
                <w:rFonts w:hint="eastAsia" w:ascii="仿宋_GB2312" w:hAnsi="宋体"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eastAsia="仿宋_GB2312"/>
                <w:sz w:val="18"/>
                <w:szCs w:val="18"/>
              </w:rPr>
              <w:t>合同当事人</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6</w:t>
            </w:r>
          </w:p>
        </w:tc>
        <w:tc>
          <w:tcPr>
            <w:tcW w:w="900" w:type="dxa"/>
            <w:vMerge w:val="continue"/>
            <w:noWrap w:val="0"/>
            <w:vAlign w:val="center"/>
          </w:tcPr>
          <w:p>
            <w:pPr>
              <w:jc w:val="center"/>
              <w:rPr>
                <w:rFonts w:hint="eastAsia" w:ascii="仿宋_GB2312" w:hAnsi="宋体" w:eastAsia="仿宋_GB2312"/>
                <w:sz w:val="18"/>
                <w:szCs w:val="18"/>
              </w:rPr>
            </w:pPr>
          </w:p>
        </w:tc>
        <w:tc>
          <w:tcPr>
            <w:tcW w:w="776" w:type="dxa"/>
            <w:noWrap w:val="0"/>
            <w:vAlign w:val="center"/>
          </w:tcPr>
          <w:p>
            <w:pPr>
              <w:rPr>
                <w:rFonts w:hint="eastAsia" w:ascii="仿宋_GB2312" w:hAnsi="宋体" w:eastAsia="仿宋_GB2312"/>
                <w:sz w:val="18"/>
                <w:szCs w:val="18"/>
              </w:rPr>
            </w:pPr>
            <w:r>
              <w:rPr>
                <w:rFonts w:hint="eastAsia" w:ascii="仿宋_GB2312" w:eastAsia="仿宋_GB2312"/>
                <w:sz w:val="18"/>
                <w:szCs w:val="18"/>
              </w:rPr>
              <w:t>合同履行及变更信息</w:t>
            </w:r>
          </w:p>
        </w:tc>
        <w:tc>
          <w:tcPr>
            <w:tcW w:w="3364" w:type="dxa"/>
            <w:noWrap w:val="0"/>
            <w:vAlign w:val="center"/>
          </w:tcPr>
          <w:p>
            <w:pPr>
              <w:rPr>
                <w:rFonts w:hint="eastAsia" w:ascii="仿宋_GB2312" w:hAnsi="宋体" w:eastAsia="仿宋_GB2312"/>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restart"/>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noWrap w:val="0"/>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sz w:val="18"/>
                <w:szCs w:val="18"/>
              </w:rPr>
              <w:t>√</w:t>
            </w:r>
          </w:p>
        </w:tc>
        <w:tc>
          <w:tcPr>
            <w:tcW w:w="900" w:type="dxa"/>
            <w:noWrap w:val="0"/>
            <w:vAlign w:val="center"/>
          </w:tcPr>
          <w:p>
            <w:pPr>
              <w:jc w:val="center"/>
              <w:rPr>
                <w:rFonts w:ascii="仿宋_GB2312" w:hAnsi="宋体" w:eastAsia="仿宋_GB2312"/>
                <w:sz w:val="18"/>
                <w:szCs w:val="18"/>
              </w:rPr>
            </w:pPr>
            <w:r>
              <w:rPr>
                <w:rFonts w:hint="eastAsia"/>
                <w:sz w:val="18"/>
                <w:szCs w:val="18"/>
              </w:rPr>
              <w:t>　</w:t>
            </w:r>
          </w:p>
        </w:tc>
        <w:tc>
          <w:tcPr>
            <w:tcW w:w="788" w:type="dxa"/>
            <w:noWrap w:val="0"/>
            <w:vAlign w:val="center"/>
          </w:tcPr>
          <w:p>
            <w:pPr>
              <w:jc w:val="center"/>
              <w:rPr>
                <w:rFonts w:ascii="仿宋_GB2312" w:hAnsi="宋体" w:eastAsia="仿宋_GB2312"/>
                <w:sz w:val="18"/>
                <w:szCs w:val="18"/>
              </w:rPr>
            </w:pPr>
            <w:r>
              <w:rPr>
                <w:rFonts w:hint="eastAsia"/>
                <w:sz w:val="18"/>
                <w:szCs w:val="18"/>
              </w:rPr>
              <w:t>√</w:t>
            </w:r>
          </w:p>
        </w:tc>
        <w:tc>
          <w:tcPr>
            <w:tcW w:w="900" w:type="dxa"/>
            <w:noWrap w:val="0"/>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7</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资格预审文件、招标文件澄清或修改</w:t>
            </w:r>
          </w:p>
        </w:tc>
        <w:tc>
          <w:tcPr>
            <w:tcW w:w="3364"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Merge w:val="continue"/>
            <w:noWrap w:val="0"/>
            <w:vAlign w:val="center"/>
          </w:tcPr>
          <w:p>
            <w:pPr>
              <w:rPr>
                <w:rFonts w:hint="eastAsia" w:ascii="仿宋_GB2312" w:eastAsia="仿宋_GB2312"/>
                <w:sz w:val="18"/>
                <w:szCs w:val="18"/>
              </w:rPr>
            </w:pP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noWrap w:val="0"/>
            <w:vAlign w:val="center"/>
          </w:tcPr>
          <w:p>
            <w:pPr>
              <w:rPr>
                <w:rFonts w:ascii="Wingdings 2" w:hAnsi="Wingdings 2" w:cs="宋体"/>
                <w:sz w:val="18"/>
                <w:szCs w:val="18"/>
              </w:rPr>
            </w:pPr>
          </w:p>
        </w:tc>
        <w:tc>
          <w:tcPr>
            <w:tcW w:w="720" w:type="dxa"/>
            <w:noWrap w:val="0"/>
            <w:vAlign w:val="center"/>
          </w:tcPr>
          <w:p>
            <w:pPr>
              <w:jc w:val="center"/>
              <w:rPr>
                <w:rFonts w:ascii="宋体" w:hAnsi="宋体" w:cs="宋体"/>
                <w:sz w:val="18"/>
                <w:szCs w:val="18"/>
              </w:rPr>
            </w:pPr>
            <w:r>
              <w:rPr>
                <w:rFonts w:hint="eastAsia" w:ascii="仿宋_GB2312" w:eastAsia="仿宋_GB2312"/>
                <w:sz w:val="18"/>
                <w:szCs w:val="18"/>
              </w:rPr>
              <w:t>√</w:t>
            </w:r>
          </w:p>
        </w:tc>
        <w:tc>
          <w:tcPr>
            <w:tcW w:w="900" w:type="dxa"/>
            <w:noWrap w:val="0"/>
            <w:vAlign w:val="center"/>
          </w:tcPr>
          <w:p>
            <w:pPr>
              <w:rPr>
                <w:rFonts w:ascii="宋体" w:hAnsi="宋体" w:cs="宋体"/>
                <w:sz w:val="18"/>
                <w:szCs w:val="18"/>
              </w:rPr>
            </w:pPr>
            <w:r>
              <w:rPr>
                <w:rFonts w:hint="eastAsia" w:ascii="仿宋_GB2312" w:eastAsia="仿宋_GB2312"/>
                <w:sz w:val="18"/>
                <w:szCs w:val="18"/>
              </w:rPr>
              <w:t>　</w:t>
            </w:r>
          </w:p>
        </w:tc>
        <w:tc>
          <w:tcPr>
            <w:tcW w:w="788" w:type="dxa"/>
            <w:noWrap w:val="0"/>
            <w:vAlign w:val="center"/>
          </w:tcPr>
          <w:p>
            <w:pPr>
              <w:jc w:val="center"/>
              <w:rPr>
                <w:rFonts w:ascii="宋体" w:hAnsi="宋体" w:cs="宋体"/>
                <w:sz w:val="18"/>
                <w:szCs w:val="18"/>
              </w:rPr>
            </w:pPr>
            <w:r>
              <w:rPr>
                <w:rFonts w:hint="eastAsia" w:ascii="仿宋_GB2312" w:eastAsia="仿宋_GB2312"/>
                <w:sz w:val="18"/>
                <w:szCs w:val="18"/>
              </w:rPr>
              <w:t>√</w:t>
            </w:r>
          </w:p>
        </w:tc>
        <w:tc>
          <w:tcPr>
            <w:tcW w:w="900" w:type="dxa"/>
            <w:noWrap w:val="0"/>
            <w:vAlign w:val="center"/>
          </w:tcPr>
          <w:p>
            <w:pPr>
              <w:rPr>
                <w:rFonts w:ascii="宋体" w:hAnsi="宋体"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8</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900" w:type="dxa"/>
            <w:vMerge w:val="restart"/>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noWrap w:val="0"/>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Merge w:val="continue"/>
            <w:noWrap w:val="0"/>
            <w:vAlign w:val="center"/>
          </w:tcPr>
          <w:p>
            <w:pPr>
              <w:spacing w:line="240" w:lineRule="exact"/>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12</w:t>
            </w:r>
          </w:p>
          <w:p>
            <w:pPr>
              <w:jc w:val="center"/>
              <w:rPr>
                <w:rFonts w:hint="eastAsia" w:ascii="仿宋_GB2312" w:eastAsia="仿宋_GB2312"/>
                <w:sz w:val="18"/>
                <w:szCs w:val="18"/>
              </w:rPr>
            </w:pP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13</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14</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90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政府采购信息</w:t>
            </w:r>
          </w:p>
        </w:tc>
        <w:tc>
          <w:tcPr>
            <w:tcW w:w="77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政府采购意向公开</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《财政部关于促进政府采购公开竞争优化营商环境的通知》、《财政部关于开展政府采购意向公开工作的通知》、《广东省财政斤关于开展政府采购意向公开工作的通知》</w:t>
            </w:r>
          </w:p>
        </w:tc>
        <w:tc>
          <w:tcPr>
            <w:tcW w:w="1620" w:type="dxa"/>
            <w:noWrap w:val="0"/>
            <w:vAlign w:val="center"/>
          </w:tcPr>
          <w:p>
            <w:pPr>
              <w:rPr>
                <w:rFonts w:hint="default" w:ascii="仿宋_GB2312" w:eastAsia="仿宋_GB2312"/>
                <w:sz w:val="18"/>
                <w:szCs w:val="18"/>
                <w:lang w:val="en-US" w:eastAsia="zh-CN"/>
              </w:rPr>
            </w:pPr>
            <w:r>
              <w:rPr>
                <w:rFonts w:hint="eastAsia" w:ascii="仿宋_GB2312" w:eastAsia="仿宋_GB2312"/>
                <w:sz w:val="18"/>
                <w:szCs w:val="18"/>
                <w:lang w:eastAsia="zh-CN"/>
              </w:rPr>
              <w:t>原则上不得晚于采购活动开始前</w:t>
            </w:r>
            <w:r>
              <w:rPr>
                <w:rFonts w:hint="eastAsia" w:ascii="仿宋_GB2312" w:eastAsia="仿宋_GB2312"/>
                <w:sz w:val="18"/>
                <w:szCs w:val="18"/>
                <w:lang w:val="en-US" w:eastAsia="zh-CN"/>
              </w:rPr>
              <w:t>30日</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采购人</w:t>
            </w:r>
          </w:p>
        </w:tc>
        <w:tc>
          <w:tcPr>
            <w:tcW w:w="1856" w:type="dxa"/>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省级(含计划单列市)财政部门指定的媟体(广东省政府采购网)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集中采购机构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spacing w:line="240" w:lineRule="exact"/>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spacing w:line="240" w:lineRule="exact"/>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23</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24</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r>
              <w:rPr>
                <w:rFonts w:ascii="仿宋_GB2312" w:hAnsi="宋体" w:eastAsia="仿宋_GB2312"/>
                <w:sz w:val="18"/>
                <w:szCs w:val="18"/>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《国务院办公厅关于推进公共资源配置领域政府信息公开的意见》、《财政部关于做好政府采购信息公开工作的通知》、《广东省财政厅关于做好我省政府采购信息公开工作的通知》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sz w:val="18"/>
                <w:szCs w:val="18"/>
              </w:rPr>
              <w:t>市财政局</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26</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土地出让计划</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《国务院办公厅关于推进公共资源配置领域政府信息公开的意见》、《招标拍卖挂牌出让国有建设用地使用权规定》、《国有建设用地供应计划编制规范》（试行）</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每年3月31日前，公布年度国有建设用地供应计划</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900" w:type="dxa"/>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至少在投标、拍卖或者挂牌开始日前20日。挂牌时间不得少于10日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28</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公告调整</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中国土地市场网或者土地有形市场等指定场所</w:t>
            </w:r>
            <w:r>
              <w:rPr>
                <w:rFonts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29</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招标拍卖挂牌活动结束后的10个工作日内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供应结果</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公告调整</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中国土地市场网或者土地有形市场等指定场所</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招标拍卖挂牌活动结束后的10个工作日内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33</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供应结果</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34</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《国务院办公厅关于推进公共资源配置领域政府信息公开的意见》、国土资源部关于印发矿业权交易规则》的通知、《自然资源部关于调整&lt;矿业权交易规则&gt;有关规定的通知》</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在投标截止日、公开拍卖日或者挂牌起始日20个工作日前发布。挂牌时间不得少于10个工作日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eastAsia="仿宋_GB2312"/>
                <w:color w:val="000000"/>
                <w:sz w:val="18"/>
                <w:szCs w:val="18"/>
                <w:highlight w:val="none"/>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r>
              <w:rPr>
                <w:rFonts w:hint="eastAsia" w:ascii="仿宋_GB2312" w:eastAsia="仿宋_GB2312"/>
                <w:color w:val="000000"/>
                <w:sz w:val="18"/>
                <w:szCs w:val="18"/>
                <w:highlight w:val="none"/>
              </w:rPr>
              <w:br w:type="textWrapping"/>
            </w:r>
            <w:r>
              <w:rPr>
                <w:rFonts w:hint="eastAsia" w:ascii="仿宋_GB2312" w:eastAsia="仿宋_GB2312"/>
                <w:color w:val="000000"/>
                <w:sz w:val="18"/>
                <w:szCs w:val="18"/>
                <w:highlight w:val="none"/>
              </w:rPr>
              <w:t>在下列平台同时发布：</w:t>
            </w:r>
          </w:p>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自然资源部门户网站</w:t>
            </w:r>
            <w:r>
              <w:rPr>
                <w:rFonts w:hint="eastAsia"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同级自然资源主管部门门户网站</w:t>
            </w:r>
            <w:r>
              <w:rPr>
                <w:rFonts w:hint="eastAsia"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35</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招标拍卖挂牌成交结果公示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《国务院办公厅关于推进公共资源配置领域政府信息公开的意见》、国土资源部关于印发矿业权交易规则》的通知</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发出中标通知书或者签订成交确认书后5个工作日内进行信息公示。公示期不少于10个工作日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w:t>
            </w:r>
            <w:r>
              <w:rPr>
                <w:rFonts w:hint="eastAsia" w:ascii="仿宋_GB2312" w:eastAsia="仿宋_GB2312"/>
                <w:color w:val="000000"/>
                <w:sz w:val="18"/>
                <w:szCs w:val="18"/>
                <w:highlight w:val="none"/>
                <w:shd w:val="clear" w:color="auto" w:fill="auto"/>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r>
              <w:rPr>
                <w:rFonts w:ascii="仿宋_GB2312" w:eastAsia="仿宋_GB2312"/>
                <w:color w:val="000000"/>
                <w:sz w:val="18"/>
                <w:szCs w:val="18"/>
                <w:highlight w:val="none"/>
              </w:rPr>
              <w:br w:type="textWrapping"/>
            </w:r>
            <w:r>
              <w:rPr>
                <w:rFonts w:hint="eastAsia" w:ascii="仿宋_GB2312" w:eastAsia="仿宋_GB2312"/>
                <w:color w:val="000000"/>
                <w:sz w:val="18"/>
                <w:szCs w:val="18"/>
                <w:highlight w:val="none"/>
              </w:rPr>
              <w:t>在下列平台同时发布：</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自然资源部门户网站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同级自然资源主管部门门户网站</w:t>
            </w:r>
            <w:r>
              <w:rPr>
                <w:rFonts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36</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矿业权出让信息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审批结果信息</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每个项目的审批结果信息（交易完成后由各级自然资源管理部门审批）。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信息形成之日起20个工作日内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37</w:t>
            </w:r>
          </w:p>
        </w:tc>
        <w:tc>
          <w:tcPr>
            <w:tcW w:w="900" w:type="dxa"/>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项目信息</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公告有效期内矿业权基本信息包括矿业权名称、许可证号、矿业权人、矿种、有效期限。</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每年一季度集中公告</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38</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国有企业产权转让信息预披露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及时公开，正式披露信息时间不得少于20个工作日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39</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及时公开，正式披露信息时间不得少于20个工作日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交易标的名称、转让标的评估结果、转让底价、交易价格。</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及时公开，公告期不少于5个工作日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国有企业资产转让信息披露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标的基本情况、交易条件、转让底价、竞价方式、受让方选择的相关评判标准等。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转让底价高于100万元、低于1000万元的资产转让项目，信息公告期应不少于10个工作日；转让底价高于1000万元的资产转让项目，信息公告期应不少于20个工作日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国有企业资产转让成交公告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交易标的名称、评估价格、转让底价、交易价格等。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不少于5个工作日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lang w:eastAsia="zh-CN"/>
              </w:rPr>
              <w:t>雷州</w:t>
            </w:r>
            <w:r>
              <w:rPr>
                <w:rFonts w:hint="eastAsia" w:ascii="仿宋_GB2312" w:eastAsia="仿宋_GB2312"/>
                <w:color w:val="000000"/>
                <w:sz w:val="18"/>
                <w:szCs w:val="18"/>
                <w:highlight w:val="none"/>
                <w:lang w:eastAsia="zh-CN"/>
              </w:rPr>
              <w:t>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bl>
    <w:p>
      <w:pPr>
        <w:rPr>
          <w:rFonts w:ascii="仿宋_GB2312"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3289"/>
    <w:rsid w:val="013924F9"/>
    <w:rsid w:val="08A106F6"/>
    <w:rsid w:val="463D147A"/>
    <w:rsid w:val="5E7C3289"/>
    <w:rsid w:val="658E1326"/>
    <w:rsid w:val="6D0045AB"/>
    <w:rsid w:val="70192E7C"/>
    <w:rsid w:val="73D2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2020-08-20T07:33:00Z</dcterms:created>
  <dc:creator>春节快乐</dc:creator>
  <cp:lastModifiedBy>何家小儿2015</cp:lastModifiedBy>
  <dcterms:modified xsi:type="dcterms:W3CDTF">2020-11-30T07:52:54Z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