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535" w:type="dxa"/>
        <w:tblInd w:w="0" w:type="dxa"/>
        <w:tblLayout w:type="fixed"/>
        <w:tblCellMar>
          <w:top w:w="15" w:type="dxa"/>
          <w:left w:w="15" w:type="dxa"/>
          <w:bottom w:w="15" w:type="dxa"/>
          <w:right w:w="15" w:type="dxa"/>
        </w:tblCellMar>
      </w:tblPr>
      <w:tblGrid>
        <w:gridCol w:w="441"/>
        <w:gridCol w:w="1075"/>
        <w:gridCol w:w="1193"/>
        <w:gridCol w:w="1701"/>
        <w:gridCol w:w="1079"/>
        <w:gridCol w:w="832"/>
        <w:gridCol w:w="924"/>
        <w:gridCol w:w="2693"/>
        <w:gridCol w:w="567"/>
        <w:gridCol w:w="709"/>
        <w:gridCol w:w="567"/>
        <w:gridCol w:w="708"/>
        <w:gridCol w:w="567"/>
        <w:gridCol w:w="166"/>
        <w:gridCol w:w="313"/>
      </w:tblGrid>
      <w:tr>
        <w:tblPrEx>
          <w:tblCellMar>
            <w:top w:w="15" w:type="dxa"/>
            <w:left w:w="15" w:type="dxa"/>
            <w:bottom w:w="15" w:type="dxa"/>
            <w:right w:w="15" w:type="dxa"/>
          </w:tblCellMar>
        </w:tblPrEx>
        <w:trPr>
          <w:trHeight w:val="1035" w:hRule="atLeast"/>
        </w:trPr>
        <w:tc>
          <w:tcPr>
            <w:tcW w:w="13222" w:type="dxa"/>
            <w:gridSpan w:val="14"/>
            <w:vAlign w:val="center"/>
          </w:tcPr>
          <w:p>
            <w:pPr>
              <w:keepNext w:val="0"/>
              <w:keepLines w:val="0"/>
              <w:pageBreakBefore w:val="0"/>
              <w:widowControl w:val="0"/>
              <w:kinsoku/>
              <w:wordWrap/>
              <w:overflowPunct/>
              <w:topLinePunct w:val="0"/>
              <w:autoSpaceDE/>
              <w:autoSpaceDN/>
              <w:bidi w:val="0"/>
              <w:adjustRightInd w:val="0"/>
              <w:snapToGrid/>
              <w:spacing w:before="316" w:beforeLines="100" w:after="316" w:afterLines="100" w:line="360" w:lineRule="auto"/>
              <w:jc w:val="center"/>
              <w:textAlignment w:val="auto"/>
              <w:rPr>
                <w:rFonts w:ascii="宋体" w:hAnsi="宋体" w:cs="宋体"/>
                <w:b/>
                <w:color w:val="000000"/>
                <w:sz w:val="40"/>
                <w:szCs w:val="40"/>
              </w:rPr>
            </w:pPr>
            <w:r>
              <w:rPr>
                <w:rFonts w:hint="eastAsia" w:ascii="方正小标宋简体" w:hAnsi="方正小标宋简体" w:eastAsia="方正小标宋简体" w:cs="方正小标宋简体"/>
                <w:b/>
                <w:sz w:val="44"/>
                <w:szCs w:val="44"/>
                <w:lang w:eastAsia="zh-CN"/>
              </w:rPr>
              <w:t>（七</w:t>
            </w:r>
            <w:bookmarkStart w:id="0" w:name="_GoBack"/>
            <w:bookmarkEnd w:id="0"/>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rPr>
              <w:t>公共法律服务领域基层政务公开标准目录</w:t>
            </w:r>
          </w:p>
        </w:tc>
        <w:tc>
          <w:tcPr>
            <w:tcW w:w="313"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trHeight w:val="515"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lang w:bidi="ar"/>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lang w:bidi="ar"/>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lang w:bidi="ar"/>
              </w:rPr>
              <w:t>公开内容（要素）</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lang w:bidi="ar"/>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lang w:bidi="ar"/>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lang w:bidi="ar"/>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lang w:bidi="ar"/>
              </w:rPr>
              <w:t>公开渠道和载体</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lang w:bidi="ar"/>
              </w:rPr>
              <w:t>公开对象</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lang w:bidi="ar"/>
              </w:rPr>
              <w:t>公开方式</w:t>
            </w:r>
          </w:p>
        </w:tc>
        <w:tc>
          <w:tcPr>
            <w:tcW w:w="10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kern w:val="0"/>
                <w:sz w:val="22"/>
                <w:szCs w:val="22"/>
                <w:lang w:bidi="ar"/>
              </w:rPr>
            </w:pPr>
            <w:r>
              <w:rPr>
                <w:rFonts w:hint="eastAsia" w:asciiTheme="minorEastAsia" w:hAnsiTheme="minorEastAsia" w:eastAsiaTheme="minorEastAsia" w:cstheme="minorEastAsia"/>
                <w:b/>
                <w:bCs/>
                <w:color w:val="000000"/>
                <w:kern w:val="0"/>
                <w:sz w:val="22"/>
                <w:szCs w:val="22"/>
                <w:lang w:bidi="ar"/>
              </w:rPr>
              <w:t>公开层级</w:t>
            </w:r>
          </w:p>
        </w:tc>
      </w:tr>
      <w:tr>
        <w:tblPrEx>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22"/>
                <w:szCs w:val="22"/>
              </w:rPr>
            </w:pPr>
          </w:p>
        </w:tc>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lang w:bidi="ar"/>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lang w:bidi="ar"/>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22"/>
                <w:szCs w:val="22"/>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22"/>
                <w:szCs w:val="22"/>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22"/>
                <w:szCs w:val="22"/>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22"/>
                <w:szCs w:val="22"/>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lang w:bidi="ar"/>
              </w:rPr>
              <w:t>全社会</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kern w:val="0"/>
                <w:sz w:val="22"/>
                <w:szCs w:val="22"/>
                <w:lang w:bidi="ar"/>
              </w:rPr>
            </w:pPr>
            <w:r>
              <w:rPr>
                <w:rFonts w:hint="eastAsia" w:asciiTheme="minorEastAsia" w:hAnsiTheme="minorEastAsia" w:eastAsiaTheme="minorEastAsia" w:cstheme="minorEastAsia"/>
                <w:b/>
                <w:bCs/>
                <w:color w:val="000000"/>
                <w:kern w:val="0"/>
                <w:sz w:val="22"/>
                <w:szCs w:val="22"/>
                <w:lang w:bidi="ar"/>
              </w:rPr>
              <w:t>特定</w:t>
            </w:r>
          </w:p>
          <w:p>
            <w:pPr>
              <w:widowControl/>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lang w:bidi="ar"/>
              </w:rPr>
              <w:t>群体</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lang w:bidi="ar"/>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lang w:bidi="ar"/>
              </w:rPr>
              <w:t>依申请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lang w:bidi="ar"/>
              </w:rPr>
              <w:t>县级</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kern w:val="0"/>
                <w:sz w:val="22"/>
                <w:szCs w:val="22"/>
                <w:lang w:bidi="ar"/>
              </w:rPr>
            </w:pPr>
            <w:r>
              <w:rPr>
                <w:rFonts w:hint="eastAsia" w:asciiTheme="minorEastAsia" w:hAnsiTheme="minorEastAsia" w:eastAsiaTheme="minorEastAsia" w:cstheme="minorEastAsia"/>
                <w:b/>
                <w:bCs/>
                <w:color w:val="000000"/>
                <w:kern w:val="0"/>
                <w:sz w:val="22"/>
                <w:szCs w:val="22"/>
                <w:lang w:bidi="ar"/>
              </w:rPr>
              <w:t>乡级</w:t>
            </w:r>
          </w:p>
        </w:tc>
      </w:tr>
      <w:tr>
        <w:tblPrEx>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法治宣传</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教育</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法律知识普及服务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法律法规资讯；</w:t>
            </w:r>
          </w:p>
          <w:p>
            <w:pPr>
              <w:widowControl/>
              <w:numPr>
                <w:ilvl w:val="0"/>
                <w:numId w:val="1"/>
              </w:numP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普法动态资讯；</w:t>
            </w:r>
          </w:p>
          <w:p>
            <w:pPr>
              <w:widowControl/>
              <w:numPr>
                <w:ilvl w:val="0"/>
                <w:numId w:val="1"/>
              </w:numP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普法讲师团信息等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《中共中央、国务院转发&lt;中央宣传部、司法部关于在公民中开展法治宣传教育的第七个五年规划（2016－2020年）&gt;》《广东省“七五”普法规划》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■广播电视    ■纸质媒体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便民服务站  ■入户/现场     ■社区/企事业单位/村公示栏（电子屏）</w:t>
            </w:r>
          </w:p>
          <w:p>
            <w:pPr>
              <w:widowControl/>
              <w:jc w:val="left"/>
              <w:textAlignment w:val="center"/>
              <w:rPr>
                <w:rFonts w:ascii="仿宋" w:hAnsi="仿宋" w:eastAsia="仿宋" w:cs="仿宋"/>
                <w:color w:val="000000"/>
                <w:sz w:val="18"/>
                <w:szCs w:val="18"/>
                <w:u w:val="single"/>
                <w:lang w:bidi="ar"/>
              </w:rPr>
            </w:pP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楷体" w:hAnsi="楷体" w:eastAsia="楷体" w:cs="宋体"/>
                <w:color w:val="000000"/>
                <w:sz w:val="18"/>
                <w:szCs w:val="18"/>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075" w:type="dxa"/>
            <w:tcBorders>
              <w:top w:val="single" w:color="auto" w:sz="4" w:space="0"/>
              <w:left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推广法治文化服务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1.辖区内法治文化阵地信息；</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2.法治文化作品、产品</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《中共中央、国务院转发&lt;中央宣传部、司法部关于在公民中开展法治宣传教育的第七个五年规划（2016－2020年）&gt;》《广东省“七五”普法规划》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楷体" w:hAnsi="楷体" w:eastAsia="楷体"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1075" w:type="dxa"/>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对在法治宣传教育工作中做出显著成绩的单位和个人进行表彰奖励</w:t>
            </w:r>
          </w:p>
        </w:tc>
        <w:tc>
          <w:tcPr>
            <w:tcW w:w="1701"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《中共中央、国务院转发&lt;中央宣传部、司法部关于在公民中开展法治宣传教育的第七个五年规划（2016－2020年）&gt;》《</w:t>
            </w:r>
            <w:r>
              <w:rPr>
                <w:rFonts w:hint="eastAsia" w:ascii="宋体" w:hAnsi="宋体" w:cs="宋体"/>
                <w:color w:val="000000"/>
                <w:kern w:val="0"/>
                <w:sz w:val="18"/>
                <w:szCs w:val="18"/>
                <w:lang w:bidi="ar"/>
              </w:rPr>
              <w:t>广东</w:t>
            </w:r>
            <w:r>
              <w:rPr>
                <w:rFonts w:hint="eastAsia" w:ascii="宋体" w:hAnsi="宋体" w:cs="宋体"/>
                <w:color w:val="000000"/>
                <w:sz w:val="18"/>
                <w:szCs w:val="18"/>
              </w:rPr>
              <w:t>省“七五”普法规划》</w:t>
            </w:r>
          </w:p>
        </w:tc>
        <w:tc>
          <w:tcPr>
            <w:tcW w:w="8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市司法局</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律师</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对没有取得律师执业证书以律师名义从事法律业务行为的处罚</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《中华人民共和国律师法》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市司法局</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楷体" w:hAnsi="楷体" w:eastAsia="楷体"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3465"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公证</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公证员一般任职执业审核、考核任职执业审核</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审查（考核）意见</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《中华人民共和国公证法》《公证员执业管理办法》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lang w:bidi="ar"/>
              </w:rPr>
            </w:pPr>
            <w:r>
              <w:rPr>
                <w:rFonts w:ascii="宋体" w:hAnsi="宋体" w:cs="宋体"/>
                <w:color w:val="000000"/>
                <w:sz w:val="18"/>
                <w:szCs w:val="18"/>
              </w:rPr>
              <w:t>市司法局</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lang w:bidi="ar"/>
              </w:rPr>
            </w:pP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申请人</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法律援助服务</w:t>
            </w:r>
          </w:p>
        </w:tc>
        <w:tc>
          <w:tcPr>
            <w:tcW w:w="1701"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1.给予法律援助决定书；</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2.不予法律援助决定书；</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3.指派通知书</w:t>
            </w:r>
          </w:p>
        </w:tc>
        <w:tc>
          <w:tcPr>
            <w:tcW w:w="107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w:t>
            </w:r>
            <w:r>
              <w:rPr>
                <w:rFonts w:hint="eastAsia" w:ascii="宋体" w:hAnsi="宋体" w:cs="宋体"/>
                <w:color w:val="000000"/>
                <w:kern w:val="0"/>
                <w:sz w:val="18"/>
                <w:szCs w:val="18"/>
                <w:lang w:bidi="ar"/>
              </w:rPr>
              <w:t>广东</w:t>
            </w:r>
            <w:r>
              <w:rPr>
                <w:rFonts w:hint="eastAsia" w:ascii="宋体" w:hAnsi="宋体" w:cs="宋体"/>
                <w:color w:val="000000"/>
                <w:sz w:val="18"/>
                <w:szCs w:val="18"/>
              </w:rPr>
              <w:t>省法律援助条例》</w:t>
            </w:r>
          </w:p>
        </w:tc>
        <w:tc>
          <w:tcPr>
            <w:tcW w:w="832"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自制作或获取该信息之日起20个工作日内公开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市法律援助处</w:t>
            </w:r>
          </w:p>
        </w:tc>
        <w:tc>
          <w:tcPr>
            <w:tcW w:w="269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法律援助申请人、受指派的律师事务所或其他组织等</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法律援助办案人员办案补贴的审核发放</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案件补贴审核发放表</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w:t>
            </w:r>
            <w:r>
              <w:rPr>
                <w:rFonts w:hint="eastAsia" w:ascii="宋体" w:hAnsi="宋体" w:cs="宋体"/>
                <w:color w:val="000000"/>
                <w:kern w:val="0"/>
                <w:sz w:val="18"/>
                <w:szCs w:val="18"/>
                <w:lang w:bidi="ar"/>
              </w:rPr>
              <w:t>广东</w:t>
            </w:r>
            <w:r>
              <w:rPr>
                <w:rFonts w:hint="eastAsia" w:ascii="宋体" w:hAnsi="宋体" w:cs="宋体"/>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市法律援助处</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对法律援助机构不予援助决定异议的审查</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处理决定书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w:t>
            </w:r>
            <w:r>
              <w:rPr>
                <w:rFonts w:hint="eastAsia" w:ascii="宋体" w:hAnsi="宋体" w:cs="宋体"/>
                <w:color w:val="000000"/>
                <w:kern w:val="0"/>
                <w:sz w:val="18"/>
                <w:szCs w:val="18"/>
                <w:lang w:bidi="ar"/>
              </w:rPr>
              <w:t>广东</w:t>
            </w:r>
            <w:r>
              <w:rPr>
                <w:rFonts w:hint="eastAsia" w:ascii="宋体" w:hAnsi="宋体" w:cs="宋体"/>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ascii="宋体" w:hAnsi="宋体" w:cs="宋体"/>
                <w:color w:val="000000"/>
                <w:kern w:val="0"/>
                <w:sz w:val="18"/>
                <w:szCs w:val="18"/>
                <w:lang w:bidi="ar"/>
              </w:rPr>
              <w:t>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对在法律援助工作中作出突出贡献的组织和个人进行表彰奖励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w:t>
            </w:r>
            <w:r>
              <w:rPr>
                <w:rFonts w:hint="eastAsia" w:ascii="宋体" w:hAnsi="宋体" w:cs="宋体"/>
                <w:color w:val="000000"/>
                <w:kern w:val="0"/>
                <w:sz w:val="18"/>
                <w:szCs w:val="18"/>
                <w:lang w:bidi="ar"/>
              </w:rPr>
              <w:t>广东</w:t>
            </w:r>
            <w:r>
              <w:rPr>
                <w:rFonts w:hint="eastAsia" w:ascii="宋体" w:hAnsi="宋体" w:cs="宋体"/>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ascii="宋体" w:hAnsi="宋体" w:cs="宋体"/>
                <w:color w:val="000000"/>
                <w:sz w:val="18"/>
                <w:szCs w:val="18"/>
              </w:rPr>
              <w:t>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w:t>
            </w:r>
            <w:r>
              <w:rPr>
                <w:rFonts w:hint="eastAsia" w:ascii="宋体" w:hAnsi="宋体" w:cs="宋体"/>
                <w:color w:val="000000"/>
                <w:kern w:val="0"/>
                <w:sz w:val="18"/>
                <w:szCs w:val="18"/>
                <w:lang w:bidi="ar"/>
              </w:rPr>
              <w:t>广东</w:t>
            </w:r>
            <w:r>
              <w:rPr>
                <w:rFonts w:hint="eastAsia" w:ascii="宋体" w:hAnsi="宋体" w:cs="宋体"/>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ascii="宋体" w:hAnsi="宋体" w:cs="宋体"/>
                <w:color w:val="000000"/>
                <w:sz w:val="18"/>
                <w:szCs w:val="18"/>
              </w:rPr>
              <w:t>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基层法律服务工作者执业核准许可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不予受理通知书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ascii="宋体" w:hAnsi="宋体" w:cs="宋体"/>
                <w:color w:val="000000"/>
                <w:sz w:val="18"/>
                <w:szCs w:val="18"/>
              </w:rPr>
              <w:t>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对基层法律服务所、基层法律服务工作者违法违规行为的处罚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ascii="宋体" w:hAnsi="宋体" w:cs="宋体"/>
                <w:color w:val="000000"/>
                <w:sz w:val="18"/>
                <w:szCs w:val="18"/>
              </w:rPr>
              <w:t>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ascii="宋体" w:hAnsi="宋体" w:cs="宋体"/>
                <w:color w:val="000000"/>
                <w:sz w:val="18"/>
                <w:szCs w:val="18"/>
              </w:rPr>
              <w:t>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对有突出贡献的人民调解委员会和人民调解员按照国家规定给予表彰奖励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《中华人民共和国人民调解法》《</w:t>
            </w:r>
            <w:r>
              <w:rPr>
                <w:rFonts w:hint="eastAsia" w:ascii="宋体" w:hAnsi="宋体" w:cs="宋体"/>
                <w:color w:val="000000"/>
                <w:kern w:val="0"/>
                <w:sz w:val="18"/>
                <w:szCs w:val="18"/>
                <w:lang w:bidi="ar"/>
              </w:rPr>
              <w:t>广东</w:t>
            </w:r>
            <w:r>
              <w:rPr>
                <w:rFonts w:hint="eastAsia" w:ascii="宋体" w:hAnsi="宋体" w:cs="宋体"/>
                <w:color w:val="000000"/>
                <w:sz w:val="18"/>
                <w:szCs w:val="18"/>
              </w:rPr>
              <w:t>省人民调解条例》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ascii="宋体" w:hAnsi="宋体" w:cs="宋体"/>
                <w:color w:val="000000"/>
                <w:sz w:val="18"/>
                <w:szCs w:val="18"/>
              </w:rPr>
              <w:t>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法律查询</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法律法规和案例检索服务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1.法律法规库网址或链接；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2.典型案例库网址或链接</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《中共中央、国务院转发&lt;中央宣传部、司法部关于在公民中开展法治宣传教育的第七个五年规划（2016－2020年）&gt;》《广东省“七五”普法规划》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法律服务机构、人员信息查询服务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辖区内的律师、公证、基层法律服务、司法鉴定、仲裁、人民调解等法律服务机构和人员有关基本信息、从业信息和信用信息等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ascii="宋体" w:hAnsi="宋体" w:cs="宋体"/>
                <w:color w:val="000000"/>
                <w:sz w:val="18"/>
                <w:szCs w:val="18"/>
              </w:rPr>
              <w:t>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hint="eastAsia" w:ascii="仿宋" w:hAnsi="仿宋" w:eastAsia="仿宋" w:cs="仿宋"/>
                <w:color w:val="000000"/>
                <w:sz w:val="18"/>
                <w:szCs w:val="18"/>
                <w:lang w:bidi="ar"/>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法律咨询</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公共法律服务实体平台、热线平台、网络平台咨询服务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公共法律服务实体、热线、网络平台法律咨询服务指南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ascii="宋体" w:hAnsi="宋体" w:cs="宋体"/>
                <w:color w:val="000000"/>
                <w:sz w:val="18"/>
                <w:szCs w:val="18"/>
              </w:rPr>
              <w:t>市司法局</w:t>
            </w:r>
            <w:r>
              <w:rPr>
                <w:rFonts w:hint="eastAsia" w:ascii="宋体" w:hAnsi="宋体" w:cs="宋体"/>
                <w:color w:val="000000"/>
                <w:kern w:val="0"/>
                <w:sz w:val="18"/>
                <w:szCs w:val="18"/>
                <w:lang w:bidi="ar"/>
              </w:rPr>
              <w:t>、公共法律服务中心、公共法律服务工作站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hint="eastAsia" w:ascii="仿宋" w:hAnsi="仿宋" w:eastAsia="仿宋" w:cs="仿宋"/>
                <w:color w:val="000000"/>
                <w:sz w:val="18"/>
                <w:szCs w:val="18"/>
                <w:lang w:bidi="ar"/>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公共法律服务实体、热线、网络平台信息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1.公共法律服务平台建设相关规划；</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2.公共法律服务中心、工作站具体地址；</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3.12348公共法律服务热线号码；</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4.中国法律服务网和各省级法律服务网网址；</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5</w:t>
            </w:r>
            <w:r>
              <w:rPr>
                <w:rFonts w:ascii="宋体" w:hAnsi="宋体" w:cs="宋体"/>
                <w:color w:val="000000"/>
                <w:sz w:val="18"/>
                <w:szCs w:val="18"/>
              </w:rPr>
              <w:t>.</w:t>
            </w:r>
            <w:r>
              <w:rPr>
                <w:rFonts w:hint="eastAsia" w:ascii="宋体" w:hAnsi="宋体" w:cs="宋体"/>
                <w:color w:val="000000"/>
                <w:sz w:val="18"/>
                <w:szCs w:val="18"/>
              </w:rPr>
              <w:t>三大平台提供的公共法律服务事项清单及服务指南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ascii="宋体" w:hAnsi="宋体" w:cs="宋体"/>
                <w:color w:val="000000"/>
                <w:sz w:val="18"/>
                <w:szCs w:val="18"/>
              </w:rPr>
              <w:t>市司法局</w:t>
            </w:r>
            <w:r>
              <w:rPr>
                <w:rFonts w:hint="eastAsia" w:ascii="宋体" w:hAnsi="宋体" w:cs="宋体"/>
                <w:color w:val="000000"/>
                <w:kern w:val="0"/>
                <w:sz w:val="18"/>
                <w:szCs w:val="18"/>
                <w:lang w:bidi="ar"/>
              </w:rPr>
              <w:t>、公共法律服务中心、公共法律服务工作站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hint="eastAsia" w:ascii="仿宋" w:hAnsi="仿宋" w:eastAsia="仿宋" w:cs="仿宋"/>
                <w:color w:val="000000"/>
                <w:sz w:val="18"/>
                <w:szCs w:val="18"/>
                <w:lang w:bidi="ar"/>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r>
    </w:tbl>
    <w:p>
      <w:pPr>
        <w:rPr>
          <w:b/>
          <w:sz w:val="18"/>
          <w:szCs w:val="18"/>
        </w:rPr>
      </w:pPr>
    </w:p>
    <w:p>
      <w:pPr>
        <w:rPr>
          <w:b/>
          <w:sz w:val="18"/>
          <w:szCs w:val="18"/>
        </w:rPr>
      </w:pPr>
      <w:r>
        <w:rPr>
          <w:rFonts w:hint="eastAsia"/>
          <w:b/>
          <w:sz w:val="18"/>
          <w:szCs w:val="18"/>
        </w:rPr>
        <w:t>注：公开标准目录中所选公开渠道和载体仅供参考，各地在制定本地公开标准时可根据实际情况进行调整，确保取得公开实效。</w:t>
      </w:r>
    </w:p>
    <w:p/>
    <w:p/>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9</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26FAB"/>
    <w:rsid w:val="005D0223"/>
    <w:rsid w:val="00A15E0A"/>
    <w:rsid w:val="00F75815"/>
    <w:rsid w:val="458E7A14"/>
    <w:rsid w:val="4BD72EDE"/>
    <w:rsid w:val="54CD3E9B"/>
    <w:rsid w:val="5AD60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unhideWhenUsed/>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830</Words>
  <Characters>4735</Characters>
  <Lines>39</Lines>
  <Paragraphs>11</Paragraphs>
  <TotalTime>13</TotalTime>
  <ScaleCrop>false</ScaleCrop>
  <LinksUpToDate>false</LinksUpToDate>
  <CharactersWithSpaces>5554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dcterms:modified xsi:type="dcterms:W3CDTF">2020-12-02T08:41:42Z</dcterms:modified>
  <dc:title>司法部办公厅关于印发公共法律服务领域</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