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b w:val="0"/>
          <w:sz w:val="44"/>
          <w:szCs w:val="44"/>
          <w:lang w:eastAsia="zh-CN"/>
        </w:rPr>
      </w:pPr>
      <w:bookmarkStart w:id="1" w:name="_GoBack"/>
      <w:bookmarkStart w:id="0" w:name="_Toc24724713"/>
      <w:r>
        <w:rPr>
          <w:rFonts w:hint="eastAsia" w:ascii="方正小标宋简体" w:hAnsi="方正小标宋简体" w:eastAsia="方正小标宋简体" w:cs="方正小标宋简体"/>
          <w:b w:val="0"/>
          <w:sz w:val="44"/>
          <w:szCs w:val="44"/>
          <w:lang w:eastAsia="zh-CN"/>
        </w:rPr>
        <w:t>（十）</w:t>
      </w:r>
      <w:r>
        <w:rPr>
          <w:rFonts w:hint="eastAsia" w:ascii="方正小标宋简体" w:hAnsi="方正小标宋简体" w:eastAsia="方正小标宋简体" w:cs="方正小标宋简体"/>
          <w:b w:val="0"/>
          <w:sz w:val="44"/>
          <w:szCs w:val="44"/>
        </w:rPr>
        <w:t>社会保险领域基层政务公开标准目录</w:t>
      </w:r>
      <w:bookmarkEnd w:id="0"/>
    </w:p>
    <w:bookmarkEnd w:id="1"/>
    <w:tbl>
      <w:tblPr>
        <w:tblStyle w:val="3"/>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noWrap w:val="0"/>
            <w:vAlign w:val="center"/>
          </w:tcPr>
          <w:p>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noWrap w:val="0"/>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noWrap w:val="0"/>
            <w:vAlign w:val="center"/>
          </w:tcPr>
          <w:p>
            <w:pPr>
              <w:widowControl/>
              <w:jc w:val="left"/>
              <w:rPr>
                <w:rFonts w:ascii="Times New Roman" w:hAnsi="Times New Roman"/>
                <w:color w:val="000000"/>
                <w:kern w:val="0"/>
                <w:sz w:val="15"/>
                <w:szCs w:val="15"/>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shd w:val="clear" w:color="auto" w:fill="auto"/>
            <w:noWrap w:val="0"/>
            <w:vAlign w:val="center"/>
          </w:tcPr>
          <w:p>
            <w:pPr>
              <w:widowControl/>
              <w:rPr>
                <w:rFonts w:ascii="黑体" w:hAnsi="宋体" w:eastAsia="黑体" w:cs="宋体"/>
                <w:color w:val="000000"/>
                <w:kern w:val="0"/>
                <w:sz w:val="22"/>
              </w:rPr>
            </w:pPr>
          </w:p>
        </w:tc>
        <w:tc>
          <w:tcPr>
            <w:tcW w:w="2036"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620"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024" w:type="dxa"/>
            <w:vMerge w:val="continue"/>
            <w:shd w:val="clear" w:color="auto" w:fill="auto"/>
            <w:noWrap w:val="0"/>
            <w:vAlign w:val="center"/>
          </w:tcPr>
          <w:p>
            <w:pPr>
              <w:widowControl/>
              <w:jc w:val="left"/>
              <w:rPr>
                <w:rFonts w:ascii="黑体" w:hAnsi="宋体" w:eastAsia="黑体" w:cs="宋体"/>
                <w:color w:val="000000"/>
                <w:kern w:val="0"/>
                <w:sz w:val="22"/>
              </w:rPr>
            </w:pPr>
          </w:p>
        </w:tc>
        <w:tc>
          <w:tcPr>
            <w:tcW w:w="1496" w:type="dxa"/>
            <w:vMerge w:val="continue"/>
            <w:shd w:val="clear" w:color="auto" w:fill="auto"/>
            <w:noWrap w:val="0"/>
            <w:vAlign w:val="center"/>
          </w:tcPr>
          <w:p>
            <w:pPr>
              <w:widowControl/>
              <w:jc w:val="left"/>
              <w:rPr>
                <w:rFonts w:ascii="黑体" w:hAnsi="宋体" w:eastAsia="黑体" w:cs="宋体"/>
                <w:kern w:val="0"/>
                <w:sz w:val="22"/>
              </w:rPr>
            </w:pP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noWrap w:val="0"/>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雷州市社会保险基金管理局</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雷州市税务局、雷州市社会保险基金管理局</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noWrap w:val="0"/>
            <w:vAlign w:val="center"/>
          </w:tcPr>
          <w:p>
            <w:pPr>
              <w:rPr>
                <w:rFonts w:hint="default"/>
                <w:lang w:val="en-US" w:eastAsia="zh-CN"/>
              </w:rPr>
            </w:pPr>
            <w:r>
              <w:rPr>
                <w:rFonts w:hint="eastAsia" w:ascii="仿宋_GB2312" w:hAnsi="宋体" w:eastAsia="仿宋_GB2312"/>
                <w:color w:val="000000"/>
                <w:sz w:val="18"/>
                <w:szCs w:val="18"/>
                <w:lang w:val="en-US" w:eastAsia="zh-CN"/>
              </w:rPr>
              <w:t>雷州市税务局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雷州市税务局（企业职工）、雷州市社会保险基金管理局（机关单位职工）</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雷州市税务局（企业职工）、雷州市社会保险基金管理局（机关单位职工）</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雷州市税务局（企业职工）、雷州市社会保险基金管理局（机关单位职工）</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雷州市税务局（企业职工）、雷州市社会保险基金管理局（机关单位职工）</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 w:hRule="atLeas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pPr>
              <w:rPr>
                <w:rFonts w:ascii="仿宋_GB2312" w:hAnsi="宋体" w:eastAsia="仿宋_GB2312"/>
                <w:color w:val="000000"/>
                <w:sz w:val="18"/>
                <w:szCs w:val="18"/>
              </w:rPr>
            </w:pP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hint="eastAsia" w:ascii="仿宋_GB2312" w:hAnsi="宋体" w:eastAsia="仿宋_GB2312"/>
                <w:color w:val="000000"/>
                <w:sz w:val="18"/>
                <w:szCs w:val="18"/>
              </w:rPr>
            </w:pPr>
          </w:p>
        </w:tc>
        <w:tc>
          <w:tcPr>
            <w:tcW w:w="1024"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hint="eastAsia" w:ascii="仿宋_GB2312" w:hAnsi="宋体" w:eastAsia="仿宋_GB2312" w:cs="Times New Roman"/>
                <w:color w:val="000000"/>
                <w:kern w:val="2"/>
                <w:sz w:val="18"/>
                <w:szCs w:val="18"/>
                <w:lang w:val="en-US" w:eastAsia="zh-CN" w:bidi="ar-SA"/>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hint="eastAsia"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shd w:val="clear" w:color="auto" w:fill="auto"/>
            <w:noWrap w:val="0"/>
            <w:vAlign w:val="center"/>
          </w:tcPr>
          <w:p>
            <w:pPr>
              <w:jc w:val="center"/>
              <w:rPr>
                <w:rFonts w:ascii="仿宋_GB2312" w:hAnsi="宋体" w:eastAsia="仿宋_GB2312"/>
                <w:color w:val="auto"/>
                <w:sz w:val="18"/>
                <w:szCs w:val="18"/>
                <w:highlight w:val="none"/>
              </w:rPr>
            </w:pPr>
            <w:r>
              <w:rPr>
                <w:rFonts w:ascii="仿宋_GB2312" w:hAnsi="宋体" w:eastAsia="仿宋_GB2312"/>
                <w:color w:val="auto"/>
                <w:sz w:val="18"/>
                <w:szCs w:val="18"/>
                <w:highlight w:val="none"/>
              </w:rPr>
              <w:t>30</w:t>
            </w:r>
          </w:p>
        </w:tc>
        <w:tc>
          <w:tcPr>
            <w:tcW w:w="720" w:type="dxa"/>
            <w:vMerge w:val="continue"/>
            <w:shd w:val="clear" w:color="auto" w:fill="auto"/>
            <w:noWrap w:val="0"/>
            <w:vAlign w:val="center"/>
          </w:tcPr>
          <w:p>
            <w:pPr>
              <w:rPr>
                <w:rFonts w:ascii="仿宋_GB2312" w:hAnsi="宋体" w:eastAsia="仿宋_GB2312"/>
                <w:color w:val="auto"/>
                <w:sz w:val="18"/>
                <w:szCs w:val="18"/>
                <w:highlight w:val="none"/>
              </w:rPr>
            </w:pPr>
          </w:p>
        </w:tc>
        <w:tc>
          <w:tcPr>
            <w:tcW w:w="1080" w:type="dxa"/>
            <w:shd w:val="clear" w:color="auto" w:fill="auto"/>
            <w:noWrap w:val="0"/>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城镇职工基本养老保险与城乡居民基本养老保险制度衔接申请  </w:t>
            </w:r>
          </w:p>
        </w:tc>
        <w:tc>
          <w:tcPr>
            <w:tcW w:w="3060" w:type="dxa"/>
            <w:vMerge w:val="continue"/>
            <w:shd w:val="clear" w:color="auto" w:fill="auto"/>
            <w:noWrap w:val="0"/>
            <w:vAlign w:val="center"/>
          </w:tcPr>
          <w:p>
            <w:pPr>
              <w:jc w:val="left"/>
              <w:rPr>
                <w:rFonts w:ascii="仿宋_GB2312" w:hAnsi="宋体" w:eastAsia="仿宋_GB2312"/>
                <w:color w:val="auto"/>
                <w:sz w:val="18"/>
                <w:szCs w:val="18"/>
                <w:highlight w:val="yellow"/>
              </w:rPr>
            </w:pPr>
          </w:p>
        </w:tc>
        <w:tc>
          <w:tcPr>
            <w:tcW w:w="2036" w:type="dxa"/>
            <w:shd w:val="clear" w:color="auto" w:fill="auto"/>
            <w:noWrap w:val="0"/>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《政府信息公开条例》、《社会保险法》《人力资源社会保障部财政部关于印发＜城乡养老保险制度衔接暂行办法＞的通知》</w:t>
            </w:r>
          </w:p>
        </w:tc>
        <w:tc>
          <w:tcPr>
            <w:tcW w:w="1620" w:type="dxa"/>
            <w:shd w:val="clear" w:color="auto" w:fill="auto"/>
            <w:noWrap w:val="0"/>
            <w:vAlign w:val="center"/>
          </w:tcPr>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auto"/>
                <w:sz w:val="18"/>
                <w:szCs w:val="18"/>
                <w:highlight w:val="none"/>
              </w:rPr>
            </w:pPr>
            <w:r>
              <w:rPr>
                <w:rFonts w:hint="eastAsia" w:ascii="仿宋_GB2312" w:hAnsi="宋体" w:eastAsia="仿宋_GB2312"/>
                <w:color w:val="000000"/>
                <w:sz w:val="18"/>
                <w:szCs w:val="18"/>
                <w:lang w:val="en-US" w:eastAsia="zh-CN"/>
              </w:rPr>
              <w:t>雷州市社会保险基金管理局</w:t>
            </w:r>
          </w:p>
        </w:tc>
        <w:tc>
          <w:tcPr>
            <w:tcW w:w="1496" w:type="dxa"/>
            <w:shd w:val="clear" w:color="auto" w:fill="auto"/>
            <w:noWrap w:val="0"/>
            <w:vAlign w:val="center"/>
          </w:tcPr>
          <w:p>
            <w:pPr>
              <w:rPr>
                <w:rFonts w:hint="eastAsia"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xml:space="preserve">■政府网站    </w:t>
            </w:r>
          </w:p>
          <w:p>
            <w:pP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■政务服务中心</w:t>
            </w:r>
            <w:r>
              <w:rPr>
                <w:rFonts w:hint="eastAsia" w:ascii="仿宋_GB2312" w:hAnsi="宋体" w:eastAsia="仿宋_GB2312"/>
                <w:color w:val="auto"/>
                <w:sz w:val="18"/>
                <w:szCs w:val="18"/>
                <w:highlight w:val="none"/>
              </w:rPr>
              <w:br w:type="textWrapping"/>
            </w:r>
            <w:r>
              <w:rPr>
                <w:rFonts w:hint="eastAsia" w:ascii="仿宋_GB2312" w:hAnsi="宋体" w:eastAsia="仿宋_GB2312"/>
                <w:color w:val="auto"/>
                <w:sz w:val="18"/>
                <w:szCs w:val="18"/>
                <w:highlight w:val="none"/>
              </w:rPr>
              <w:t>■基层公共服务平台</w:t>
            </w:r>
          </w:p>
        </w:tc>
        <w:tc>
          <w:tcPr>
            <w:tcW w:w="720" w:type="dxa"/>
            <w:shd w:val="clear" w:color="auto" w:fill="auto"/>
            <w:noWrap w:val="0"/>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shd w:val="clear" w:color="auto" w:fill="auto"/>
            <w:noWrap w:val="0"/>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540" w:type="dxa"/>
            <w:shd w:val="clear" w:color="auto" w:fill="auto"/>
            <w:noWrap w:val="0"/>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shd w:val="clear" w:color="auto" w:fill="auto"/>
            <w:noWrap w:val="0"/>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　</w:t>
            </w:r>
          </w:p>
        </w:tc>
        <w:tc>
          <w:tcPr>
            <w:tcW w:w="720" w:type="dxa"/>
            <w:shd w:val="clear" w:color="auto" w:fill="auto"/>
            <w:noWrap w:val="0"/>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c>
          <w:tcPr>
            <w:tcW w:w="720" w:type="dxa"/>
            <w:shd w:val="clear" w:color="auto" w:fill="auto"/>
            <w:noWrap w:val="0"/>
            <w:vAlign w:val="center"/>
          </w:tcPr>
          <w:p>
            <w:pPr>
              <w:jc w:val="center"/>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8" w:hRule="atLeas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36</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37</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41</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42</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43</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46</w:t>
            </w:r>
          </w:p>
        </w:tc>
        <w:tc>
          <w:tcPr>
            <w:tcW w:w="720" w:type="dxa"/>
            <w:vMerge w:val="restart"/>
            <w:shd w:val="clear" w:color="auto" w:fill="auto"/>
            <w:noWrap w:val="0"/>
            <w:vAlign w:val="center"/>
          </w:tcPr>
          <w:p>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47</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48</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雷州市人力资源和社会保障局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49</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雷州市人力资源和社会保障局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51</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6" w:hRule="atLeas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52</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6" w:hRule="atLeas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53</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val="en-US" w:eastAsia="zh-CN"/>
              </w:rPr>
              <w:t>雷州市社会保险基金管理局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54</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雷州市人力资源和社会保障局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8" w:hRule="atLeas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55</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雷州市人力资源和社会保障局</w:t>
            </w: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56</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hint="default" w:ascii="仿宋_GB2312" w:hAnsi="宋体" w:eastAsia="仿宋_GB2312"/>
                <w:color w:val="000000"/>
                <w:sz w:val="18"/>
                <w:szCs w:val="18"/>
                <w:lang w:val="en-US"/>
              </w:rPr>
            </w:pPr>
            <w:r>
              <w:rPr>
                <w:rFonts w:hint="eastAsia" w:ascii="仿宋_GB2312" w:hAnsi="宋体" w:eastAsia="仿宋_GB2312"/>
                <w:color w:val="000000"/>
                <w:sz w:val="18"/>
                <w:szCs w:val="18"/>
                <w:lang w:eastAsia="zh-CN"/>
              </w:rPr>
              <w:t>雷州市人力资源和社会保障局</w:t>
            </w:r>
          </w:p>
        </w:tc>
        <w:tc>
          <w:tcPr>
            <w:tcW w:w="1496" w:type="dxa"/>
            <w:vMerge w:val="restart"/>
            <w:shd w:val="clear" w:color="auto" w:fill="auto"/>
            <w:noWrap w:val="0"/>
            <w:vAlign w:val="center"/>
          </w:tcPr>
          <w:p>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57</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hint="default" w:ascii="仿宋_GB2312" w:hAnsi="宋体" w:eastAsia="仿宋_GB2312"/>
                <w:color w:val="000000"/>
                <w:sz w:val="18"/>
                <w:szCs w:val="18"/>
                <w:lang w:val="en-US" w:eastAsia="zh-CN"/>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58</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shd w:val="clear" w:color="auto" w:fill="auto"/>
            <w:noWrap w:val="0"/>
            <w:vAlign w:val="center"/>
          </w:tcPr>
          <w:p>
            <w:pPr>
              <w:jc w:val="left"/>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hint="default" w:ascii="仿宋_GB2312" w:hAnsi="宋体" w:eastAsia="仿宋_GB2312"/>
                <w:color w:val="000000"/>
                <w:sz w:val="18"/>
                <w:szCs w:val="18"/>
                <w:lang w:val="en-US"/>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59</w:t>
            </w:r>
          </w:p>
        </w:tc>
        <w:tc>
          <w:tcPr>
            <w:tcW w:w="720" w:type="dxa"/>
            <w:vMerge w:val="restart"/>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lang w:eastAsia="zh-CN"/>
              </w:rPr>
              <w:t>雷州市人力资源和社会保障局</w:t>
            </w:r>
          </w:p>
        </w:tc>
        <w:tc>
          <w:tcPr>
            <w:tcW w:w="1496" w:type="dxa"/>
            <w:vMerge w:val="restart"/>
            <w:shd w:val="clear" w:color="auto" w:fill="auto"/>
            <w:noWrap w:val="0"/>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60</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61</w:t>
            </w:r>
          </w:p>
        </w:tc>
        <w:tc>
          <w:tcPr>
            <w:tcW w:w="720" w:type="dxa"/>
            <w:vMerge w:val="continue"/>
            <w:shd w:val="clear" w:color="auto" w:fill="auto"/>
            <w:noWrap w:val="0"/>
            <w:vAlign w:val="center"/>
          </w:tcPr>
          <w:p>
            <w:pPr>
              <w:jc w:val="cente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62</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noWrap w:val="0"/>
            <w:vAlign w:val="center"/>
          </w:tcPr>
          <w:p>
            <w:pPr>
              <w:jc w:val="center"/>
              <w:rPr>
                <w:rFonts w:hint="default"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63</w:t>
            </w:r>
          </w:p>
        </w:tc>
        <w:tc>
          <w:tcPr>
            <w:tcW w:w="720" w:type="dxa"/>
            <w:vMerge w:val="continue"/>
            <w:shd w:val="clear" w:color="auto" w:fill="auto"/>
            <w:noWrap w:val="0"/>
            <w:vAlign w:val="center"/>
          </w:tcPr>
          <w:p>
            <w:pPr>
              <w:rPr>
                <w:rFonts w:ascii="仿宋_GB2312" w:hAnsi="宋体" w:eastAsia="仿宋_GB2312"/>
                <w:color w:val="000000"/>
                <w:sz w:val="18"/>
                <w:szCs w:val="18"/>
              </w:rPr>
            </w:pPr>
          </w:p>
        </w:tc>
        <w:tc>
          <w:tcPr>
            <w:tcW w:w="1080" w:type="dxa"/>
            <w:shd w:val="clear" w:color="auto" w:fill="auto"/>
            <w:noWrap w:val="0"/>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shd w:val="clear" w:color="auto" w:fill="auto"/>
            <w:noWrap w:val="0"/>
            <w:vAlign w:val="center"/>
          </w:tcPr>
          <w:p>
            <w:pPr>
              <w:rPr>
                <w:rFonts w:ascii="仿宋_GB2312" w:hAnsi="宋体" w:eastAsia="仿宋_GB2312"/>
                <w:color w:val="000000"/>
                <w:sz w:val="18"/>
                <w:szCs w:val="18"/>
              </w:rPr>
            </w:pPr>
          </w:p>
        </w:tc>
        <w:tc>
          <w:tcPr>
            <w:tcW w:w="2036" w:type="dxa"/>
            <w:vMerge w:val="continue"/>
            <w:shd w:val="clear" w:color="auto" w:fill="auto"/>
            <w:noWrap w:val="0"/>
            <w:vAlign w:val="center"/>
          </w:tcPr>
          <w:p>
            <w:pPr>
              <w:rPr>
                <w:rFonts w:ascii="仿宋_GB2312" w:hAnsi="宋体" w:eastAsia="仿宋_GB2312"/>
                <w:color w:val="000000"/>
                <w:sz w:val="18"/>
                <w:szCs w:val="18"/>
              </w:rPr>
            </w:pPr>
          </w:p>
        </w:tc>
        <w:tc>
          <w:tcPr>
            <w:tcW w:w="1620" w:type="dxa"/>
            <w:vMerge w:val="continue"/>
            <w:shd w:val="clear" w:color="auto" w:fill="auto"/>
            <w:noWrap w:val="0"/>
            <w:vAlign w:val="center"/>
          </w:tcPr>
          <w:p>
            <w:pPr>
              <w:rPr>
                <w:rFonts w:ascii="仿宋_GB2312" w:hAnsi="宋体" w:eastAsia="仿宋_GB2312"/>
                <w:color w:val="000000"/>
                <w:sz w:val="18"/>
                <w:szCs w:val="18"/>
              </w:rPr>
            </w:pPr>
          </w:p>
        </w:tc>
        <w:tc>
          <w:tcPr>
            <w:tcW w:w="1024" w:type="dxa"/>
            <w:vMerge w:val="continue"/>
            <w:shd w:val="clear" w:color="auto" w:fill="auto"/>
            <w:noWrap w:val="0"/>
            <w:vAlign w:val="center"/>
          </w:tcPr>
          <w:p>
            <w:pPr>
              <w:rPr>
                <w:rFonts w:ascii="仿宋_GB2312" w:hAnsi="宋体" w:eastAsia="仿宋_GB2312"/>
                <w:color w:val="000000"/>
                <w:sz w:val="18"/>
                <w:szCs w:val="18"/>
              </w:rPr>
            </w:pPr>
          </w:p>
        </w:tc>
        <w:tc>
          <w:tcPr>
            <w:tcW w:w="1496" w:type="dxa"/>
            <w:vMerge w:val="continue"/>
            <w:shd w:val="clear" w:color="auto" w:fill="auto"/>
            <w:noWrap w:val="0"/>
            <w:vAlign w:val="center"/>
          </w:tcPr>
          <w:p>
            <w:pPr>
              <w:rPr>
                <w:rFonts w:ascii="仿宋_GB2312" w:hAnsi="宋体" w:eastAsia="仿宋_GB2312"/>
                <w:color w:val="000000"/>
                <w:sz w:val="18"/>
                <w:szCs w:val="18"/>
              </w:rPr>
            </w:pP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noWrap w:val="0"/>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sectPr>
      <w:pgSz w:w="16838" w:h="11906" w:orient="landscape"/>
      <w:pgMar w:top="1304" w:right="1440" w:bottom="130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F00B34"/>
    <w:rsid w:val="06F00B34"/>
    <w:rsid w:val="1279486A"/>
    <w:rsid w:val="1B182ACD"/>
    <w:rsid w:val="1C583FB6"/>
    <w:rsid w:val="238750CD"/>
    <w:rsid w:val="2E677B26"/>
    <w:rsid w:val="38FA4EE6"/>
    <w:rsid w:val="41881EF5"/>
    <w:rsid w:val="614C4EA3"/>
    <w:rsid w:val="745E0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2020-11-16T07:16:00Z</dcterms:created>
  <dc:creator>LL</dc:creator>
  <cp:lastModifiedBy>何家小儿2015</cp:lastModifiedBy>
  <cp:lastPrinted>2020-11-17T08:54:00Z</cp:lastPrinted>
  <dcterms:modified xsi:type="dcterms:W3CDTF">2020-11-30T08:07:00Z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