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3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69"/>
        <w:gridCol w:w="580"/>
        <w:gridCol w:w="1812"/>
        <w:gridCol w:w="1866"/>
        <w:gridCol w:w="1172"/>
        <w:gridCol w:w="1344"/>
        <w:gridCol w:w="1751"/>
        <w:gridCol w:w="1640"/>
        <w:gridCol w:w="552"/>
        <w:gridCol w:w="551"/>
        <w:gridCol w:w="898"/>
        <w:gridCol w:w="898"/>
        <w:gridCol w:w="440"/>
        <w:gridCol w:w="4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6" w:hRule="atLeast"/>
        </w:trPr>
        <w:tc>
          <w:tcPr>
            <w:tcW w:w="14320" w:type="dxa"/>
            <w:gridSpan w:val="14"/>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方正小标宋_GBK" w:hAnsi="方正小标宋_GBK" w:eastAsia="方正小标宋_GBK" w:cs="方正小标宋_GBK"/>
                <w:i w:val="0"/>
                <w:color w:val="000000"/>
                <w:kern w:val="0"/>
                <w:sz w:val="44"/>
                <w:szCs w:val="44"/>
                <w:u w:val="none"/>
                <w:lang w:val="en-US" w:eastAsia="zh-CN" w:bidi="ar"/>
              </w:rPr>
              <w:t>（十八）城市综合执法领域基层政务公开标准目录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6" w:hRule="atLeast"/>
        </w:trPr>
        <w:tc>
          <w:tcPr>
            <w:tcW w:w="3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序号</w:t>
            </w:r>
          </w:p>
        </w:tc>
        <w:tc>
          <w:tcPr>
            <w:tcW w:w="2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公开事项</w:t>
            </w:r>
          </w:p>
        </w:tc>
        <w:tc>
          <w:tcPr>
            <w:tcW w:w="18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公开内容</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公开依据</w:t>
            </w:r>
          </w:p>
        </w:tc>
        <w:tc>
          <w:tcPr>
            <w:tcW w:w="1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公开</w:t>
            </w:r>
            <w:r>
              <w:rPr>
                <w:rFonts w:hint="eastAsia" w:asciiTheme="minorEastAsia" w:hAnsiTheme="minorEastAsia" w:eastAsiaTheme="minorEastAsia" w:cstheme="minorEastAsia"/>
                <w:b/>
                <w:i w:val="0"/>
                <w:color w:val="000000"/>
                <w:kern w:val="0"/>
                <w:sz w:val="18"/>
                <w:szCs w:val="18"/>
                <w:u w:val="none"/>
                <w:lang w:val="en-US" w:eastAsia="zh-CN" w:bidi="ar"/>
              </w:rPr>
              <w:br w:type="textWrapping"/>
            </w:r>
            <w:r>
              <w:rPr>
                <w:rFonts w:hint="eastAsia" w:asciiTheme="minorEastAsia" w:hAnsiTheme="minorEastAsia" w:eastAsiaTheme="minorEastAsia" w:cstheme="minorEastAsia"/>
                <w:b/>
                <w:i w:val="0"/>
                <w:color w:val="000000"/>
                <w:kern w:val="0"/>
                <w:sz w:val="18"/>
                <w:szCs w:val="18"/>
                <w:u w:val="none"/>
                <w:lang w:val="en-US" w:eastAsia="zh-CN" w:bidi="ar"/>
              </w:rPr>
              <w:t>时限</w:t>
            </w:r>
          </w:p>
        </w:tc>
        <w:tc>
          <w:tcPr>
            <w:tcW w:w="17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公开</w:t>
            </w:r>
            <w:r>
              <w:rPr>
                <w:rFonts w:hint="eastAsia" w:asciiTheme="minorEastAsia" w:hAnsiTheme="minorEastAsia" w:eastAsiaTheme="minorEastAsia" w:cstheme="minorEastAsia"/>
                <w:b/>
                <w:i w:val="0"/>
                <w:color w:val="000000"/>
                <w:kern w:val="0"/>
                <w:sz w:val="18"/>
                <w:szCs w:val="18"/>
                <w:u w:val="none"/>
                <w:lang w:val="en-US" w:eastAsia="zh-CN" w:bidi="ar"/>
              </w:rPr>
              <w:br w:type="textWrapping"/>
            </w:r>
            <w:r>
              <w:rPr>
                <w:rFonts w:hint="eastAsia" w:asciiTheme="minorEastAsia" w:hAnsiTheme="minorEastAsia" w:eastAsiaTheme="minorEastAsia" w:cstheme="minorEastAsia"/>
                <w:b/>
                <w:i w:val="0"/>
                <w:color w:val="000000"/>
                <w:kern w:val="0"/>
                <w:sz w:val="18"/>
                <w:szCs w:val="18"/>
                <w:u w:val="none"/>
                <w:lang w:val="en-US" w:eastAsia="zh-CN" w:bidi="ar"/>
              </w:rPr>
              <w:t>主体</w:t>
            </w:r>
          </w:p>
        </w:tc>
        <w:tc>
          <w:tcPr>
            <w:tcW w:w="1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 xml:space="preserve">   公开渠道和载体                      </w:t>
            </w:r>
          </w:p>
        </w:tc>
        <w:tc>
          <w:tcPr>
            <w:tcW w:w="1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公开对象</w:t>
            </w:r>
          </w:p>
        </w:tc>
        <w:tc>
          <w:tcPr>
            <w:tcW w:w="1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公开方式</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1" w:hRule="atLeast"/>
        </w:trPr>
        <w:tc>
          <w:tcPr>
            <w:tcW w:w="3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b/>
                <w:i w:val="0"/>
                <w:color w:val="000000"/>
                <w:sz w:val="18"/>
                <w:szCs w:val="18"/>
                <w:u w:val="none"/>
              </w:rPr>
            </w:pPr>
          </w:p>
        </w:tc>
        <w:tc>
          <w:tcPr>
            <w:tcW w:w="58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一级事项</w:t>
            </w:r>
          </w:p>
        </w:tc>
        <w:tc>
          <w:tcPr>
            <w:tcW w:w="1812"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二级事项</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b/>
                <w:i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b/>
                <w:i w:val="0"/>
                <w:color w:val="000000"/>
                <w:sz w:val="18"/>
                <w:szCs w:val="18"/>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b/>
                <w:i w:val="0"/>
                <w:color w:val="000000"/>
                <w:sz w:val="18"/>
                <w:szCs w:val="18"/>
                <w:u w:val="none"/>
              </w:rPr>
            </w:pP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b/>
                <w:i w:val="0"/>
                <w:color w:val="000000"/>
                <w:sz w:val="18"/>
                <w:szCs w:val="18"/>
                <w:u w:val="none"/>
              </w:rPr>
            </w:pP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outlineLvl w:val="9"/>
              <w:rPr>
                <w:rFonts w:hint="eastAsia" w:asciiTheme="minorEastAsia" w:hAnsiTheme="minorEastAsia" w:eastAsiaTheme="minorEastAsia" w:cstheme="minorEastAsia"/>
                <w:b/>
                <w:i w:val="0"/>
                <w:color w:val="000000"/>
                <w:sz w:val="18"/>
                <w:szCs w:val="18"/>
                <w:u w:val="none"/>
              </w:rPr>
            </w:pPr>
          </w:p>
        </w:tc>
        <w:tc>
          <w:tcPr>
            <w:tcW w:w="552"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全社会</w:t>
            </w:r>
          </w:p>
        </w:tc>
        <w:tc>
          <w:tcPr>
            <w:tcW w:w="551"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特定群体</w:t>
            </w:r>
          </w:p>
        </w:tc>
        <w:tc>
          <w:tcPr>
            <w:tcW w:w="898"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主动</w:t>
            </w:r>
          </w:p>
        </w:tc>
        <w:tc>
          <w:tcPr>
            <w:tcW w:w="898"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依申请</w:t>
            </w:r>
          </w:p>
        </w:tc>
        <w:tc>
          <w:tcPr>
            <w:tcW w:w="44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市级</w:t>
            </w:r>
          </w:p>
        </w:tc>
        <w:tc>
          <w:tcPr>
            <w:tcW w:w="447"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县级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46"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工程建设管理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未取得施工许可证或者开工报告未经批准擅自施工</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《中华人民共和国建筑法》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《建设工程质量管理条例》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工程建设管理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承包单位将承包的工程转包，或者违法分包</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《中华人民共和国建筑法》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《建设工程质量管理条例》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bookmarkStart w:id="0" w:name="_GoBack"/>
            <w:bookmarkEnd w:id="0"/>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工程建设管理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建设单位要求建筑设计单位或者建筑施工企业违反建筑工程质量、安全标准，降低工程质量</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《中华人民共和国建筑法》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4</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工程建设管理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建筑施工企业在施工中偷工减料，使用不合格的建筑材料、建筑构配件和设备，或者有其他不按照工程设计图纸或者施工技术标准施工的行为</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《中华人民共和国建筑法》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5</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工程建设管理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建筑施工企业不履行保修义务或者拖延履行保修义务</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《中华人民共和国建筑法》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《建设工程质量管理条例》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6</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工程建设管理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建设单位将建设工程发包给不具有相应资质等级的勘察、设计、施工单位或者委托给不具有相应资质等级的工程监理单位</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《建设工程质量管理条例》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7</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工程建设管理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建设单位施工图设计文件未经审查或者审查不合格，擅自施工</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《建设工程质量管理条例》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8</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工程建设管理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建设项目必须实行工程监理而未实行工程监理</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《建设工程质量管理条例》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9</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工程建设管理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建设单位未按照国家规定办理工程质量监督手续</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《建设工程质量管理条例》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10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工程建设管理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未组织竣工验收，建设单位擅自交付使用</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《建设工程质量管理条例》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11</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工程建设管理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验收不合格，建设单位擅自交付使用</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《建设工程质量管理条例》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12</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工程建设管理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建设单位对不合格的建设工程按照合格工程验收</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《建设工程质量管理条例》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13</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工程建设管理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工程监理单位转让工程监理业务</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《建设工程质量管理条例》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14</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工程建设管理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施工单位在施工中偷工减料；使用不合格的建筑材料、建筑构配件和设备；或者有不按照工程设计图纸或者施工技术标准施工的其他行为</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《建设工程质量管理条例》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15</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工程建设管理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施工单位未对建筑材料、建筑构配件、设备和商品混凝土进行检验，或者未对涉及结构安全的试块、试件以及有关材料取样检测</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《建设工程质量管理条例》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16</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工程建设管理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涉及建筑主体或者承重结构变动的装修工程，没有设计方案擅自施工；房屋建筑使用者在装修过程中擅自变动房屋建筑主体和承重结构</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《建设工程质量管理条例》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17</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工程建设管理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施工单位拒不整改或者不停止施工，工程监理单位未及时向有关主管部门报告</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《建设工程安全生产管理条例》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18</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工程建设管理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施工单位未在施工现场的危险部位设置明显的安全警示标志，或者未按照国家有关规定在施工现场设置消防通道、消防水源、配备消防设施和灭火器材</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《建设工程安全生产管理条例》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19</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工程建设管理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施工单位未根据不同施工阶段和周围环境及季节、气候的变化，在施工现场采取相应的安全施工措施，或者在城市市区内的建设工程的施工现场未实行封闭围挡</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《建设工程安全生产管理条例》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20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工程建设管理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施工单位在尚未竣工的建筑物内设置员工集体宿舍</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《建设工程安全生产管理条例》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21</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工程建设管理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施工现场临时搭建的建筑物不符合安全使用要求</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《建设工程安全生产管理条例》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22</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工程建设管理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施工单位未对因建设工程施工可能造成损害的毗邻建筑物、构筑物和地下管线等采取专项防护措施</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《建设工程安全生产管理条例》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3"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23</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工程建设管理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建设工程勘察、设计单位超越其资质等级许可的范围或者以其他建设工程勘察、设计单位的名义承揽建设工程勘察、设计业务；允许其他单位或者个人以本单位的名义承揽建设工程勘察、设计业务</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《建设工程勘察设计管理条例》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3"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24</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工程建设管理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企业申请建筑业企业资质升级、资质增项，在申请之日起前一年至资质许可决定作出前，恶意拖欠分包企业工程款或者劳务人员工资</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《建筑业企业资质管理规定》</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3"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25</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工程建设管理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企业申请建筑业企业资质升级、资质增项，在申请之日起前一年至资质许可决定作出前，未依法履行工程质量保修义务或拖延履行保修义务</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《建筑业企业资质管理规定》</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26</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工程建设管理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未取得建筑业企业资质承接分包工程</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《房屋建筑和市政基础设施工程施工分包管理办法》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27</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工程建设管理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未取得施工许可证或者为规避办理施工许可证将工程项目分解后擅自施工</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《建筑工程施工许可管理办法》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28</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工程建设管理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建设单位采用欺骗、贿赂等不正当手段取得施工许可证</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《建筑工程施工许可管理办法》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29</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工程建设管理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建设单位隐瞒有关情况或者提供虚假材料申请施工许可证</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《建筑工程施工许可管理办法》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30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工程建设管理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建设单位伪造或者涂改施工许可证</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《建筑工程施工许可管理办法》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31</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工程建设管理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施工工地未设置硬质密闭围挡，或者未采取覆盖、分段作业、择时施工、洒水抑尘、冲洗地面和车辆等有效防尘降尘措施</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《中华人民共和国大气污染防治法》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32</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工程建设管理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建筑土方、工程渣土、建筑垃圾未及时清运，或者未采用密闭式防尘网遮盖</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《中华人民共和国大气污染防治法》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33</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工程建设管理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建设单位未对暂时不能开工的建设用地的裸露地面进行覆盖，或者未对超过三个月不能开工的建设用地的裸露地面进行绿化、铺装或者遮盖</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《中华人民共和国大气污染防治法》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34</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工程建设管理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随意倾倒、抛撒或者堆放生活垃圾</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《中华人民共和国固体废物污染环境防治法》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35</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工程建设管理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擅自关闭、闲置或者拆除生活垃圾处置设施、场所</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《中华人民共和国固体废物污染环境防治法》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36</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工程建设管理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工程施工单位不及时清运施工过程中产生的固体废物，造成环境污染</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《中华人民共和国固体废物污染环境防治法》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37</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工程建设管理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工程施工单位不按照环境卫生行政主管部门的规定对施工过程中产生的固体废物进行利用或者处置</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《中华人民共和国固体废物污染环境防治法》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38</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绿化管理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损坏城市树木花草    </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《城市绿化条例》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39</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绿化管理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擅自砍伐城市树木</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《城市绿化条例》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40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绿化管理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砍伐、擅自迁移古树名木或者因养护不善致使古树名木受到损伤或者死亡</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《城市绿化条例》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41</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绿化管理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损坏城市绿化设施</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《城市绿化条例》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42</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绿化管理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未经同意擅自占用城市绿化用地</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《城市绿化条例》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43</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绿化管理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不服从公共绿地管理单位管理的商业、服务摊点</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《城市绿化条例》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44</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绿化管理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在城市绿地范围内进行拦河截溪、取土采石、设置垃圾堆场、排放污水以及其他对城市生态环境造成破坏活动</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《城市绿线管理办法》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45</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随地吐痰、便溺，乱扔果皮、纸屑和烟头等废弃物</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《城市市容和环境卫生管理条例》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46</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在城市建筑物、设施以及树木上涂写、刻画或者未经批准张挂、张贴宣传品等</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《城市市容和环境卫生管理条例》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47</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在城市人民政府规定的街道的临街建筑物的阳台和窗外，堆放、吊挂有碍市容的物品</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《城市市容和环境卫生管理条例》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48</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不按规定的时间、地点、方式，倾倒垃圾、粪便</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《城市市容和环境卫生管理条例》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49</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不履行卫生责任区清扫保洁义务或者不按规定清运、处理垃圾和粪便</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《城市市容和环境卫生管理条例》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50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运输液体、散装货物不作密封、包扎、覆盖，造成泄漏、遗撒</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《城市市容和环境卫生管理条例》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51</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临街工地不设置护栏或者不作遮挡、停工场地不及时整理并作必要覆盖或者竣工后不及时清理和平整场地，影响市容和环境卫生</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《城市市容和环境卫生管理条例》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52</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饲养家畜家禽影响市容和环境卫生</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《城市市容和环境卫生管理条例》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53</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未经城市人民政府市容环境卫生行政主管部门同意，擅自设置大型户外广告，影响市容</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《城市市容和环境卫生管理条例》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54</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未经城市人民政府市容环境卫生行政主管部门批准，擅自在街道两侧和公共场地堆放物料，搭建建筑物、构筑物或者其他设施，影响市容</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《城市市容和环境卫生管理条例》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55</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未经批准擅自拆除环境卫生设施或者未按批准的拆迁方案进行拆迁</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《城市市容和环境卫生管理条例》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56</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不符合城市容貌标准、环境卫生标准的建筑物或者设施</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《城市市容和环境卫生管理条例》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57</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损坏各类环境卫生设施及其附属设施</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《城市市容和环境卫生管理条例》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58</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单位和个人未按规定缴纳城市生活垃圾处理费</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《城市生活垃圾管理办法》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59</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未按照城市生活垃圾治理规划和环境卫生设施标准配套建设城市生活垃圾收集设施</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《城市生活垃圾管理办法》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60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城市生活垃圾处置设施未经验收或者验收不合格投入使用</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《城市生活垃圾管理办法》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61</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未经批准擅自关闭、闲置或者拆除城市生活垃圾处置设施、场所</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《城市生活垃圾管理办法》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62</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随意倾倒、抛洒、堆放城市生活垃圾</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《城市生活垃圾管理办法》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63</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未经批准从事城市生活垃圾经营性清扫、收集、运输或者处置活动</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《城市生活垃圾管理办法》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64</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从事城市生活垃圾经营性清扫、收集、运输的企业在运输过程中沿途丢弃、遗撒生活垃圾</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《城市生活垃圾管理办法》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3"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65</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从事生活垃圾经营性清扫、收集、运输的企业不按照环境卫生作业标准和作业规范，在规定的时间内及时清扫、收运城市生活垃圾</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《城市生活垃圾管理办法》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3"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66</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从事生活垃圾经营性清扫、收集、运输的企业未将收集的城市生活垃圾运到直辖市、市、县人民政府建设（环境卫生）主管部门认可的处置场所</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《城市生活垃圾管理办法》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3"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67</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从事生活垃圾经营性清扫、收集、运输的企业清扫、收运城市生活垃圾后，未对生活垃圾收集设施及时保洁、复位，清理作业场地，保持生活垃圾收集设施和周边环境的干净整洁</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《城市生活垃圾管理办法》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3"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68</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从事生活垃圾经营性清扫、收集、运输的企业用于收集、运输城市生活垃圾的车辆、船舶未做到密闭、完好和整洁</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《城市生活垃圾管理办法》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69</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从事生活垃圾经营性清扫、收集、运输的企业未严格按照国家有关规定和技术标准，处置城市生活垃圾</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《城市生活垃圾管理办法》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70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从事生活垃圾经营性清扫、收集、运输的企业未按照规定处理处置过程中产生的污水、废气、废渣、粉尘等，防止二次污染</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《城市生活垃圾管理办法》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71</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从事生活垃圾经营性清扫、收集、运输的企业未按照所在地建设（环境卫生）主管部门规定的时间和要求接收生活垃圾</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《城市生活垃圾管理办法》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72</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从事生活垃圾经营性清扫、收集、运输的企业未按照要求配备城市生活垃圾处置设备、设施，保证设施、设备运行良好</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《城市生活垃圾管理办法》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73</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从事生活垃圾经营性清扫、收集、运输的企业未保证城市生活垃圾处置站、场（厂）环境整洁</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《城市生活垃圾管理办法》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74</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从事生活垃圾经营性清扫、收集、运输的企业未按照要求配备合格的管理人员及操作人员</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《城市生活垃圾管理办法》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3"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75</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从事生活垃圾经营性清扫、收集、运输的企业未对每日收运、进出场站、处置的生活垃圾进行计量，或未按照要求将统计数据和报表报送所在地建设（环境卫生）主管部门</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《城市生活垃圾管理办法》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3"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76</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从事生活垃圾经营性清扫、收集、运输的企业未按照要求定期进行水、气、土壤等环境影响监测，或未对生活垃圾处理设施的性能和环保指标进行检测、评价，或未向所在地建设（环境卫生）主管部门报告检测、评价结果</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《城市生活垃圾管理办法》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77</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从事城市生活垃圾经营性清扫、收集、运输的企业，未经批准擅自停业、歇业</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《城市生活垃圾管理办法》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78</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从事城市生活垃圾经营性处置的企业，未经批准擅自停业、歇业</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《城市生活垃圾管理办法》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79</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将建筑垃圾混入生活垃圾</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《城市建筑垃圾管理规定》</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80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将危险废物混入建筑垃圾</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《城市建筑垃圾管理规定》</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81</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擅自设立弃置场受纳建筑垃圾    </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《城市建筑垃圾管理规定》</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82</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建筑垃圾储运消纳场受纳工业垃圾、生活垃圾和有毒有害垃圾</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《城市建筑垃圾管理规定》</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83</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施工单位未及时清运工程施工过程中产生的建筑垃圾，造成环境污染</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《城市建筑垃圾管理规定》</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84</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施工单位将建筑垃圾交给个人或者未经核准从事建筑垃圾运输的单位处置</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《城市建筑垃圾管理规定》</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85</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处置建筑垃圾的单位在运输建筑垃圾过程中沿途丢弃、遗撒建筑垃圾</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《城市建筑垃圾管理规定》</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86</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涂改、倒卖、出租、出借或者以其他形式非法转让城市建筑垃圾处置核准文件</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《城市建筑垃圾管理规定》</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87</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未经核准擅自处置建筑垃圾</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《城市建筑垃圾管理规定》</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88</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处置超出核准范围的建筑垃圾</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《城市建筑垃圾管理规定》</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89</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任何单位和个人随意倾倒、抛撒或者堆放建筑垃圾</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《城市建筑垃圾管理规定》</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90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擅自占用城市公厕规划用地或者改变其性质</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《城市公厕管理办法》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91</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建设单位经批准使用的土地含有城市公厕规划用地的，建设单位未按照城市公厕规划和城市人民政府环境卫生行政主管部门的要求修建公厕，并向社会开放使用</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《城市公厕管理办法》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92</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未按分工负责城市公厕的建设和维修管理    </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《城市公厕管理办法》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93</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影剧院、商店、饭店、车站等公共建筑没有附设公厕或者原有公厕及其卫生设施不足的，未按照城市人民政府环境卫生行政主管部门的要求进行新建、扩建或者改造</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《城市公厕管理办法》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94</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公共建筑附设的公厕及其卫生设施的设计和安装，不符合国家和地方的有关标准</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《城市公厕管理办法》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95</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对于损坏严重或者年久失修的公厕，有关单位未按照分工负责建设和维修管理，或在拆除重建时未先建临时公厕</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《城市公厕管理办法》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96</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独立设置的城市公厕竣工时，建设单位未通知城市人民政府环境卫生主管部门或者其指定的部门参加验收；将验收不合格的独立设置的城市公厕交付使用</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《城市公厕管理办法》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97</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在公厕内乱丢垃圾、污物，随地吐痰，乱涂乱画</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《城市公厕管理办法》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98</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破坏公厕设施、设备</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《城市公厕管理办法》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99</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未经批准擅自占用或者改变公厕使用性质</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《城市公厕管理办法》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100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市容环境卫生管理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在运输过程中沿途丢弃、遗撒生活垃圾</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《中华人民共和国固体废物污染环境防治法》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101</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未取得设计、施工资格或者未按照资质等级承担城市道路的设计、施工任务</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《城市道路管理条例》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102</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未按照城市道路设计、施工技术规范设计、施工</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《城市道路管理条例》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103</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未按照设计图纸施工或者擅自修改图纸</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《城市道路管理条例》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104</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擅自使用未经验收或者验收不合格的城市道路</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《城市道路管理条例》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105</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承担城市道路养护、维修的单位未定期对城市道路进行养护、维修或者未按照规定的期限修复竣工，并拒绝接受市政工程行政主管部门监督、检查</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《城市道路管理条例》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106</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未对设在城市道路上的各种管线的检查井、箱盖或者城市道路附属设施的缺损及时补缺或者修复</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《城市道路管理条例》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107</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未在城市道路施工现场设置明显标志和安全防围设施</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《城市道路管理条例》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108</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占用城市道路期满或者挖掘城市道路后，不及时清理现场</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《城市道路管理条例》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109</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依附于城市道路建设各种管线、杆线等设施，不按照规定办理批准手续</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《城市道路管理条例》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110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紧急抢修埋设在城市道路下的管线，不按照规定补办批准手续</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《城市道路管理条例》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111</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未按照批准的位置、面积、期限占用或者挖掘城市道路，或者需要移动位置、扩大面积、延长时间，未提前办理变更审批手续</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《城市道路管理条例》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112</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擅自占用或者挖掘城市道路</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《城市道路管理条例》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113</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履带车、铁轮车或者超重、超高、超长车辆擅自在城市道路上行驶</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《城市道路管理条例》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114</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机动车在桥梁或者非指定的城市道路上试刹车</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《城市道路管理条例》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115</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擅自在城市道路上建设建筑物、构筑物</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《城市道路管理条例》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116</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在桥梁上架设压力在4公斤/平方厘米（0.4兆帕）以上的煤气管道、10千伏以上的高压电力线和其他易燃易爆管线</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《城市道路管理条例》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117</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擅自在桥梁或者路灯设施上设置广告牌或者其他挂浮物</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《城市道路管理条例》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118</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其他损害、侵占城市道路的行为</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《城市道路管理条例》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119</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特许经营者违反法律、行政法规和国家强制性标准，严重危害公共利益，或者造成重大质量、安全事故或者突发环境事件</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《基础设施和公用事业特许经营管理办法》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120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以欺骗、贿赂等不正当手段取得特许经营项目</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《基础设施和公用事业特许经营管理办法》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121</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不具备相应资质的单位和不具备相应执业资格证书的专业技术人员从事城市照明工程勘察、设计、施工、监理</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《城市照明管理规定》</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122</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在城市景观照明中有过度照明等超能耗标准行为</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《城市照明管理规定》</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123</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在城市照明设施上刻划、涂污</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《城市照明管理规定》</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124</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在城市照明设施安全距离内，擅自植树、挖坑取土或者设置其他物体，或者倾倒含酸、碱、盐等腐蚀物或者具有腐蚀性的废渣、废液</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《城市照明管理规定》</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125</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擅自在城市照明设施上张贴、悬挂、设置宣传品、广告</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《城市照明管理规定》</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126</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擅自在城市照明设施上架设线缆、安置其它设施或者接用电源</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《城市照明管理规定》</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127</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擅自迁移、拆除、利用城市照明设施</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《城市照明管理规定》</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128</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其他可能影响城市照明设施正常运行的行为</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《城市照明管理规定》</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129</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获得特许经营权的企业擅自停业、歇业</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《市政公用事业特许经营管理办法》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130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以欺骗、贿赂等不正当手段获得特许经营权</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《市政公用事业特许经营管理办法》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131</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城市桥梁产权人或者委托管理人未按照规定编制城市桥梁养护维修的中长期规划和年度计划，或者未经批准即实施</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《城市桥梁检测和养护维修管理办</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132</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城市桥梁产权人或者委托管理人未按照规定设置相应的标志，并保持其完好、清晰</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《城市桥梁检测和养护维修管理办</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133</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城市桥梁产权人或者委托管理人未按照规定委托具有相应资格的机构对城市桥梁进行检测评估</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《城市桥梁检测和养护维修管理办</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134</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城市桥梁产权人或者委托管理人未按照规定制定城市桥梁的安全抢险预备方案</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《城市桥梁检测和养护维修管理办</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135</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城市桥梁产权人或者委托管理人未按照规定对城市桥梁进行养护维修</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《城市桥梁检测和养护维修管理办</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136</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单位或者个人擅自在城市桥梁上架设各类管线、设置广告等辅助物</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《城市桥梁检测和养护维修管理办</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137</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单位和个人擅自在城市桥梁施工控制范围内从事河道疏浚、挖掘、打桩、地下管道顶进、爆破等</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《城市桥梁检测和养护维修管理办</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3"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138</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超限机动车辆、履带车、铁轮车等需经过城市桥梁的，在报公安交通管理部门审批前，未先经城市人民政府市政工程设施行政主管部门同意，或未采取相应技术措施就通行</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《城市桥梁检测和养护维修管理办</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3"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139</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经过检测评估，确定城市桥梁的承载能力下降，但尚未构成危桥的，城市桥梁产权人和委托管理人未及时设置警示标志，或未立即采取加固等安全措施</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《城市桥梁检测和养护维修管理办法》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306"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140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市政公用管理</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经检测评估判定为危桥的，城市桥梁产权人和委托管理人未立即采取措施，设置显著的警示标志，或未在二十四小时内，向城市人民政府市政工程设施行政主管部门报告；市政工程设施行政主管部门提出处理意见后，城市桥梁产权人和委托管理人未在期限内排除危险；在危险排除之前，城市桥梁产权人和委托管理人使用或者转让危桥</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《城市桥梁检测和养护维修管理办</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141</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违法建设</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未取得建设工程规划许可证或者未按照建设工程规划许可证的规定进行建设</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《中华人民共和国城乡规划法》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142</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违法建设</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建设单位或者个人未经批准进行临时建设</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《中华人民共和国城乡规划法》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143</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违法建设</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建设单位或者个人未按照批准内容进行临时建设</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《中华人民共和国城乡规划法》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9"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144</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违法建设</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临时建筑物、构筑物超过批准期限建设单位或者个人不拆除</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4.行政处罚自由裁量基准；</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6.处罚决定；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7.救济渠道。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《中华人民共和国城乡规划法》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1.除处罚决定外其他内容：长期公开（动态调整）；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2.处罚决定：20个工作日内。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85"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145</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违法建设</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城乡规划主管部门作出责令停止建设或者限期拆除的决定后，当事人不停止建设或者逾期不拆除</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5.强制决定；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《中华人民共和国城乡规划法》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1.除强制决定外其他内容：长期公开（动态调整）；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2.强制决定：20个工作日内。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96" w:hRule="atLeast"/>
        </w:trPr>
        <w:tc>
          <w:tcPr>
            <w:tcW w:w="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default" w:asciiTheme="minorEastAsia" w:hAnsiTheme="minorEastAsia" w:eastAsiaTheme="minorEastAsia" w:cstheme="minorEastAsia"/>
                <w:i w:val="0"/>
                <w:color w:val="000000"/>
                <w:sz w:val="18"/>
                <w:szCs w:val="18"/>
                <w:u w:val="none"/>
                <w:lang w:val="en-US" w:eastAsia="zh-CN"/>
              </w:rPr>
            </w:pPr>
            <w:r>
              <w:rPr>
                <w:rFonts w:hint="eastAsia" w:asciiTheme="minorEastAsia" w:hAnsiTheme="minorEastAsia" w:cstheme="minorEastAsia"/>
                <w:i w:val="0"/>
                <w:color w:val="000000"/>
                <w:sz w:val="18"/>
                <w:szCs w:val="18"/>
                <w:u w:val="none"/>
                <w:lang w:val="en-US" w:eastAsia="zh-CN"/>
              </w:rPr>
              <w:t>146</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违法建设</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凡不符合城市容貌标准、环境卫生标准的建筑物或者设施，逾期未改造或者未拆除</w:t>
            </w:r>
          </w:p>
        </w:tc>
        <w:tc>
          <w:tcPr>
            <w:tcW w:w="1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1.机构职能、权责清单、执法人员名单；</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2.执法程序或行政强制流程图；</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3.执法依据；</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4.咨询、监督投诉方式；</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5.强制决定；</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6.救济渠道。</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《城市市容和环境卫生管理条例》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1.除强制决定外其他内容：长期公开（动态调整）；</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2.强制决定：20个工作日内。</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cstheme="minorEastAsia"/>
                <w:i w:val="0"/>
                <w:color w:val="000000"/>
                <w:kern w:val="0"/>
                <w:sz w:val="18"/>
                <w:szCs w:val="18"/>
                <w:u w:val="none"/>
                <w:lang w:val="en-US" w:eastAsia="zh-CN" w:bidi="ar"/>
              </w:rPr>
              <w:t>雷州</w:t>
            </w:r>
            <w:r>
              <w:rPr>
                <w:rFonts w:hint="eastAsia" w:asciiTheme="minorEastAsia" w:hAnsiTheme="minorEastAsia" w:eastAsiaTheme="minorEastAsia" w:cstheme="minorEastAsia"/>
                <w:i w:val="0"/>
                <w:color w:val="000000"/>
                <w:kern w:val="0"/>
                <w:sz w:val="18"/>
                <w:szCs w:val="18"/>
                <w:u w:val="none"/>
                <w:lang w:val="en-US" w:eastAsia="zh-CN" w:bidi="ar"/>
              </w:rPr>
              <w:t>市城市管理和综合执法局</w:t>
            </w:r>
          </w:p>
        </w:tc>
        <w:tc>
          <w:tcPr>
            <w:tcW w:w="1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 xml:space="preserve">政府网站   </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9"/>
              <w:rPr>
                <w:rFonts w:hint="eastAsia" w:asciiTheme="minorEastAsia" w:hAnsiTheme="minorEastAsia" w:eastAsiaTheme="minorEastAsia" w:cstheme="minorEastAsia"/>
                <w:i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c>
          <w:tcPr>
            <w:tcW w:w="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outlineLvl w:val="9"/>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w:t>
            </w:r>
          </w:p>
        </w:tc>
      </w:tr>
    </w:tbl>
    <w:p>
      <w:pPr>
        <w:keepNext w:val="0"/>
        <w:keepLines w:val="0"/>
        <w:pageBreakBefore w:val="0"/>
        <w:kinsoku/>
        <w:wordWrap/>
        <w:overflowPunct/>
        <w:topLinePunct w:val="0"/>
        <w:autoSpaceDE/>
        <w:autoSpaceDN/>
        <w:bidi w:val="0"/>
        <w:adjustRightInd/>
        <w:snapToGrid/>
        <w:spacing w:line="220" w:lineRule="exact"/>
        <w:rPr>
          <w:rFonts w:hint="default" w:asciiTheme="minorEastAsia" w:hAnsiTheme="minorEastAsia" w:eastAsiaTheme="minorEastAsia" w:cstheme="minorEastAsia"/>
          <w:sz w:val="18"/>
          <w:szCs w:val="18"/>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A76168"/>
    <w:rsid w:val="0B9E6C26"/>
    <w:rsid w:val="1AEF3517"/>
    <w:rsid w:val="4A724E32"/>
    <w:rsid w:val="59A76168"/>
    <w:rsid w:val="63F232A4"/>
    <w:rsid w:val="69444834"/>
    <w:rsid w:val="74282600"/>
    <w:rsid w:val="76FD0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 w:hAnsi="仿宋" w:eastAsia="仿宋"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 w:type="paragraph" w:customStyle="1" w:styleId="5">
    <w:name w:val="文档"/>
    <w:basedOn w:val="1"/>
    <w:qFormat/>
    <w:uiPriority w:val="0"/>
    <w:rPr>
      <w:rFonts w:eastAsia="仿宋" w:asciiTheme="minorAscii" w:hAnsiTheme="minorAscii"/>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2020-08-03T10:43:00Z</dcterms:created>
  <dc:creator>驚蟄</dc:creator>
  <cp:lastModifiedBy>花信</cp:lastModifiedBy>
  <cp:lastPrinted>2020-08-04T00:34:00Z</cp:lastPrinted>
  <dcterms:modified xsi:type="dcterms:W3CDTF">2020-11-20T09:30:15Z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