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雷州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市城市管理和综合执法局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雷州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市城市管理和综合执法局</w:t>
            </w: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雷州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市城市管理和综合执法局</w:t>
            </w: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雷州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市城市管理和综合执法局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雷州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市城市管理和综合执法局</w:t>
            </w:r>
            <w:bookmarkStart w:id="1" w:name="_GoBack"/>
            <w:bookmarkEnd w:id="1"/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A6B5F"/>
    <w:rsid w:val="1607670A"/>
    <w:rsid w:val="2F087422"/>
    <w:rsid w:val="547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2020-10-27T09:06:00Z</dcterms:created>
  <dc:creator>Zmj*</dc:creator>
  <cp:lastModifiedBy>何家小儿2015</cp:lastModifiedBy>
  <cp:lastPrinted>2020-10-28T09:30:00Z</cp:lastPrinted>
  <dcterms:modified xsi:type="dcterms:W3CDTF">2020-11-30T07:48:52Z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