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</w:rPr>
        <w:t>雷州市畜禽养殖禁养区划定方案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评审意见修改索引</w:t>
      </w:r>
    </w:p>
    <w:p>
      <w:pPr>
        <w:spacing w:line="460" w:lineRule="exact"/>
        <w:ind w:firstLine="560" w:firstLineChars="200"/>
        <w:rPr>
          <w:rStyle w:val="6"/>
          <w:rFonts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bCs/>
          <w:color w:val="auto"/>
          <w:sz w:val="28"/>
          <w:szCs w:val="28"/>
        </w:rPr>
        <w:t>一、</w:t>
      </w:r>
      <w:bookmarkStart w:id="0" w:name="_Hlk63375368"/>
      <w:r>
        <w:rPr>
          <w:rFonts w:hint="eastAsia" w:ascii="楷体" w:hAnsi="楷体" w:eastAsia="楷体"/>
          <w:bCs/>
          <w:color w:val="auto"/>
          <w:sz w:val="28"/>
          <w:szCs w:val="28"/>
        </w:rPr>
        <w:t>对评审意见提出的：</w:t>
      </w:r>
      <w:bookmarkEnd w:id="0"/>
      <w:r>
        <w:rPr>
          <w:rStyle w:val="6"/>
          <w:rFonts w:ascii="楷体" w:hAnsi="楷体" w:eastAsia="楷体"/>
          <w:color w:val="auto"/>
          <w:sz w:val="28"/>
          <w:szCs w:val="28"/>
        </w:rPr>
        <w:t>“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《</w:t>
      </w:r>
      <w:r>
        <w:rPr>
          <w:rStyle w:val="6"/>
          <w:rFonts w:ascii="楷体" w:hAnsi="楷体" w:eastAsia="楷体"/>
          <w:color w:val="auto"/>
          <w:sz w:val="28"/>
          <w:szCs w:val="28"/>
        </w:rPr>
        <w:t>方案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》</w:t>
      </w:r>
      <w:r>
        <w:rPr>
          <w:rStyle w:val="6"/>
          <w:rFonts w:ascii="楷体" w:hAnsi="楷体" w:eastAsia="楷体"/>
          <w:color w:val="auto"/>
          <w:sz w:val="28"/>
          <w:szCs w:val="28"/>
        </w:rPr>
        <w:t>中部分行政区域（镇）的“城镇居民区及文化教育科研区等人口集中区域”的面积过大，明显不合理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。”</w:t>
      </w:r>
    </w:p>
    <w:p>
      <w:pPr>
        <w:spacing w:line="460" w:lineRule="exact"/>
        <w:ind w:firstLine="560" w:firstLineChars="200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答：</w:t>
      </w:r>
      <w:r>
        <w:rPr>
          <w:rFonts w:hint="eastAsia" w:ascii="楷体" w:hAnsi="楷体" w:eastAsia="楷体"/>
          <w:color w:val="auto"/>
          <w:sz w:val="28"/>
          <w:szCs w:val="28"/>
        </w:rPr>
        <w:t>《</w:t>
      </w:r>
      <w:r>
        <w:rPr>
          <w:rFonts w:ascii="楷体" w:hAnsi="楷体" w:eastAsia="楷体"/>
          <w:color w:val="auto"/>
          <w:sz w:val="28"/>
          <w:szCs w:val="28"/>
        </w:rPr>
        <w:t>畜禽养殖禁养区划定技术指南</w:t>
      </w:r>
      <w:r>
        <w:rPr>
          <w:rFonts w:hint="eastAsia" w:ascii="楷体" w:hAnsi="楷体" w:eastAsia="楷体"/>
          <w:color w:val="auto"/>
          <w:sz w:val="28"/>
          <w:szCs w:val="28"/>
        </w:rPr>
        <w:t>》（</w:t>
      </w:r>
      <w:r>
        <w:rPr>
          <w:rFonts w:ascii="楷体" w:hAnsi="楷体" w:eastAsia="楷体"/>
          <w:color w:val="auto"/>
          <w:sz w:val="28"/>
          <w:szCs w:val="28"/>
        </w:rPr>
        <w:t>5.4</w:t>
      </w:r>
      <w:r>
        <w:rPr>
          <w:rFonts w:hint="eastAsia" w:ascii="楷体" w:hAnsi="楷体" w:eastAsia="楷体"/>
          <w:color w:val="auto"/>
          <w:sz w:val="28"/>
          <w:szCs w:val="28"/>
        </w:rPr>
        <w:t>）规定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为“</w:t>
      </w:r>
      <w:r>
        <w:rPr>
          <w:rFonts w:ascii="楷体" w:hAnsi="楷体" w:eastAsia="楷体"/>
          <w:color w:val="auto"/>
          <w:sz w:val="28"/>
          <w:szCs w:val="28"/>
        </w:rPr>
        <w:t>城镇居民区和文化教育科学研究区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；根据城镇现行总体规划，动物防疫条件、卫生防护和环境保护</w:t>
      </w:r>
      <w:bookmarkStart w:id="2" w:name="_GoBack"/>
      <w:bookmarkEnd w:id="2"/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要求等，因地制宜，兼顾城镇发展，科学设置边界范围。”</w:t>
      </w:r>
    </w:p>
    <w:p>
      <w:pPr>
        <w:spacing w:line="460" w:lineRule="exact"/>
        <w:ind w:firstLine="560" w:firstLineChars="200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本方案中对“城镇居民区和文化教育科学研究区”划定主要考虑两个部分：一个为人口集中区，一个为城镇拓展区。</w:t>
      </w:r>
    </w:p>
    <w:p>
      <w:pPr>
        <w:spacing w:line="460" w:lineRule="exact"/>
        <w:ind w:firstLine="560" w:firstLineChars="200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其中“雷城街道、西湖街道、新城街道、北和镇、英利镇、覃斗镇、杨家镇、唐家镇、企水镇、纪家镇、松竹镇、南兴镇、雷高镇、调风镇、龙门镇”按城镇现在的人口集中区划入禁养区。</w:t>
      </w:r>
    </w:p>
    <w:p>
      <w:pPr>
        <w:spacing w:line="460" w:lineRule="exact"/>
        <w:ind w:firstLine="560" w:firstLineChars="200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“白沙镇、沈塘镇、客路镇、东里镇、乌石镇、湛江奋勇高新技术产业开发区”将城镇现在的人口集中区划入禁养区，并将未来城镇拓展区划入禁养区，“城镇拓展区”划入禁养区符合</w:t>
      </w:r>
      <w:r>
        <w:rPr>
          <w:rFonts w:hint="eastAsia" w:ascii="楷体" w:hAnsi="楷体" w:eastAsia="楷体"/>
          <w:color w:val="auto"/>
          <w:sz w:val="28"/>
          <w:szCs w:val="28"/>
        </w:rPr>
        <w:t>《</w:t>
      </w:r>
      <w:r>
        <w:rPr>
          <w:rFonts w:ascii="楷体" w:hAnsi="楷体" w:eastAsia="楷体"/>
          <w:color w:val="auto"/>
          <w:sz w:val="28"/>
          <w:szCs w:val="28"/>
        </w:rPr>
        <w:t>畜禽养殖禁养区划定技术指南</w:t>
      </w:r>
      <w:r>
        <w:rPr>
          <w:rFonts w:hint="eastAsia" w:ascii="楷体" w:hAnsi="楷体" w:eastAsia="楷体"/>
          <w:color w:val="auto"/>
          <w:sz w:val="28"/>
          <w:szCs w:val="28"/>
        </w:rPr>
        <w:t>》（</w:t>
      </w:r>
      <w:r>
        <w:rPr>
          <w:rFonts w:ascii="楷体" w:hAnsi="楷体" w:eastAsia="楷体"/>
          <w:color w:val="auto"/>
          <w:sz w:val="28"/>
          <w:szCs w:val="28"/>
        </w:rPr>
        <w:t>5.4</w:t>
      </w:r>
      <w:r>
        <w:rPr>
          <w:rFonts w:hint="eastAsia" w:ascii="楷体" w:hAnsi="楷体" w:eastAsia="楷体"/>
          <w:color w:val="auto"/>
          <w:sz w:val="28"/>
          <w:szCs w:val="28"/>
        </w:rPr>
        <w:t>）规定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中“因地制宜，兼顾城镇发展”。</w:t>
      </w:r>
    </w:p>
    <w:p>
      <w:pPr>
        <w:spacing w:line="460" w:lineRule="exact"/>
        <w:rPr>
          <w:rStyle w:val="6"/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二、</w:t>
      </w:r>
      <w:r>
        <w:rPr>
          <w:rFonts w:hint="eastAsia" w:ascii="楷体" w:hAnsi="楷体" w:eastAsia="楷体"/>
          <w:bCs/>
          <w:color w:val="auto"/>
          <w:sz w:val="28"/>
          <w:szCs w:val="28"/>
        </w:rPr>
        <w:t>对评审意见提出的：“</w:t>
      </w:r>
      <w:r>
        <w:rPr>
          <w:rStyle w:val="6"/>
          <w:rFonts w:ascii="楷体" w:hAnsi="楷体" w:eastAsia="楷体"/>
          <w:color w:val="auto"/>
          <w:sz w:val="28"/>
          <w:szCs w:val="28"/>
        </w:rPr>
        <w:t>对</w:t>
      </w:r>
      <w:bookmarkStart w:id="1" w:name="_Hlk63375839"/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《</w:t>
      </w:r>
      <w:r>
        <w:rPr>
          <w:rStyle w:val="6"/>
          <w:rFonts w:ascii="楷体" w:hAnsi="楷体" w:eastAsia="楷体"/>
          <w:color w:val="auto"/>
          <w:sz w:val="28"/>
          <w:szCs w:val="28"/>
        </w:rPr>
        <w:t>方案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》</w:t>
      </w:r>
      <w:r>
        <w:rPr>
          <w:rStyle w:val="6"/>
          <w:rFonts w:ascii="楷体" w:hAnsi="楷体" w:eastAsia="楷体"/>
          <w:color w:val="auto"/>
          <w:sz w:val="28"/>
          <w:szCs w:val="28"/>
        </w:rPr>
        <w:t>文本中</w:t>
      </w:r>
      <w:bookmarkEnd w:id="1"/>
      <w:r>
        <w:rPr>
          <w:rStyle w:val="6"/>
          <w:rFonts w:ascii="楷体" w:hAnsi="楷体" w:eastAsia="楷体"/>
          <w:color w:val="auto"/>
          <w:sz w:val="28"/>
          <w:szCs w:val="28"/>
        </w:rPr>
        <w:t>尚存在的各类具体编写问题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需作补充修改”</w:t>
      </w:r>
    </w:p>
    <w:p>
      <w:pPr>
        <w:spacing w:line="460" w:lineRule="exact"/>
        <w:rPr>
          <w:rFonts w:hint="default" w:ascii="楷体" w:hAnsi="楷体" w:eastAsia="楷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Cs/>
          <w:color w:val="auto"/>
          <w:sz w:val="28"/>
          <w:szCs w:val="28"/>
          <w:lang w:eastAsia="zh-CN"/>
        </w:rPr>
        <w:t>答：已对《方案》文本中的</w:t>
      </w:r>
      <w:r>
        <w:rPr>
          <w:rStyle w:val="6"/>
          <w:rFonts w:ascii="楷体" w:hAnsi="楷体" w:eastAsia="楷体"/>
          <w:color w:val="auto"/>
          <w:sz w:val="28"/>
          <w:szCs w:val="28"/>
        </w:rPr>
        <w:t>各类具体编写问题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需作补充修改</w:t>
      </w:r>
      <w:r>
        <w:rPr>
          <w:rStyle w:val="6"/>
          <w:rFonts w:hint="eastAsia" w:ascii="楷体" w:hAnsi="楷体" w:eastAsia="楷体"/>
          <w:color w:val="auto"/>
          <w:sz w:val="28"/>
          <w:szCs w:val="28"/>
          <w:lang w:eastAsia="zh-CN"/>
        </w:rPr>
        <w:t>，如全文修改错别字、标点符合，完善法律法规及划分依据</w:t>
      </w:r>
      <w:r>
        <w:rPr>
          <w:rStyle w:val="6"/>
          <w:rFonts w:hint="eastAsia" w:ascii="楷体" w:hAnsi="楷体" w:eastAsia="楷体"/>
          <w:color w:val="auto"/>
          <w:sz w:val="28"/>
          <w:szCs w:val="28"/>
          <w:lang w:val="en-US" w:eastAsia="zh-CN"/>
        </w:rPr>
        <w:t>P2-P3,P25-P27,已对图件进行完善P10-P14；已核对统计禁养区面积P31-37;已完善矢量化边界图信息登记表P56-62;已补充禁养区主要拐点坐标P63-66;已征求各部门意见并将意见做为附件。</w:t>
      </w:r>
    </w:p>
    <w:p>
      <w:pPr>
        <w:spacing w:line="460" w:lineRule="exact"/>
        <w:rPr>
          <w:rStyle w:val="6"/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bCs/>
          <w:color w:val="auto"/>
          <w:sz w:val="28"/>
          <w:szCs w:val="28"/>
          <w:lang w:eastAsia="zh-CN"/>
        </w:rPr>
        <w:t>已全文将“人口集中区</w:t>
      </w:r>
      <w:r>
        <w:rPr>
          <w:rStyle w:val="6"/>
          <w:rFonts w:hint="eastAsia" w:ascii="楷体" w:hAnsi="楷体" w:eastAsia="楷体"/>
          <w:color w:val="auto"/>
          <w:sz w:val="28"/>
          <w:szCs w:val="28"/>
          <w:lang w:eastAsia="zh-CN"/>
        </w:rPr>
        <w:t>域”“</w:t>
      </w:r>
      <w:r>
        <w:rPr>
          <w:rStyle w:val="6"/>
          <w:rFonts w:hint="eastAsia" w:ascii="楷体" w:hAnsi="楷体" w:eastAsia="楷体"/>
          <w:color w:val="auto"/>
          <w:sz w:val="28"/>
          <w:szCs w:val="28"/>
        </w:rPr>
        <w:t>城镇居民区、文化教育科学研究区、工业园区等人口集中区域</w:t>
      </w:r>
      <w:r>
        <w:rPr>
          <w:rStyle w:val="6"/>
          <w:rFonts w:hint="eastAsia" w:ascii="楷体" w:hAnsi="楷体" w:eastAsia="楷体"/>
          <w:color w:val="auto"/>
          <w:sz w:val="28"/>
          <w:szCs w:val="28"/>
          <w:lang w:eastAsia="zh-CN"/>
        </w:rPr>
        <w:t>”改为“城镇居民区和文化教育科学研究区”。</w:t>
      </w:r>
    </w:p>
    <w:p>
      <w:pPr>
        <w:pStyle w:val="2"/>
        <w:rPr>
          <w:rStyle w:val="6"/>
          <w:rFonts w:hint="eastAsia" w:ascii="楷体" w:hAnsi="楷体" w:eastAsia="楷体" w:cs="Times New Roman"/>
          <w:color w:val="auto"/>
          <w:sz w:val="28"/>
          <w:szCs w:val="28"/>
          <w:lang w:val="en-US" w:eastAsia="zh-CN" w:bidi="ar-SA"/>
        </w:rPr>
      </w:pPr>
      <w:r>
        <w:rPr>
          <w:rStyle w:val="6"/>
          <w:rFonts w:hint="eastAsia" w:ascii="楷体" w:hAnsi="楷体" w:eastAsia="楷体" w:cs="Times New Roman"/>
          <w:color w:val="auto"/>
          <w:sz w:val="28"/>
          <w:szCs w:val="28"/>
          <w:lang w:val="en-US" w:eastAsia="zh-CN" w:bidi="ar-SA"/>
        </w:rPr>
        <w:t>三、按照《畜禽养殖禁养区划定技术指南》等有关规定，进一步完善“方案”。</w:t>
      </w:r>
    </w:p>
    <w:p>
      <w:pPr>
        <w:pStyle w:val="2"/>
        <w:rPr>
          <w:rStyle w:val="6"/>
          <w:rFonts w:hint="default" w:ascii="楷体" w:hAnsi="楷体" w:eastAsia="楷体" w:cs="Times New Roman"/>
          <w:color w:val="auto"/>
          <w:sz w:val="28"/>
          <w:szCs w:val="28"/>
          <w:lang w:val="en-US" w:eastAsia="zh-CN" w:bidi="ar-SA"/>
        </w:rPr>
      </w:pPr>
      <w:r>
        <w:rPr>
          <w:rStyle w:val="6"/>
          <w:rFonts w:hint="eastAsia" w:ascii="楷体" w:hAnsi="楷体" w:eastAsia="楷体" w:cs="Times New Roman"/>
          <w:color w:val="auto"/>
          <w:sz w:val="28"/>
          <w:szCs w:val="28"/>
          <w:lang w:val="en-US" w:eastAsia="zh-CN" w:bidi="ar-SA"/>
        </w:rPr>
        <w:t>答：已按《畜禽养殖禁养区划定技术指南》等有关规定，完善“方案”。如将基本农田、铁路国道两侧100m范围等剔出禁养区范围。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A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</w:pPr>
    <w:rPr>
      <w:rFonts w:ascii="Calibri" w:hAnsi="Calibri" w:cs="Calibri"/>
      <w:color w:val="000000"/>
      <w:sz w:val="24"/>
    </w:rPr>
  </w:style>
  <w:style w:type="paragraph" w:customStyle="1" w:styleId="3">
    <w:name w:val="纯文本1"/>
    <w:basedOn w:val="1"/>
    <w:qFormat/>
    <w:uiPriority w:val="0"/>
    <w:pPr>
      <w:adjustRightInd w:val="0"/>
      <w:spacing w:line="240" w:lineRule="auto"/>
      <w:textAlignment w:val="baseline"/>
    </w:pPr>
    <w:rPr>
      <w:rFonts w:ascii="宋体" w:hAnsi="Courier New"/>
      <w:sz w:val="21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2021-04-16T09:33:39Z</dcterms:created>
  <dc:creator>Administrator</dc:creator>
  <cp:lastModifiedBy>Administrator</cp:lastModifiedBy>
  <dcterms:modified xsi:type="dcterms:W3CDTF">2021-04-16T09:34:02Z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