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zh-CN"/>
        </w:rPr>
        <w:t>关于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zh-CN" w:eastAsia="zh-CN"/>
        </w:rPr>
        <w:t>《雷州市城市规划管理技术规定》（修编）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en-US" w:eastAsia="zh-CN"/>
        </w:rPr>
        <w:t>中第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zh-CN" w:eastAsia="zh-CN"/>
        </w:rPr>
        <w:t>2.6.5、2.6.6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en-US" w:eastAsia="zh-CN"/>
        </w:rPr>
        <w:t>条进行修改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zh-CN" w:eastAsia="zh-CN"/>
        </w:rPr>
        <w:t>的</w:t>
      </w:r>
      <w:r>
        <w:rPr>
          <w:rFonts w:hint="eastAsia" w:ascii="宋体" w:cs="宋体"/>
          <w:b/>
          <w:bCs/>
          <w:spacing w:val="-17"/>
          <w:kern w:val="0"/>
          <w:sz w:val="36"/>
          <w:szCs w:val="36"/>
          <w:lang w:val="en-US" w:eastAsia="zh-CN"/>
        </w:rPr>
        <w:t>意见</w:t>
      </w:r>
    </w:p>
    <w:p>
      <w:pPr>
        <w:rPr>
          <w:rFonts w:hint="eastAsia"/>
        </w:rPr>
      </w:pPr>
    </w:p>
    <w:p>
      <w:pPr>
        <w:rPr>
          <w:rFonts w:hint="eastAsia"/>
          <w:color w:val="0070C0"/>
          <w:w w:val="10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eastAsia="仿宋" w:cs="宋体"/>
          <w:b/>
          <w:sz w:val="28"/>
          <w:szCs w:val="28"/>
        </w:rPr>
      </w:pPr>
      <w:r>
        <w:rPr>
          <w:rFonts w:hint="eastAsia" w:ascii="宋体" w:eastAsia="仿宋" w:cs="宋体"/>
          <w:b/>
          <w:sz w:val="28"/>
          <w:szCs w:val="28"/>
        </w:rPr>
        <w:t>取消工业用地容积率上限控制，保留容积率下限控制要求；取消建筑系数的控制要求；将“工业项目行政办公及生活服务、生产服务设施的建筑面积不得超过工</w:t>
      </w:r>
      <w:bookmarkStart w:id="0" w:name="_GoBack"/>
      <w:bookmarkEnd w:id="0"/>
      <w:r>
        <w:rPr>
          <w:rFonts w:hint="eastAsia" w:ascii="宋体" w:eastAsia="仿宋" w:cs="宋体"/>
          <w:b/>
          <w:sz w:val="28"/>
          <w:szCs w:val="28"/>
        </w:rPr>
        <w:t>业项目总建筑面积的15%”调整为“工业项目配套设施的计容建筑面积不得超过项目总计容建筑面积的30%（以构筑物为主的工业项目、新型产业用地除外）。</w:t>
      </w:r>
    </w:p>
    <w:p>
      <w:pPr>
        <w:pStyle w:val="3"/>
        <w:ind w:firstLine="562" w:firstLineChars="200"/>
      </w:pPr>
      <w:r>
        <w:rPr>
          <w:rFonts w:ascii="仿宋" w:hAnsi="仿宋"/>
          <w:b/>
        </w:rPr>
        <w:t>2.6.5</w:t>
      </w:r>
      <w:r>
        <w:rPr>
          <w:rFonts w:hint="eastAsia"/>
        </w:rPr>
        <w:t>工业项目用地容积率应符合表</w:t>
      </w:r>
      <w:r>
        <w:t>2.6.5</w:t>
      </w:r>
      <w:r>
        <w:rPr>
          <w:rFonts w:hint="eastAsia"/>
        </w:rPr>
        <w:t>的规定。</w:t>
      </w:r>
    </w:p>
    <w:p>
      <w:pPr>
        <w:pStyle w:val="3"/>
        <w:rPr>
          <w:color w:val="0070C0"/>
          <w:w w:val="105"/>
        </w:rPr>
      </w:pPr>
      <w:r>
        <w:rPr>
          <w:rFonts w:hint="eastAsia"/>
          <w:color w:val="0070C0"/>
          <w:w w:val="105"/>
        </w:rPr>
        <w:t>（参照湛江新规定）</w:t>
      </w:r>
    </w:p>
    <w:p>
      <w:pPr>
        <w:pStyle w:val="12"/>
        <w:rPr>
          <w:bCs/>
        </w:rPr>
      </w:pPr>
      <w:r>
        <w:rPr>
          <w:rFonts w:hint="eastAsia"/>
          <w:w w:val="95"/>
        </w:rPr>
        <w:t>表</w:t>
      </w:r>
      <w:r>
        <w:rPr>
          <w:w w:val="95"/>
        </w:rPr>
        <w:t>2.6.5</w:t>
      </w:r>
      <w:r>
        <w:rPr>
          <w:rFonts w:hint="eastAsia"/>
        </w:rPr>
        <w:t>工业用地容积率控制指标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5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2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57"/>
              <w:jc w:val="center"/>
            </w:pPr>
            <w:r>
              <w:rPr>
                <w:rFonts w:hint="eastAsia" w:ascii="黑体" w:eastAsia="黑体" w:cs="黑体"/>
                <w:b/>
                <w:bCs/>
                <w:szCs w:val="21"/>
              </w:rPr>
              <w:t>用地分类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57"/>
              <w:ind w:right="2"/>
              <w:jc w:val="center"/>
            </w:pPr>
            <w:r>
              <w:rPr>
                <w:rFonts w:hint="eastAsia" w:ascii="黑体" w:eastAsia="黑体" w:cs="黑体"/>
                <w:b/>
                <w:bCs/>
                <w:szCs w:val="21"/>
              </w:rPr>
              <w:t>容积率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ind w:right="1"/>
              <w:jc w:val="center"/>
            </w:pPr>
            <w:r>
              <w:rPr>
                <w:rFonts w:hint="eastAsia" w:ascii="宋体" w:eastAsia="宋体" w:cs="宋体"/>
                <w:szCs w:val="21"/>
              </w:rPr>
              <w:t>一类工业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jc w:val="center"/>
            </w:pPr>
            <w:r>
              <w:rPr>
                <w:rFonts w:hint="eastAsia" w:ascii="宋体" w:eastAsia="宋体" w:cs="宋体"/>
                <w:szCs w:val="21"/>
              </w:rPr>
              <w:t>≥</w:t>
            </w:r>
            <w:r>
              <w:rPr>
                <w:rFonts w:ascii="宋体" w:eastAsia="宋体" w:cs="宋体"/>
                <w:szCs w:val="21"/>
              </w:rPr>
              <w:t>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ind w:right="1"/>
              <w:jc w:val="center"/>
            </w:pPr>
            <w:r>
              <w:rPr>
                <w:rFonts w:hint="eastAsia" w:ascii="宋体" w:eastAsia="宋体" w:cs="宋体"/>
                <w:szCs w:val="21"/>
              </w:rPr>
              <w:t>二类工业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jc w:val="center"/>
            </w:pPr>
            <w:r>
              <w:rPr>
                <w:rFonts w:hint="eastAsia" w:ascii="宋体" w:eastAsia="宋体" w:cs="宋体"/>
                <w:szCs w:val="21"/>
              </w:rPr>
              <w:t>≥</w:t>
            </w:r>
            <w:r>
              <w:rPr>
                <w:rFonts w:ascii="宋体" w:eastAsia="宋体" w:cs="宋体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ind w:right="1"/>
              <w:jc w:val="center"/>
            </w:pPr>
            <w:r>
              <w:rPr>
                <w:rFonts w:hint="eastAsia" w:ascii="宋体" w:eastAsia="宋体" w:cs="宋体"/>
                <w:szCs w:val="21"/>
              </w:rPr>
              <w:t>三类工业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jc w:val="center"/>
            </w:pPr>
            <w:r>
              <w:rPr>
                <w:rFonts w:hint="eastAsia" w:ascii="宋体" w:eastAsia="宋体" w:cs="宋体"/>
                <w:szCs w:val="21"/>
              </w:rPr>
              <w:t>≥</w:t>
            </w:r>
            <w:r>
              <w:rPr>
                <w:rFonts w:ascii="宋体" w:eastAsia="宋体" w:cs="宋体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ind w:left="739"/>
            </w:pPr>
            <w:r>
              <w:rPr>
                <w:rFonts w:hint="eastAsia" w:ascii="宋体" w:eastAsia="宋体" w:cs="宋体"/>
                <w:szCs w:val="21"/>
              </w:rPr>
              <w:t>新型产业用地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2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eastAsia="宋体" w:cs="宋体"/>
                <w:szCs w:val="21"/>
              </w:rPr>
              <w:t>≥</w:t>
            </w:r>
            <w:r>
              <w:rPr>
                <w:rFonts w:hint="eastAsia" w:ascii="宋体" w:eastAsia="宋体" w:cs="宋体"/>
                <w:szCs w:val="21"/>
                <w:lang w:val="en-US" w:eastAsia="zh-CN"/>
              </w:rPr>
              <w:t>2.5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rPr>
          <w:rFonts w:hint="eastAsia"/>
          <w:color w:val="0070C0"/>
          <w:w w:val="105"/>
        </w:rPr>
      </w:pPr>
    </w:p>
    <w:p>
      <w:pPr>
        <w:pStyle w:val="3"/>
        <w:rPr>
          <w:rFonts w:hint="eastAsia"/>
          <w:color w:val="0070C0"/>
          <w:w w:val="105"/>
        </w:rPr>
      </w:pPr>
    </w:p>
    <w:p>
      <w:pPr>
        <w:pStyle w:val="3"/>
        <w:rPr>
          <w:rFonts w:hint="eastAsia"/>
          <w:color w:val="0070C0"/>
          <w:w w:val="105"/>
        </w:rPr>
      </w:pPr>
    </w:p>
    <w:p>
      <w:pPr>
        <w:pStyle w:val="3"/>
        <w:rPr>
          <w:color w:val="0070C0"/>
          <w:w w:val="105"/>
        </w:rPr>
      </w:pPr>
      <w:r>
        <w:rPr>
          <w:rFonts w:hint="eastAsia"/>
          <w:color w:val="0070C0"/>
          <w:w w:val="105"/>
        </w:rPr>
        <w:t>（湛江新规定考虑工业建筑密度受具体工艺要求，不做通则性控制。）</w:t>
      </w:r>
    </w:p>
    <w:p>
      <w:pPr>
        <w:pStyle w:val="3"/>
        <w:ind w:firstLine="562" w:firstLineChars="200"/>
      </w:pPr>
      <w:r>
        <w:rPr>
          <w:rFonts w:ascii="仿宋" w:hAnsi="仿宋"/>
          <w:b/>
        </w:rPr>
        <w:t>2.6.6</w:t>
      </w:r>
      <w:r>
        <w:rPr>
          <w:rFonts w:hint="eastAsia"/>
          <w:spacing w:val="-5"/>
        </w:rPr>
        <w:t>工业项目配套设施的计容建筑面积不</w:t>
      </w:r>
      <w:r>
        <w:rPr>
          <w:rFonts w:hint="eastAsia"/>
        </w:rPr>
        <w:t>得超过项目总计容建筑面积的</w:t>
      </w:r>
      <w:r>
        <w:rPr>
          <w:rFonts w:hint="eastAsia"/>
          <w:color w:val="FF0000"/>
        </w:rPr>
        <w:t>30</w:t>
      </w:r>
      <w:r>
        <w:rPr>
          <w:color w:val="FF0000"/>
        </w:rPr>
        <w:t>%</w:t>
      </w:r>
      <w:r>
        <w:rPr>
          <w:rFonts w:hint="eastAsia"/>
        </w:rPr>
        <w:t>（以构筑物为主的工业项目、新型产</w:t>
      </w:r>
      <w:r>
        <w:rPr>
          <w:rFonts w:hint="eastAsia"/>
          <w:spacing w:val="-9"/>
        </w:rPr>
        <w:t>业用地除外）。当工业项目行政办公及生活服务设施用地面积超过工业项</w:t>
      </w:r>
      <w:r>
        <w:rPr>
          <w:rFonts w:hint="eastAsia"/>
        </w:rPr>
        <w:t>目总用地面积</w:t>
      </w:r>
      <w:r>
        <w:t>7%</w:t>
      </w:r>
      <w:r>
        <w:rPr>
          <w:rFonts w:hint="eastAsia"/>
        </w:rPr>
        <w:t>，或其计容建筑面积超过项目总计容建筑面积</w:t>
      </w:r>
      <w:r>
        <w:rPr>
          <w:rFonts w:hint="eastAsia"/>
          <w:color w:val="FF0000"/>
        </w:rPr>
        <w:t>30</w:t>
      </w:r>
      <w:r>
        <w:rPr>
          <w:color w:val="FF0000"/>
        </w:rPr>
        <w:t>%</w:t>
      </w:r>
      <w:r>
        <w:rPr>
          <w:rFonts w:hint="eastAsia"/>
        </w:rPr>
        <w:t>的部分，不能视为工业用途。</w:t>
      </w:r>
    </w:p>
    <w:p>
      <w:pPr>
        <w:pStyle w:val="3"/>
        <w:ind w:firstLine="500" w:firstLineChars="200"/>
        <w:rPr>
          <w:rFonts w:eastAsia="宋体"/>
          <w:color w:val="4F83BE"/>
          <w:kern w:val="0"/>
          <w:sz w:val="25"/>
          <w:szCs w:val="25"/>
        </w:rPr>
      </w:pPr>
      <w:r>
        <w:rPr>
          <w:rFonts w:hint="eastAsia" w:eastAsia="宋体"/>
          <w:color w:val="4F83BE"/>
          <w:kern w:val="0"/>
          <w:sz w:val="25"/>
          <w:szCs w:val="25"/>
        </w:rPr>
        <w:t>（2008年版《工业项目建设用地控制指标》仅对工业项目配套设施用地面积占比作出7%的限制，没有对配套设施的计容建筑面积作出限制。湛江新规定参照2021年版《工业项目建设用地控制指标》（征求意见搞）的要求明确：“工业项目行政办公及生活服务、生产服务设施的建筑面积不得超过工业项目总建筑面积的15%”。</w:t>
      </w:r>
    </w:p>
    <w:p>
      <w:pPr>
        <w:ind w:firstLine="500" w:firstLineChars="200"/>
        <w:rPr>
          <w:rFonts w:hint="eastAsia" w:eastAsia="宋体"/>
          <w:color w:val="4F83BE"/>
          <w:kern w:val="0"/>
          <w:sz w:val="25"/>
          <w:szCs w:val="25"/>
        </w:rPr>
      </w:pPr>
      <w:r>
        <w:rPr>
          <w:rFonts w:hint="eastAsia" w:eastAsia="宋体"/>
          <w:color w:val="4F83BE"/>
          <w:kern w:val="0"/>
          <w:sz w:val="25"/>
          <w:szCs w:val="25"/>
        </w:rPr>
        <w:t>考虑到集约用地，经雷州市自然资源局2022年第十二次局务会议研究决定，明确参照东莞市技术规定的要求修改为“工业项目配套设施的计容建筑面积不得超过项目总计容建筑面积的30%”。）</w:t>
      </w:r>
    </w:p>
    <w:p>
      <w:pPr>
        <w:rPr>
          <w:rFonts w:hint="eastAsia" w:eastAsia="宋体"/>
          <w:color w:val="4F83BE"/>
          <w:kern w:val="0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mU2OWE2YzQ4MzY1ZWVjYmE4NjliMzQ3YzVjODUifQ=="/>
  </w:docVars>
  <w:rsids>
    <w:rsidRoot w:val="000B7AEB"/>
    <w:rsid w:val="000B7AEB"/>
    <w:rsid w:val="000D0B81"/>
    <w:rsid w:val="001C7BC4"/>
    <w:rsid w:val="003C484D"/>
    <w:rsid w:val="0048327B"/>
    <w:rsid w:val="005E7852"/>
    <w:rsid w:val="00643B34"/>
    <w:rsid w:val="007346E4"/>
    <w:rsid w:val="00954D11"/>
    <w:rsid w:val="009C722C"/>
    <w:rsid w:val="00B65760"/>
    <w:rsid w:val="00B80E71"/>
    <w:rsid w:val="00C57656"/>
    <w:rsid w:val="00C576BA"/>
    <w:rsid w:val="00C649A3"/>
    <w:rsid w:val="00DE5E62"/>
    <w:rsid w:val="00E2223C"/>
    <w:rsid w:val="00E41957"/>
    <w:rsid w:val="00ED6514"/>
    <w:rsid w:val="00FE488B"/>
    <w:rsid w:val="04E423C3"/>
    <w:rsid w:val="10DC1497"/>
    <w:rsid w:val="129B384A"/>
    <w:rsid w:val="138665FF"/>
    <w:rsid w:val="37AC319E"/>
    <w:rsid w:val="4B2C1F2E"/>
    <w:rsid w:val="7D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1"/>
    <w:pPr>
      <w:widowControl/>
      <w:ind w:left="669"/>
      <w:jc w:val="left"/>
      <w:outlineLvl w:val="2"/>
    </w:pPr>
    <w:rPr>
      <w:rFonts w:ascii="微软雅黑" w:eastAsia="微软雅黑" w:cs="微软雅黑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widowControl/>
      <w:spacing w:line="540" w:lineRule="exact"/>
    </w:pPr>
    <w:rPr>
      <w:rFonts w:ascii="宋体" w:eastAsia="仿宋" w:cs="宋体"/>
      <w:sz w:val="28"/>
      <w:szCs w:val="2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1"/>
    <w:rPr>
      <w:rFonts w:ascii="宋体" w:eastAsia="仿宋" w:cs="宋体"/>
      <w:sz w:val="28"/>
      <w:szCs w:val="28"/>
    </w:rPr>
  </w:style>
  <w:style w:type="paragraph" w:customStyle="1" w:styleId="11">
    <w:name w:val="Table Paragraph"/>
    <w:basedOn w:val="1"/>
    <w:qFormat/>
    <w:uiPriority w:val="1"/>
    <w:pPr>
      <w:widowControl/>
      <w:jc w:val="left"/>
    </w:pPr>
  </w:style>
  <w:style w:type="paragraph" w:customStyle="1" w:styleId="12">
    <w:name w:val="表格样式"/>
    <w:basedOn w:val="3"/>
    <w:link w:val="13"/>
    <w:qFormat/>
    <w:uiPriority w:val="1"/>
    <w:pPr>
      <w:jc w:val="center"/>
    </w:pPr>
    <w:rPr>
      <w:b/>
    </w:rPr>
  </w:style>
  <w:style w:type="character" w:customStyle="1" w:styleId="13">
    <w:name w:val="表格样式 Char"/>
    <w:basedOn w:val="10"/>
    <w:link w:val="12"/>
    <w:qFormat/>
    <w:uiPriority w:val="1"/>
    <w:rPr>
      <w:b/>
    </w:rPr>
  </w:style>
  <w:style w:type="character" w:customStyle="1" w:styleId="14">
    <w:name w:val="标题 3 Char"/>
    <w:basedOn w:val="7"/>
    <w:link w:val="2"/>
    <w:qFormat/>
    <w:uiPriority w:val="1"/>
    <w:rPr>
      <w:rFonts w:ascii="微软雅黑" w:eastAsia="微软雅黑" w:cs="微软雅黑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663</Characters>
  <Lines>22</Lines>
  <Paragraphs>6</Paragraphs>
  <TotalTime>0</TotalTime>
  <ScaleCrop>false</ScaleCrop>
  <LinksUpToDate>false</LinksUpToDate>
  <CharactersWithSpaces>663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2022-05-31T00:48:00Z</dcterms:created>
  <dc:creator>Admin</dc:creator>
  <cp:lastModifiedBy>壹</cp:lastModifiedBy>
  <dcterms:modified xsi:type="dcterms:W3CDTF">2022-06-06T02:31:37Z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47124E9ABD504DA682CF29B35A050625</vt:lpwstr>
  </property>
</Properties>
</file>