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00" w:after="100" w:line="640" w:lineRule="exact"/>
        <w:jc w:val="center"/>
        <w:rPr>
          <w:rFonts w:hint="eastAsia" w:ascii="华文中宋" w:hAnsi="华文中宋" w:eastAsia="华文中宋"/>
          <w:b/>
          <w:bCs/>
          <w:color w:val="000000"/>
          <w:sz w:val="44"/>
          <w:szCs w:val="44"/>
        </w:rPr>
      </w:pPr>
    </w:p>
    <w:p>
      <w:pPr>
        <w:pStyle w:val="8"/>
        <w:spacing w:before="100" w:after="100" w:line="640" w:lineRule="exact"/>
        <w:jc w:val="both"/>
        <w:rPr>
          <w:rFonts w:hint="eastAsia" w:ascii="华文中宋" w:hAnsi="华文中宋" w:eastAsia="华文中宋"/>
          <w:b/>
          <w:bCs/>
          <w:color w:val="000000"/>
          <w:sz w:val="44"/>
          <w:szCs w:val="44"/>
        </w:rPr>
      </w:pPr>
      <w:bookmarkStart w:id="0" w:name="_GoBack"/>
      <w:bookmarkEnd w:id="0"/>
    </w:p>
    <w:p>
      <w:pPr>
        <w:pStyle w:val="8"/>
        <w:spacing w:before="100" w:after="100" w:line="640" w:lineRule="exact"/>
        <w:jc w:val="center"/>
        <w:rPr>
          <w:rFonts w:hint="eastAsia" w:ascii="华文中宋" w:hAnsi="华文中宋" w:eastAsia="华文中宋"/>
          <w:b/>
          <w:bCs/>
          <w:color w:val="000000"/>
          <w:sz w:val="44"/>
          <w:szCs w:val="44"/>
        </w:rPr>
      </w:pPr>
    </w:p>
    <w:p>
      <w:pPr>
        <w:pStyle w:val="8"/>
        <w:spacing w:before="100" w:after="100" w:line="640" w:lineRule="exact"/>
        <w:jc w:val="center"/>
        <w:rPr>
          <w:rFonts w:hint="eastAsia" w:ascii="华文中宋" w:hAnsi="华文中宋" w:eastAsia="华文中宋"/>
          <w:b/>
          <w:bCs/>
          <w:color w:val="000000"/>
          <w:sz w:val="44"/>
          <w:szCs w:val="44"/>
        </w:rPr>
      </w:pPr>
    </w:p>
    <w:p>
      <w:pPr>
        <w:rPr>
          <w:rFonts w:hint="eastAsia" w:ascii="仿宋_GB2312" w:eastAsia="仿宋_GB2312"/>
          <w:color w:val="FF0000"/>
          <w:sz w:val="32"/>
          <w:szCs w:val="32"/>
          <w:lang w:eastAsia="zh-CN"/>
        </w:rPr>
      </w:pPr>
    </w:p>
    <w:p>
      <w:pPr>
        <w:ind w:firstLine="2560" w:firstLineChars="800"/>
        <w:jc w:val="both"/>
        <w:rPr>
          <w:rFonts w:hint="eastAsia"/>
          <w:color w:val="000000" w:themeColor="text1"/>
          <w:sz w:val="24"/>
          <w:szCs w:val="24"/>
        </w:rPr>
      </w:pPr>
      <w:r>
        <w:rPr>
          <w:rFonts w:hint="eastAsia" w:ascii="仿宋_GB2312" w:eastAsia="仿宋_GB2312"/>
          <w:color w:val="000000" w:themeColor="text1"/>
          <w:sz w:val="32"/>
          <w:szCs w:val="32"/>
          <w:lang w:eastAsia="zh-CN"/>
        </w:rPr>
        <w:t>雷</w:t>
      </w:r>
      <w:r>
        <w:rPr>
          <w:rFonts w:ascii="仿宋_GB2312" w:eastAsia="仿宋_GB2312"/>
          <w:color w:val="000000" w:themeColor="text1"/>
          <w:sz w:val="32"/>
          <w:szCs w:val="32"/>
        </w:rPr>
        <w:t>农</w:t>
      </w:r>
      <w:r>
        <w:rPr>
          <w:rFonts w:hint="eastAsia" w:ascii="仿宋_GB2312" w:eastAsia="仿宋_GB2312"/>
          <w:color w:val="000000" w:themeColor="text1"/>
          <w:sz w:val="32"/>
          <w:szCs w:val="32"/>
          <w:lang w:eastAsia="zh-CN"/>
        </w:rPr>
        <w:t>农</w:t>
      </w:r>
      <w:r>
        <w:rPr>
          <w:rFonts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2020</w:t>
      </w:r>
      <w:r>
        <w:rPr>
          <w:rFonts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157</w:t>
      </w:r>
      <w:r>
        <w:rPr>
          <w:rFonts w:ascii="仿宋_GB2312" w:eastAsia="仿宋_GB2312"/>
          <w:color w:val="000000" w:themeColor="text1"/>
          <w:sz w:val="32"/>
          <w:szCs w:val="32"/>
        </w:rPr>
        <w:t>号</w:t>
      </w:r>
    </w:p>
    <w:p>
      <w:pPr>
        <w:spacing w:line="240" w:lineRule="auto"/>
        <w:jc w:val="center"/>
        <w:rPr>
          <w:rFonts w:hint="eastAsia" w:ascii="华文中宋" w:hAnsi="华文中宋" w:eastAsia="华文中宋"/>
          <w:b/>
          <w:bCs/>
          <w:color w:val="000000"/>
          <w:sz w:val="44"/>
          <w:szCs w:val="44"/>
        </w:rPr>
      </w:pPr>
    </w:p>
    <w:p>
      <w:pPr>
        <w:pStyle w:val="8"/>
        <w:spacing w:before="100" w:after="100" w:line="640" w:lineRule="exact"/>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关于印发《雷州市县级重点农业龙头企业</w:t>
      </w:r>
    </w:p>
    <w:p>
      <w:pPr>
        <w:pStyle w:val="8"/>
        <w:spacing w:before="100" w:after="100" w:line="640" w:lineRule="exact"/>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申报认定办法（试行）》的通知</w:t>
      </w:r>
    </w:p>
    <w:p>
      <w:pPr>
        <w:pStyle w:val="4"/>
        <w:snapToGrid w:val="0"/>
        <w:spacing w:line="580" w:lineRule="exact"/>
        <w:jc w:val="both"/>
        <w:rPr>
          <w:rFonts w:hint="eastAsia" w:ascii="仿宋_GB2312" w:hAnsi="Times New Roman" w:eastAsia="仿宋_GB2312"/>
          <w:kern w:val="2"/>
          <w:sz w:val="32"/>
          <w:szCs w:val="32"/>
        </w:rPr>
      </w:pPr>
    </w:p>
    <w:p>
      <w:pPr>
        <w:pStyle w:val="4"/>
        <w:snapToGrid w:val="0"/>
        <w:spacing w:line="360" w:lineRule="auto"/>
        <w:jc w:val="both"/>
        <w:rPr>
          <w:rFonts w:ascii="仿宋_GB2312" w:hAnsi="Times New Roman" w:eastAsia="仿宋_GB2312"/>
          <w:kern w:val="2"/>
          <w:sz w:val="32"/>
          <w:szCs w:val="32"/>
        </w:rPr>
      </w:pPr>
      <w:r>
        <w:rPr>
          <w:rFonts w:hint="eastAsia" w:ascii="仿宋_GB2312" w:hAnsi="Times New Roman" w:eastAsia="仿宋_GB2312"/>
          <w:kern w:val="2"/>
          <w:sz w:val="32"/>
          <w:szCs w:val="32"/>
        </w:rPr>
        <w:t>各镇政府（街道办）</w:t>
      </w:r>
      <w:r>
        <w:rPr>
          <w:rFonts w:hint="eastAsia" w:ascii="仿宋_GB2312" w:hAnsi="Times New Roman" w:eastAsia="仿宋_GB2312"/>
          <w:kern w:val="2"/>
          <w:sz w:val="32"/>
          <w:szCs w:val="32"/>
          <w:lang w:eastAsia="zh-CN"/>
        </w:rPr>
        <w:t>，</w:t>
      </w:r>
      <w:r>
        <w:rPr>
          <w:rFonts w:hint="eastAsia" w:ascii="仿宋_GB2312" w:hAnsi="Times New Roman" w:eastAsia="仿宋_GB2312"/>
          <w:kern w:val="2"/>
          <w:sz w:val="32"/>
          <w:szCs w:val="32"/>
        </w:rPr>
        <w:t>市直有关单位：</w:t>
      </w:r>
    </w:p>
    <w:p>
      <w:pPr>
        <w:pStyle w:val="4"/>
        <w:snapToGrid w:val="0"/>
        <w:spacing w:line="360" w:lineRule="auto"/>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《雷州市县级重点农业龙头企业申报认定办法（试行）》业经市人民政府同意，现予印发，请遵照执行。</w:t>
      </w:r>
    </w:p>
    <w:p>
      <w:pPr>
        <w:pStyle w:val="4"/>
        <w:snapToGrid w:val="0"/>
        <w:spacing w:line="580" w:lineRule="exact"/>
        <w:jc w:val="both"/>
        <w:rPr>
          <w:rFonts w:hint="eastAsia" w:ascii="仿宋_GB2312" w:hAnsi="Times New Roman" w:eastAsia="仿宋_GB2312"/>
          <w:kern w:val="2"/>
          <w:sz w:val="32"/>
          <w:szCs w:val="32"/>
        </w:rPr>
      </w:pPr>
    </w:p>
    <w:p>
      <w:pPr>
        <w:pStyle w:val="4"/>
        <w:snapToGrid w:val="0"/>
        <w:spacing w:line="580" w:lineRule="exact"/>
        <w:jc w:val="both"/>
        <w:rPr>
          <w:rFonts w:hint="eastAsia" w:ascii="仿宋_GB2312" w:hAnsi="Times New Roman" w:eastAsia="仿宋_GB2312"/>
          <w:kern w:val="2"/>
          <w:sz w:val="32"/>
          <w:szCs w:val="32"/>
        </w:rPr>
      </w:pPr>
    </w:p>
    <w:p>
      <w:pPr>
        <w:pStyle w:val="4"/>
        <w:snapToGrid w:val="0"/>
        <w:spacing w:line="580" w:lineRule="exact"/>
        <w:ind w:firstLine="4800" w:firstLineChars="15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雷州市农业农村局</w:t>
      </w:r>
    </w:p>
    <w:p>
      <w:pPr>
        <w:pStyle w:val="4"/>
        <w:snapToGrid w:val="0"/>
        <w:spacing w:line="580" w:lineRule="exact"/>
        <w:ind w:firstLine="4800" w:firstLineChars="15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2020年</w:t>
      </w:r>
      <w:r>
        <w:rPr>
          <w:rFonts w:hint="eastAsia" w:ascii="仿宋_GB2312" w:hAnsi="Times New Roman" w:eastAsia="仿宋_GB2312"/>
          <w:kern w:val="2"/>
          <w:sz w:val="32"/>
          <w:szCs w:val="32"/>
          <w:lang w:val="en-US" w:eastAsia="zh-CN"/>
        </w:rPr>
        <w:t>11</w:t>
      </w:r>
      <w:r>
        <w:rPr>
          <w:rFonts w:hint="eastAsia" w:ascii="仿宋_GB2312" w:hAnsi="Times New Roman" w:eastAsia="仿宋_GB2312"/>
          <w:kern w:val="2"/>
          <w:sz w:val="32"/>
          <w:szCs w:val="32"/>
        </w:rPr>
        <w:t>月</w:t>
      </w:r>
      <w:r>
        <w:rPr>
          <w:rFonts w:hint="eastAsia" w:ascii="仿宋_GB2312" w:hAnsi="Times New Roman" w:eastAsia="仿宋_GB2312"/>
          <w:kern w:val="2"/>
          <w:sz w:val="32"/>
          <w:szCs w:val="32"/>
          <w:lang w:val="en-US" w:eastAsia="zh-CN"/>
        </w:rPr>
        <w:t>3</w:t>
      </w:r>
      <w:r>
        <w:rPr>
          <w:rFonts w:hint="eastAsia" w:ascii="仿宋_GB2312" w:hAnsi="Times New Roman" w:eastAsia="仿宋_GB2312"/>
          <w:kern w:val="2"/>
          <w:sz w:val="32"/>
          <w:szCs w:val="32"/>
        </w:rPr>
        <w:t>日</w:t>
      </w:r>
    </w:p>
    <w:p>
      <w:pPr>
        <w:rPr>
          <w:rFonts w:hint="eastAsia" w:ascii="仿宋_GB2312" w:eastAsia="仿宋_GB2312"/>
          <w:sz w:val="32"/>
          <w:szCs w:val="32"/>
        </w:rPr>
      </w:pPr>
    </w:p>
    <w:p>
      <w:pPr>
        <w:pStyle w:val="8"/>
        <w:spacing w:before="100" w:after="100" w:line="640" w:lineRule="exact"/>
        <w:jc w:val="center"/>
        <w:rPr>
          <w:rFonts w:hint="eastAsia" w:ascii="宋体" w:hAnsi="宋体" w:cs="宋体"/>
          <w:b/>
          <w:bCs/>
          <w:color w:val="000000"/>
          <w:sz w:val="44"/>
          <w:szCs w:val="44"/>
        </w:rPr>
        <w:sectPr>
          <w:footerReference r:id="rId3" w:type="default"/>
          <w:pgSz w:w="11906" w:h="16838"/>
          <w:pgMar w:top="1440" w:right="1800" w:bottom="1440" w:left="1800" w:header="851" w:footer="1417" w:gutter="0"/>
          <w:pgNumType w:fmt="numberInDash"/>
          <w:cols w:space="720" w:num="1"/>
          <w:docGrid w:type="lines" w:linePitch="595" w:charSpace="0"/>
        </w:sectPr>
      </w:pPr>
    </w:p>
    <w:p>
      <w:pPr>
        <w:pStyle w:val="8"/>
        <w:spacing w:before="100" w:after="100" w:line="640" w:lineRule="exact"/>
        <w:jc w:val="center"/>
        <w:rPr>
          <w:rFonts w:ascii="宋体" w:hAnsi="宋体" w:cs="宋体"/>
          <w:b/>
          <w:bCs/>
          <w:color w:val="000000"/>
          <w:sz w:val="44"/>
          <w:szCs w:val="44"/>
        </w:rPr>
      </w:pPr>
      <w:r>
        <w:rPr>
          <w:rFonts w:hint="eastAsia" w:ascii="宋体" w:hAnsi="宋体" w:cs="宋体"/>
          <w:b/>
          <w:bCs/>
          <w:color w:val="000000"/>
          <w:sz w:val="44"/>
          <w:szCs w:val="44"/>
        </w:rPr>
        <w:t>雷州市县级重点农业龙头企业申报</w:t>
      </w:r>
    </w:p>
    <w:p>
      <w:pPr>
        <w:pStyle w:val="8"/>
        <w:wordWrap w:val="0"/>
        <w:spacing w:before="100" w:after="100" w:line="640" w:lineRule="exact"/>
        <w:jc w:val="center"/>
        <w:rPr>
          <w:rFonts w:ascii="宋体" w:hAnsi="宋体" w:cs="宋体"/>
          <w:b/>
          <w:bCs/>
          <w:color w:val="000000"/>
          <w:sz w:val="28"/>
          <w:szCs w:val="28"/>
        </w:rPr>
      </w:pPr>
      <w:r>
        <w:rPr>
          <w:rFonts w:hint="eastAsia" w:ascii="宋体" w:hAnsi="宋体" w:cs="宋体"/>
          <w:b/>
          <w:bCs/>
          <w:color w:val="000000"/>
          <w:sz w:val="44"/>
          <w:szCs w:val="44"/>
        </w:rPr>
        <w:t xml:space="preserve"> 认定办法（试行）</w:t>
      </w:r>
    </w:p>
    <w:p>
      <w:pPr>
        <w:pStyle w:val="8"/>
        <w:wordWrap w:val="0"/>
        <w:spacing w:before="100" w:after="100" w:line="560" w:lineRule="atLeast"/>
        <w:ind w:firstLine="2850"/>
        <w:rPr>
          <w:rFonts w:ascii="宋体" w:hAnsi="宋体" w:cs="宋体"/>
          <w:b/>
          <w:sz w:val="32"/>
          <w:szCs w:val="32"/>
        </w:rPr>
      </w:pPr>
    </w:p>
    <w:p>
      <w:pPr>
        <w:pStyle w:val="8"/>
        <w:wordWrap w:val="0"/>
        <w:spacing w:before="100" w:after="100" w:line="560" w:lineRule="atLeast"/>
        <w:ind w:firstLine="2850"/>
        <w:rPr>
          <w:rFonts w:ascii="仿宋_GB2312" w:hAnsi="宋体" w:eastAsia="仿宋_GB2312" w:cs="宋体"/>
          <w:b/>
          <w:color w:val="000000" w:themeColor="text1"/>
          <w:sz w:val="32"/>
          <w:szCs w:val="32"/>
        </w:rPr>
      </w:pPr>
      <w:r>
        <w:rPr>
          <w:rFonts w:hint="eastAsia" w:ascii="宋体" w:hAnsi="宋体" w:cs="宋体"/>
          <w:b/>
          <w:sz w:val="32"/>
          <w:szCs w:val="32"/>
        </w:rPr>
        <w:t xml:space="preserve"> </w:t>
      </w:r>
      <w:r>
        <w:rPr>
          <w:rFonts w:hint="eastAsia" w:ascii="宋体" w:hAnsi="宋体" w:cs="宋体"/>
          <w:b/>
          <w:color w:val="000000" w:themeColor="text1"/>
          <w:sz w:val="32"/>
          <w:szCs w:val="32"/>
        </w:rPr>
        <w:t xml:space="preserve"> </w:t>
      </w:r>
      <w:r>
        <w:rPr>
          <w:rFonts w:hint="eastAsia" w:ascii="仿宋_GB2312" w:hAnsi="宋体" w:eastAsia="仿宋_GB2312" w:cs="宋体"/>
          <w:b/>
          <w:color w:val="000000" w:themeColor="text1"/>
          <w:sz w:val="32"/>
          <w:szCs w:val="32"/>
        </w:rPr>
        <w:t>第一章 总 则</w:t>
      </w:r>
    </w:p>
    <w:p>
      <w:pPr>
        <w:pStyle w:val="8"/>
        <w:wordWrap w:val="0"/>
        <w:spacing w:before="100" w:after="100" w:line="560" w:lineRule="atLeast"/>
        <w:ind w:firstLine="2850"/>
        <w:rPr>
          <w:rFonts w:ascii="仿宋_GB2312" w:hAnsi="宋体" w:eastAsia="仿宋_GB2312" w:cs="宋体"/>
          <w:b/>
          <w:color w:val="000000" w:themeColor="text1"/>
          <w:sz w:val="32"/>
          <w:szCs w:val="32"/>
        </w:rPr>
      </w:pPr>
    </w:p>
    <w:p>
      <w:pPr>
        <w:pStyle w:val="8"/>
        <w:wordWrap w:val="0"/>
        <w:spacing w:before="100" w:after="100" w:line="560" w:lineRule="atLeast"/>
        <w:ind w:firstLine="67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第一条</w:t>
      </w:r>
      <w:r>
        <w:rPr>
          <w:rFonts w:hint="eastAsia" w:ascii="仿宋_GB2312" w:hAnsi="宋体" w:eastAsia="仿宋_GB2312" w:cs="宋体"/>
          <w:color w:val="000000" w:themeColor="text1"/>
          <w:sz w:val="32"/>
          <w:szCs w:val="32"/>
        </w:rPr>
        <w:t xml:space="preserve"> 为规范我市县级重点农业龙头企业的申报和认定工作，</w:t>
      </w:r>
      <w:r>
        <w:rPr>
          <w:rFonts w:hint="eastAsia" w:ascii="仿宋_GB2312" w:hAnsi="宋体" w:eastAsia="仿宋_GB2312" w:cs="宋体"/>
          <w:color w:val="000000" w:themeColor="text1"/>
          <w:sz w:val="32"/>
          <w:szCs w:val="32"/>
          <w:shd w:val="clear" w:color="auto" w:fill="FFFFFF"/>
        </w:rPr>
        <w:t>根据《</w:t>
      </w:r>
      <w:r>
        <w:rPr>
          <w:rFonts w:hint="eastAsia" w:ascii="仿宋_GB2312" w:hAnsi="宋体" w:eastAsia="仿宋_GB2312" w:cs="宋体"/>
          <w:color w:val="000000" w:themeColor="text1"/>
          <w:sz w:val="32"/>
          <w:szCs w:val="32"/>
        </w:rPr>
        <w:t>国务院关于支持农业产业化龙头企业发展的意见</w:t>
      </w:r>
      <w:r>
        <w:rPr>
          <w:rFonts w:hint="eastAsia" w:ascii="仿宋_GB2312" w:hAnsi="宋体" w:eastAsia="仿宋_GB2312" w:cs="宋体"/>
          <w:color w:val="000000" w:themeColor="text1"/>
          <w:sz w:val="32"/>
          <w:szCs w:val="32"/>
          <w:shd w:val="clear" w:color="auto" w:fill="FFFFFF"/>
        </w:rPr>
        <w:t>》(</w:t>
      </w:r>
      <w:r>
        <w:rPr>
          <w:rFonts w:hint="eastAsia" w:ascii="仿宋_GB2312" w:hAnsi="宋体" w:eastAsia="仿宋_GB2312" w:cs="宋体"/>
          <w:color w:val="000000" w:themeColor="text1"/>
          <w:sz w:val="32"/>
          <w:szCs w:val="32"/>
        </w:rPr>
        <w:t>国发〔2012〕10号</w:t>
      </w:r>
      <w:r>
        <w:rPr>
          <w:rFonts w:hint="eastAsia" w:ascii="仿宋_GB2312" w:hAnsi="宋体" w:eastAsia="仿宋_GB2312" w:cs="宋体"/>
          <w:color w:val="000000" w:themeColor="text1"/>
          <w:sz w:val="32"/>
          <w:szCs w:val="32"/>
          <w:shd w:val="clear" w:color="auto" w:fill="FFFFFF"/>
        </w:rPr>
        <w:t>)、《广东省人民政府办公厅关于进一步支持农业龙头企业加快发展的意见》（粤府办〔2016〕136号），参照《</w:t>
      </w:r>
      <w:r>
        <w:rPr>
          <w:rFonts w:hint="eastAsia" w:ascii="仿宋_GB2312" w:hAnsi="宋体" w:eastAsia="仿宋_GB2312" w:cs="宋体"/>
          <w:color w:val="000000" w:themeColor="text1"/>
          <w:sz w:val="32"/>
          <w:szCs w:val="32"/>
        </w:rPr>
        <w:t>湛江市重点农业龙头企业申报认定与监测管理办法》（湛农通〔2016〕187号）</w:t>
      </w:r>
      <w:r>
        <w:rPr>
          <w:rFonts w:hint="eastAsia" w:ascii="仿宋_GB2312" w:hAnsi="宋体" w:eastAsia="仿宋_GB2312" w:cs="宋体"/>
          <w:color w:val="000000" w:themeColor="text1"/>
          <w:sz w:val="32"/>
          <w:szCs w:val="32"/>
          <w:shd w:val="clear" w:color="auto" w:fill="FFFFFF"/>
        </w:rPr>
        <w:t>，</w:t>
      </w:r>
      <w:r>
        <w:rPr>
          <w:rFonts w:hint="eastAsia" w:ascii="仿宋_GB2312" w:hAnsi="宋体" w:eastAsia="仿宋_GB2312" w:cs="宋体"/>
          <w:color w:val="000000" w:themeColor="text1"/>
          <w:sz w:val="32"/>
          <w:szCs w:val="32"/>
        </w:rPr>
        <w:t>结合我市实际，制定本办法。</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b/>
          <w:bCs/>
          <w:color w:val="000000" w:themeColor="text1"/>
          <w:sz w:val="32"/>
          <w:szCs w:val="32"/>
        </w:rPr>
        <w:t>第二条</w:t>
      </w:r>
      <w:r>
        <w:rPr>
          <w:rFonts w:hint="eastAsia" w:ascii="仿宋_GB2312" w:hAnsi="宋体" w:eastAsia="仿宋_GB2312" w:cs="宋体"/>
          <w:color w:val="000000" w:themeColor="text1"/>
          <w:sz w:val="32"/>
          <w:szCs w:val="32"/>
        </w:rPr>
        <w:t xml:space="preserve"> 本办法所指雷州市县级重点农业龙头企业，是指在我市行政区域内以农产品生产、加工、流通和农业科技推广类企业为主业，通过各种利益联结机制带动农户，在经营规模、企业效益和辐射带动农户能力等方面达到规定标准，守法经营，财务管理规范，经雷州市政府批准确认的农业企业。</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b/>
          <w:bCs/>
          <w:color w:val="000000" w:themeColor="text1"/>
          <w:sz w:val="32"/>
          <w:szCs w:val="32"/>
        </w:rPr>
        <w:t>第三条</w:t>
      </w:r>
      <w:r>
        <w:rPr>
          <w:rFonts w:hint="eastAsia" w:ascii="仿宋_GB2312" w:hAnsi="宋体" w:eastAsia="仿宋_GB2312" w:cs="宋体"/>
          <w:color w:val="000000" w:themeColor="text1"/>
          <w:sz w:val="32"/>
          <w:szCs w:val="32"/>
        </w:rPr>
        <w:t xml:space="preserve"> 对县级重点农业龙头企业的认定工作遵循市场经济规律，坚持“公开、公平、公正、择优、自愿”的原则，引进竞争淘汰机制，发挥中介组织作用，不干预企业自主经营权。</w:t>
      </w:r>
    </w:p>
    <w:p>
      <w:pPr>
        <w:pStyle w:val="8"/>
        <w:wordWrap w:val="0"/>
        <w:spacing w:before="100" w:after="100" w:line="560" w:lineRule="atLeast"/>
        <w:ind w:firstLine="66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第四条</w:t>
      </w:r>
      <w:r>
        <w:rPr>
          <w:rFonts w:hint="eastAsia" w:ascii="仿宋_GB2312" w:hAnsi="宋体" w:eastAsia="仿宋_GB2312" w:cs="宋体"/>
          <w:color w:val="000000" w:themeColor="text1"/>
          <w:sz w:val="32"/>
          <w:szCs w:val="32"/>
        </w:rPr>
        <w:t xml:space="preserve"> 县级重点农业龙头企业按规定享受国家政策扶持和省、市、县各级有关政策优惠。</w:t>
      </w:r>
    </w:p>
    <w:p>
      <w:pPr>
        <w:pStyle w:val="8"/>
        <w:wordWrap w:val="0"/>
        <w:spacing w:before="100" w:after="100" w:line="560" w:lineRule="atLeast"/>
        <w:jc w:val="center"/>
        <w:rPr>
          <w:rFonts w:ascii="仿宋_GB2312" w:hAnsi="宋体" w:eastAsia="仿宋_GB2312" w:cs="宋体"/>
          <w:b/>
          <w:color w:val="000000" w:themeColor="text1"/>
          <w:sz w:val="32"/>
          <w:szCs w:val="32"/>
        </w:rPr>
      </w:pPr>
    </w:p>
    <w:p>
      <w:pPr>
        <w:pStyle w:val="8"/>
        <w:wordWrap w:val="0"/>
        <w:spacing w:before="100" w:after="100" w:line="560" w:lineRule="atLeast"/>
        <w:jc w:val="center"/>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rPr>
        <w:t>第二章 认定标准</w:t>
      </w:r>
    </w:p>
    <w:p>
      <w:pPr>
        <w:pStyle w:val="8"/>
        <w:wordWrap w:val="0"/>
        <w:spacing w:before="100" w:after="100" w:line="560" w:lineRule="atLeast"/>
        <w:jc w:val="center"/>
        <w:rPr>
          <w:rFonts w:ascii="仿宋_GB2312" w:hAnsi="宋体" w:eastAsia="仿宋_GB2312" w:cs="宋体"/>
          <w:b/>
          <w:color w:val="000000" w:themeColor="text1"/>
          <w:sz w:val="32"/>
          <w:szCs w:val="32"/>
        </w:rPr>
      </w:pP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b/>
          <w:bCs/>
          <w:color w:val="000000" w:themeColor="text1"/>
          <w:sz w:val="32"/>
          <w:szCs w:val="32"/>
        </w:rPr>
        <w:t>第五条</w:t>
      </w:r>
      <w:r>
        <w:rPr>
          <w:rFonts w:hint="eastAsia" w:ascii="仿宋_GB2312" w:hAnsi="宋体" w:eastAsia="仿宋_GB2312" w:cs="宋体"/>
          <w:color w:val="000000" w:themeColor="text1"/>
          <w:sz w:val="32"/>
          <w:szCs w:val="32"/>
        </w:rPr>
        <w:t xml:space="preserve"> 县级重点农业龙头企业的认定标准，共七大类考核指标，考核以百分制计分。</w:t>
      </w:r>
    </w:p>
    <w:p>
      <w:pPr>
        <w:pStyle w:val="8"/>
        <w:wordWrap w:val="0"/>
        <w:spacing w:before="100" w:after="100" w:line="560" w:lineRule="atLeast"/>
        <w:ind w:firstLine="48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（一）企业类型</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依法设立的具有独立法人资格的农产品生产、加工、流通或农业科技推广类企业，包括国有、集体、私营、中外合资、中外合作、外商独资企业及农产品专业（综合）批发市场等。</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县级重点农业龙头企业经营农产品营业额必须占企业经营总额的70%以上。</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（二）企业规模</w:t>
      </w:r>
      <w:r>
        <w:rPr>
          <w:rFonts w:hint="eastAsia" w:ascii="仿宋_GB2312" w:hAnsi="宋体" w:eastAsia="仿宋_GB2312" w:cs="宋体"/>
          <w:color w:val="000000" w:themeColor="text1"/>
          <w:sz w:val="32"/>
          <w:szCs w:val="32"/>
        </w:rPr>
        <w:t>（以具有国家认可资质的中介机构审核数据为准，25分）</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分别按农产品生产型龙头企业，农产品加工、流通型龙头企业，农产品市场带动型龙头企业以及农业科技推广类龙头企业等四种类型企业，根据注册资本、资产总值、固定资产、年销售收入等四项指标进行考核。</w:t>
      </w:r>
    </w:p>
    <w:p>
      <w:pPr>
        <w:pStyle w:val="8"/>
        <w:wordWrap w:val="0"/>
        <w:spacing w:before="100" w:after="100" w:line="560" w:lineRule="atLeast"/>
        <w:ind w:firstLine="47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 xml:space="preserve"> 1、农产品生产型</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（1）年销售收入：达到500万元的计20分，达不到的计0分；超过500万元的，每超过100万元增计1分，最高增计5分。</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（2）注册资本（金）：50万元以上（含50万元），达不到的不得评为县级重点农业龙头企业。</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（3）资产总值和固定资产：资产总值在250万元以上（含250万元），其中固定资产在50万元以上（含50万元），若两项达不到的不得评为县级重点农业龙头企业。</w:t>
      </w:r>
    </w:p>
    <w:p>
      <w:pPr>
        <w:pStyle w:val="8"/>
        <w:wordWrap w:val="0"/>
        <w:spacing w:before="100" w:after="100" w:line="560" w:lineRule="atLeast"/>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 xml:space="preserve">    2、农产品加工、流通型</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（1）年销售收入：达到650万元的计20分，达不到的计0分；超过650万元的，每超过150万元增计1分，最高增计5分。</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（2）注册资本（金）：100万元以上（含100万元），达不到的不得评为县级重点农业龙头企业。</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（3）资产总值和固定资产：资产总值在500万元以上（含500万元），其中固定资产在100万元以上（含100万元），若两项达不到的不得评为县级重点农业龙头企业。</w:t>
      </w:r>
    </w:p>
    <w:p>
      <w:pPr>
        <w:pStyle w:val="8"/>
        <w:wordWrap w:val="0"/>
        <w:spacing w:before="100" w:after="100" w:line="560" w:lineRule="atLeast"/>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 xml:space="preserve">    3、农产品市场带动型</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（1）年交易（经销）额：1亿元的计20分，达不到的计0分；超过1亿元的，每超过2500万元增计1分，最高增计5分。</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（2）注册资本（金）：200万元以上（含200万元），达不到的不得评为县级重点农业龙头企业。</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（3）资产总值和固定资产：资产总值在2000万元以上（含2000万元），其中固定资产在1000万元以上（含1000万元），若两项达不到的不得评为县级重点农业龙头企业。</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4、农业科技推广类企业</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鉴于该类企业的特殊性，不作规模上的具体限定。对其考核与认定由市派出的考核组按照有关规定进行考核，考核结果经市主管部门审定后报市政府确认。</w:t>
      </w:r>
    </w:p>
    <w:p>
      <w:pPr>
        <w:pStyle w:val="8"/>
        <w:wordWrap w:val="0"/>
        <w:spacing w:before="100" w:after="100" w:line="560" w:lineRule="atLeast"/>
        <w:ind w:firstLine="48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（三）企业信用（以相关部门证明为准，15分）</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1、企业审核年度参照国家税务总局《纳税信用等级评定管理试行办法》（国税发〔2003〕92号），没有税收违法记录，符合Ａ级纳税人条件的计5分；符合Ｂ级纳税人条件的计3分；符合Ｃ级纳税人条件的计2分；符合Ｄ级纳税人条件的计0分。</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2、未发现企业拖、欠职工工资的记5分，不达标的记0分。</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3、企业银行信用等级达到A级以上（含A级）的计5分， A级以下的计0分。企业因没有发生贷款而没有银行信用评级，且在金融部门没有不良记录的视同银行信用等级达到A级。</w:t>
      </w:r>
    </w:p>
    <w:p>
      <w:pPr>
        <w:pStyle w:val="8"/>
        <w:wordWrap w:val="0"/>
        <w:spacing w:before="100" w:after="100" w:line="560" w:lineRule="atLeast"/>
        <w:ind w:firstLine="47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（四）企业资产负债率（以具备国家认可资质的中介机构审核数据为准，5分）</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企业资产负债率在70%以下（含70%）的计5分，高于70%的计0分。</w:t>
      </w:r>
    </w:p>
    <w:p>
      <w:pPr>
        <w:pStyle w:val="8"/>
        <w:wordWrap w:val="0"/>
        <w:spacing w:before="100" w:after="100" w:line="560" w:lineRule="atLeast"/>
        <w:ind w:firstLine="47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（五）企业带动农户能力（以企业与农民合作经济组织、专业大户、农村经纪人、农户或村集体经济组织签订经济合同、契约或“订单农业”方式为准，35分）</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企业通过与农民合作经济组织、专业大户、农村经纪人、农户或村集体经济组织签订经济合同，或以委托生产、订单农业、入股分红和利润返还等形式，明确企业与农户各自的权利、义务和违约责任。建立可靠、稳定的利益联结机制带动农户。</w:t>
      </w:r>
    </w:p>
    <w:p>
      <w:pPr>
        <w:pStyle w:val="8"/>
        <w:wordWrap w:val="0"/>
        <w:spacing w:before="100" w:after="100" w:line="560" w:lineRule="atLeast"/>
        <w:ind w:firstLine="47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bCs/>
          <w:color w:val="000000" w:themeColor="text1"/>
          <w:sz w:val="32"/>
          <w:szCs w:val="32"/>
        </w:rPr>
        <w:t>1、企业带动本市农户200户的计15分，达不到的计0分，每增加50户，增计1分，最高增计5分；</w:t>
      </w:r>
      <w:r>
        <w:rPr>
          <w:rFonts w:hint="eastAsia" w:ascii="仿宋_GB2312" w:hAnsi="宋体" w:eastAsia="仿宋_GB2312" w:cs="宋体"/>
          <w:color w:val="000000" w:themeColor="text1"/>
          <w:sz w:val="32"/>
          <w:szCs w:val="32"/>
        </w:rPr>
        <w:t>单纯带动养殖业（含畜、禽、渔及珍稀动物养殖）农户的企业，带动本市养殖业（含畜禽渔及珍稀动物养殖）农户100户计15分，达不到的计0分，每增加50户增计1分，最高增计5分。</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bCs/>
          <w:color w:val="000000" w:themeColor="text1"/>
          <w:sz w:val="32"/>
          <w:szCs w:val="32"/>
        </w:rPr>
        <w:t>2、企业所带动的农户从产业化经营中户均年增加纯收入1000元的计10分，达不到的计0分，户均年增加纯收入超过1000元的，每增加500元增计1分，最高增计5分</w:t>
      </w:r>
      <w:r>
        <w:rPr>
          <w:rFonts w:hint="eastAsia" w:ascii="仿宋_GB2312" w:hAnsi="宋体" w:eastAsia="仿宋_GB2312" w:cs="宋体"/>
          <w:color w:val="000000" w:themeColor="text1"/>
          <w:sz w:val="32"/>
          <w:szCs w:val="32"/>
        </w:rPr>
        <w:t>。</w:t>
      </w:r>
    </w:p>
    <w:p>
      <w:pPr>
        <w:pStyle w:val="8"/>
        <w:wordWrap w:val="0"/>
        <w:spacing w:before="100" w:after="100" w:line="560" w:lineRule="atLeast"/>
        <w:ind w:firstLine="472"/>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（六）企业生产基地。以企业依法取得的土地使用凭证,或与有关单位、农民集体、个人依法签订设施(或用地)使用合同、协议为准，计10分。</w:t>
      </w:r>
    </w:p>
    <w:p>
      <w:pPr>
        <w:pStyle w:val="8"/>
        <w:spacing w:line="560" w:lineRule="atLeast"/>
        <w:ind w:firstLine="550"/>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1、种植企业：粮油作物面积500亩以上，或蔬菜面积100亩以上，或水果面积300亩以上，或茶叶面积100亩以上，或花卉面积100亩以上，或糖蔗面积500亩以上，或其他种植面积100亩以上。</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2、畜禽养殖企业：肉禽年出栏量10万只以上，或蛋禽存栏量5万只以上，或生猪出栏量2000头以上，或牛年出栏量200头以上，或羊年出栏500只以上。</w:t>
      </w:r>
    </w:p>
    <w:p>
      <w:pPr>
        <w:pStyle w:val="8"/>
        <w:spacing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3、水产养殖企业：池塘养殖面积200亩或网箱养殖1000立方米以上，或年产量100吨以上。</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4、木材加工利用企业：造林面积在1000亩以上。</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5、海洋捕捞企业:生产渔船5艘或年产量200吨以上。</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6、农产品加工企业：有符合国家环保标准、食品加工卫生标准的加工基地或生产设施。</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7、农产品专业市场或贸易型企业：有符合国家环保标准的交易场地或农产品运输、贮藏设施。</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8、其他企业，须出具与其生产规模相当的生产基地证明。</w:t>
      </w:r>
    </w:p>
    <w:p>
      <w:pPr>
        <w:pStyle w:val="8"/>
        <w:wordWrap w:val="0"/>
        <w:spacing w:before="100" w:after="100" w:line="560" w:lineRule="atLeast"/>
        <w:ind w:firstLine="472"/>
        <w:jc w:val="left"/>
        <w:rPr>
          <w:rFonts w:ascii="仿宋_GB2312" w:hAnsi="宋体" w:eastAsia="仿宋_GB2312" w:cs="宋体"/>
          <w:color w:val="000000" w:themeColor="text1"/>
          <w:spacing w:val="-4"/>
          <w:sz w:val="32"/>
          <w:szCs w:val="32"/>
        </w:rPr>
      </w:pPr>
      <w:r>
        <w:rPr>
          <w:rFonts w:hint="eastAsia" w:ascii="仿宋_GB2312" w:hAnsi="宋体" w:eastAsia="仿宋_GB2312" w:cs="宋体"/>
          <w:color w:val="000000" w:themeColor="text1"/>
          <w:sz w:val="32"/>
          <w:szCs w:val="32"/>
        </w:rPr>
        <w:t xml:space="preserve"> 上述第1至第5类企业中，不符合规定标准的不得评为县级重点农业龙头企业；第6至第8类企业中，符合规定标准的计10分，低于规定标准的扣2分。</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b/>
          <w:bCs/>
          <w:color w:val="000000" w:themeColor="text1"/>
          <w:sz w:val="32"/>
          <w:szCs w:val="32"/>
        </w:rPr>
        <w:t>（七）企业产品竞争力（以企业提供的证明材料为准，10分）</w:t>
      </w:r>
      <w:r>
        <w:rPr>
          <w:rFonts w:hint="eastAsia" w:ascii="仿宋_GB2312" w:hAnsi="宋体" w:eastAsia="仿宋_GB2312" w:cs="宋体"/>
          <w:b/>
          <w:bCs/>
          <w:color w:val="000000" w:themeColor="text1"/>
          <w:sz w:val="32"/>
          <w:szCs w:val="32"/>
        </w:rPr>
        <w:br w:type="textWrapping"/>
      </w:r>
      <w:r>
        <w:rPr>
          <w:rFonts w:hint="eastAsia" w:ascii="仿宋_GB2312" w:hAnsi="宋体" w:eastAsia="仿宋_GB2312" w:cs="宋体"/>
          <w:color w:val="000000" w:themeColor="text1"/>
          <w:sz w:val="32"/>
          <w:szCs w:val="32"/>
        </w:rPr>
        <w:t xml:space="preserve">    1、农产品原产地证明、无公害证书、绿色食品证书、有机食品证书，有其中一项的记2分，没有的记0分。 </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2、</w:t>
      </w:r>
      <w:r>
        <w:rPr>
          <w:rFonts w:hint="eastAsia" w:ascii="仿宋_GB2312" w:hAnsi="宋体" w:eastAsia="仿宋_GB2312" w:cs="宋体"/>
          <w:color w:val="000000" w:themeColor="text1"/>
          <w:spacing w:val="-4"/>
          <w:sz w:val="32"/>
          <w:szCs w:val="32"/>
        </w:rPr>
        <w:t>省著名商标证书、国家驰名商标证明文件，有其中一项的记2分，没有的记0分。</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pacing w:val="-4"/>
          <w:sz w:val="32"/>
          <w:szCs w:val="32"/>
        </w:rPr>
        <w:t xml:space="preserve">    </w:t>
      </w:r>
      <w:r>
        <w:rPr>
          <w:rFonts w:hint="eastAsia" w:ascii="仿宋_GB2312" w:hAnsi="宋体" w:eastAsia="仿宋_GB2312" w:cs="宋体"/>
          <w:color w:val="000000" w:themeColor="text1"/>
          <w:sz w:val="32"/>
          <w:szCs w:val="32"/>
        </w:rPr>
        <w:t>3、有企业管理制度（必须含“安全生产制度”）</w:t>
      </w:r>
      <w:r>
        <w:rPr>
          <w:rFonts w:hint="eastAsia" w:ascii="仿宋_GB2312" w:hAnsi="宋体" w:eastAsia="仿宋_GB2312" w:cs="宋体"/>
          <w:color w:val="000000" w:themeColor="text1"/>
          <w:sz w:val="32"/>
          <w:szCs w:val="32"/>
          <w:lang w:eastAsia="zh-CN"/>
        </w:rPr>
        <w:t>的记</w:t>
      </w:r>
      <w:r>
        <w:rPr>
          <w:rFonts w:hint="eastAsia" w:ascii="仿宋_GB2312" w:hAnsi="宋体" w:eastAsia="仿宋_GB2312" w:cs="宋体"/>
          <w:color w:val="000000" w:themeColor="text1"/>
          <w:sz w:val="32"/>
          <w:szCs w:val="32"/>
          <w:lang w:val="en-US" w:eastAsia="zh-CN"/>
        </w:rPr>
        <w:t>2分</w:t>
      </w:r>
      <w:r>
        <w:rPr>
          <w:rFonts w:hint="eastAsia" w:ascii="仿宋_GB2312" w:hAnsi="宋体" w:eastAsia="仿宋_GB2312" w:cs="宋体"/>
          <w:color w:val="000000" w:themeColor="text1"/>
          <w:sz w:val="32"/>
          <w:szCs w:val="32"/>
        </w:rPr>
        <w:t xml:space="preserve">，没有的记0分。 </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4、省名牌产品、中国名牌产品证书，有其中一项的记2分，没有的记0分。 </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5、企业质量管理体系认证、环保达标评定证明、职业安全与卫生管理体系认证等，有其中一项的记1分，没有的记0分；</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6、有知识产权记录（有专利证书或商标注册证）的记1分，没有的记0分。</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第六条</w:t>
      </w:r>
      <w:r>
        <w:rPr>
          <w:rFonts w:hint="eastAsia" w:ascii="仿宋_GB2312" w:hAnsi="宋体" w:eastAsia="仿宋_GB2312" w:cs="宋体"/>
          <w:color w:val="000000" w:themeColor="text1"/>
          <w:sz w:val="32"/>
          <w:szCs w:val="32"/>
        </w:rPr>
        <w:t xml:space="preserve"> 经考核，综合得分80分以上的企业，方可列入县级重点农业龙头企业候选对象；符合认定标准的，下列三类企业有优先权：</w:t>
      </w:r>
    </w:p>
    <w:p>
      <w:pPr>
        <w:pStyle w:val="8"/>
        <w:numPr>
          <w:ilvl w:val="0"/>
          <w:numId w:val="1"/>
        </w:numPr>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具有本地特色的农产品加工型企业（包括：果、菜、粮、油、水产品、畜禽产品、林业产品为主要加工对象的）。</w:t>
      </w:r>
    </w:p>
    <w:p>
      <w:pPr>
        <w:pStyle w:val="8"/>
        <w:numPr>
          <w:ilvl w:val="0"/>
          <w:numId w:val="1"/>
        </w:numPr>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以本地农产品为主要购销对象的流通型企业。</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（三）以农科技术开发为主的科技型企业。</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第七条</w:t>
      </w:r>
      <w:r>
        <w:rPr>
          <w:rFonts w:hint="eastAsia" w:ascii="仿宋_GB2312" w:hAnsi="宋体" w:eastAsia="仿宋_GB2312" w:cs="宋体"/>
          <w:color w:val="000000" w:themeColor="text1"/>
          <w:sz w:val="32"/>
          <w:szCs w:val="32"/>
        </w:rPr>
        <w:t xml:space="preserve"> 申报企业须提供如下材料：</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（一）填写《雷州市重点农业龙头企业申报表》（附件1）；</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（二）工商营业执照复印件；</w:t>
      </w:r>
    </w:p>
    <w:p>
      <w:pPr>
        <w:pStyle w:val="9"/>
        <w:spacing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（三）依法取得土地使用权凭证或企业与有关单位农民集体、个人依法签订的土地、生产设施使用合同、协议等复印件；</w:t>
      </w:r>
    </w:p>
    <w:p>
      <w:pPr>
        <w:pStyle w:val="9"/>
        <w:spacing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四）企业与农民专业合作经济组织、专业大户、农村经纪人、农户或村集体经济组织签订农产品购销、订单农业、入股分红、利润返还等形式带动农户的合同、协议复印件5份，以及不少于所带动农户30%的农户名册（附件2），带动农户情况需要提供企业所在地镇政府（街道办）证明；</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（五）产品质量、环保、科技成果、商标、专利、立项等方面的证明材料；</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1、农产品原产地证明、无公害证书、绿色食品证书或有机食品证书复印件；</w:t>
      </w:r>
    </w:p>
    <w:p>
      <w:pPr>
        <w:pStyle w:val="8"/>
        <w:wordWrap w:val="0"/>
        <w:spacing w:before="100" w:after="100" w:line="560" w:lineRule="atLeast"/>
        <w:ind w:firstLine="300"/>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2、省著名商标证书、国家驰名商标证明文件复印件；</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3、省名牌产品、中国名牌产品证书复印件；</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4、企业质量管理体系认证、环保达标评定证明、企业安全与卫生管理体系认证等复印件；</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5、专利证书复印件；</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6、商标注册证复印件；</w:t>
      </w:r>
    </w:p>
    <w:p>
      <w:pPr>
        <w:pStyle w:val="8"/>
        <w:wordWrap w:val="0"/>
        <w:spacing w:before="100" w:after="100" w:line="560" w:lineRule="atLeast"/>
        <w:ind w:firstLine="640" w:firstLineChars="200"/>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7、企业投资备案证复印件；</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8、企业管理制度（必须含“安全生产制度”）和财务制度。</w:t>
      </w:r>
    </w:p>
    <w:p>
      <w:pPr>
        <w:pStyle w:val="9"/>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（六）畜禽养殖企业须提供</w:t>
      </w:r>
      <w:r>
        <w:rPr>
          <w:rFonts w:hint="eastAsia" w:ascii="仿宋_GB2312" w:hAnsi="宋体" w:eastAsia="仿宋_GB2312" w:cs="宋体"/>
          <w:color w:val="000000" w:themeColor="text1"/>
          <w:sz w:val="32"/>
          <w:szCs w:val="32"/>
          <w:lang w:eastAsia="zh-CN"/>
        </w:rPr>
        <w:t>农业农村</w:t>
      </w:r>
      <w:r>
        <w:rPr>
          <w:rFonts w:hint="eastAsia" w:ascii="仿宋_GB2312" w:hAnsi="宋体" w:eastAsia="仿宋_GB2312" w:cs="宋体"/>
          <w:color w:val="000000" w:themeColor="text1"/>
          <w:sz w:val="32"/>
          <w:szCs w:val="32"/>
        </w:rPr>
        <w:t>主管部门出具的《动物防疫条件合格证》和《畜禽养殖场、养殖小区备案表》；</w:t>
      </w:r>
    </w:p>
    <w:p>
      <w:pPr>
        <w:pStyle w:val="9"/>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（七）企业信用记录情况、纳税情况、上年度资产负债与损益情况、支付职工工资和职工社会养老保险等方面的相关证明或文字说明材料；</w:t>
      </w:r>
    </w:p>
    <w:p>
      <w:pPr>
        <w:pStyle w:val="9"/>
        <w:ind w:firstLine="630"/>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（八）对申报材料真实性负责的承诺函；</w:t>
      </w:r>
    </w:p>
    <w:p>
      <w:pPr>
        <w:pStyle w:val="9"/>
        <w:ind w:firstLine="630"/>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（九）企业开展农业产业化经营情况的专题介绍材料（约1500字）。</w:t>
      </w:r>
    </w:p>
    <w:p>
      <w:pPr>
        <w:pStyle w:val="8"/>
        <w:wordWrap w:val="0"/>
        <w:spacing w:before="100" w:after="100" w:line="560" w:lineRule="atLeast"/>
        <w:jc w:val="center"/>
        <w:rPr>
          <w:rFonts w:ascii="仿宋_GB2312" w:hAnsi="宋体" w:eastAsia="仿宋_GB2312" w:cs="宋体"/>
          <w:b/>
          <w:color w:val="000000" w:themeColor="text1"/>
          <w:sz w:val="32"/>
          <w:szCs w:val="32"/>
        </w:rPr>
      </w:pPr>
    </w:p>
    <w:p>
      <w:pPr>
        <w:pStyle w:val="8"/>
        <w:wordWrap w:val="0"/>
        <w:spacing w:before="100" w:after="100" w:line="560" w:lineRule="atLeast"/>
        <w:jc w:val="center"/>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rPr>
        <w:t>第三章 申报与认定</w:t>
      </w:r>
    </w:p>
    <w:p>
      <w:pPr>
        <w:pStyle w:val="8"/>
        <w:wordWrap w:val="0"/>
        <w:spacing w:before="100" w:after="100" w:line="560" w:lineRule="atLeast"/>
        <w:jc w:val="center"/>
        <w:rPr>
          <w:rFonts w:ascii="仿宋_GB2312" w:hAnsi="宋体" w:eastAsia="仿宋_GB2312" w:cs="宋体"/>
          <w:b/>
          <w:color w:val="000000" w:themeColor="text1"/>
          <w:sz w:val="32"/>
          <w:szCs w:val="32"/>
        </w:rPr>
      </w:pP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第八条</w:t>
      </w:r>
      <w:r>
        <w:rPr>
          <w:rFonts w:hint="eastAsia" w:ascii="仿宋_GB2312" w:hAnsi="宋体" w:eastAsia="仿宋_GB2312" w:cs="宋体"/>
          <w:color w:val="000000" w:themeColor="text1"/>
          <w:sz w:val="32"/>
          <w:szCs w:val="32"/>
        </w:rPr>
        <w:t xml:space="preserve"> 每年统一组织一次县级重点农业龙头企业申报。</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第九条</w:t>
      </w:r>
      <w:r>
        <w:rPr>
          <w:rFonts w:hint="eastAsia" w:ascii="仿宋_GB2312" w:hAnsi="宋体" w:eastAsia="仿宋_GB2312" w:cs="宋体"/>
          <w:color w:val="000000" w:themeColor="text1"/>
          <w:sz w:val="32"/>
          <w:szCs w:val="32"/>
        </w:rPr>
        <w:t xml:space="preserve"> 申报程序</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（一）由市农业农村局下发申报县级重点农业龙头企业的通知。</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（二）申报企业自愿向市农业农村局提出申报县级重点农业龙头企业的申请。</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（三）</w:t>
      </w:r>
      <w:r>
        <w:rPr>
          <w:rFonts w:hint="eastAsia" w:ascii="仿宋_GB2312" w:hAnsi="宋体" w:eastAsia="仿宋_GB2312" w:cs="宋体"/>
          <w:color w:val="000000" w:themeColor="text1"/>
          <w:sz w:val="32"/>
          <w:szCs w:val="32"/>
          <w:lang w:eastAsia="zh-CN"/>
        </w:rPr>
        <w:t>申报企业</w:t>
      </w:r>
      <w:r>
        <w:rPr>
          <w:rFonts w:hint="eastAsia" w:ascii="仿宋_GB2312" w:hAnsi="宋体" w:eastAsia="仿宋_GB2312" w:cs="宋体"/>
          <w:color w:val="000000" w:themeColor="text1"/>
          <w:sz w:val="32"/>
          <w:szCs w:val="32"/>
          <w:lang w:val="en-US" w:eastAsia="zh-CN"/>
        </w:rPr>
        <w:t>申报材料时要如实、按时申报有关统计数据，</w:t>
      </w:r>
      <w:r>
        <w:rPr>
          <w:rFonts w:hint="eastAsia" w:ascii="仿宋_GB2312" w:hAnsi="宋体" w:eastAsia="仿宋_GB2312" w:cs="宋体"/>
          <w:color w:val="000000" w:themeColor="text1"/>
          <w:sz w:val="32"/>
          <w:szCs w:val="32"/>
        </w:rPr>
        <w:t>市农业农村局相关部门对企业所申报材料的真实性进行认真审核。</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第十条</w:t>
      </w:r>
      <w:r>
        <w:rPr>
          <w:rFonts w:hint="eastAsia" w:ascii="仿宋_GB2312" w:hAnsi="宋体" w:eastAsia="仿宋_GB2312" w:cs="宋体"/>
          <w:color w:val="000000" w:themeColor="text1"/>
          <w:sz w:val="32"/>
          <w:szCs w:val="32"/>
        </w:rPr>
        <w:t xml:space="preserve"> 审核及认定程序</w:t>
      </w:r>
    </w:p>
    <w:p>
      <w:pPr>
        <w:pStyle w:val="8"/>
        <w:spacing w:line="560" w:lineRule="atLeast"/>
        <w:ind w:firstLine="55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（一）市农业农村局根据企业申报的材料，组织考核组对申报企业进行实地考核，对符合县级农业龙头认定标准的企业报市政府审批确认。</w:t>
      </w:r>
    </w:p>
    <w:p>
      <w:pPr>
        <w:pStyle w:val="8"/>
        <w:spacing w:line="560" w:lineRule="atLeast"/>
        <w:ind w:firstLine="55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二）经市农业农村局审核通过的县级重点农业龙头企业名单，在雷州市农业农村局门户网站上公示。公示期为7天，公示期满，没有异议的或异议不成立的，由市农业农村局将企业名单及有关资料报市政府批准，批准后的企业名单在雷州市农业农村局门户网站上公布，对评定企业授予“雷州市重点农业龙头企业”证书和牌匾。</w:t>
      </w:r>
    </w:p>
    <w:p>
      <w:pPr>
        <w:pStyle w:val="10"/>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第十一条</w:t>
      </w:r>
      <w:r>
        <w:rPr>
          <w:rFonts w:hint="eastAsia" w:ascii="仿宋_GB2312" w:hAnsi="宋体" w:eastAsia="仿宋_GB2312" w:cs="宋体"/>
          <w:color w:val="000000" w:themeColor="text1"/>
          <w:sz w:val="32"/>
          <w:szCs w:val="32"/>
        </w:rPr>
        <w:t xml:space="preserve"> 有下列行为之一的企业，不得评为县级重点农业龙头企业，已被评为县级重点农业龙头企业的取消资格，并在3年内不得申报县级重点农业龙头企业。</w:t>
      </w:r>
      <w:r>
        <w:rPr>
          <w:rFonts w:hint="eastAsia" w:ascii="仿宋_GB2312" w:hAnsi="宋体" w:eastAsia="仿宋_GB2312" w:cs="宋体"/>
          <w:color w:val="000000" w:themeColor="text1"/>
          <w:sz w:val="32"/>
          <w:szCs w:val="32"/>
        </w:rPr>
        <w:br w:type="textWrapping"/>
      </w:r>
      <w:r>
        <w:rPr>
          <w:rFonts w:hint="eastAsia" w:ascii="仿宋_GB2312" w:hAnsi="宋体" w:eastAsia="仿宋_GB2312" w:cs="宋体"/>
          <w:color w:val="000000" w:themeColor="text1"/>
          <w:sz w:val="32"/>
          <w:szCs w:val="32"/>
        </w:rPr>
        <w:t xml:space="preserve">   （一）被税务部门查实，有违反税收法律、行政法规规定的。</w:t>
      </w:r>
    </w:p>
    <w:p>
      <w:pPr>
        <w:pStyle w:val="8"/>
        <w:wordWrap w:val="0"/>
        <w:spacing w:before="100" w:after="100" w:line="560" w:lineRule="atLeast"/>
        <w:ind w:firstLine="47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（二）由于防范措施不力或防范不当，致使发生</w:t>
      </w:r>
      <w:r>
        <w:rPr>
          <w:rFonts w:hint="eastAsia" w:ascii="仿宋_GB2312" w:hAnsi="宋体" w:eastAsia="仿宋_GB2312" w:cs="宋体"/>
          <w:color w:val="000000" w:themeColor="text1"/>
          <w:sz w:val="32"/>
          <w:szCs w:val="32"/>
          <w:lang w:eastAsia="zh-CN"/>
        </w:rPr>
        <w:t>较大</w:t>
      </w:r>
      <w:r>
        <w:rPr>
          <w:rFonts w:hint="eastAsia" w:ascii="仿宋_GB2312" w:hAnsi="宋体" w:eastAsia="仿宋_GB2312" w:cs="宋体"/>
          <w:color w:val="000000" w:themeColor="text1"/>
          <w:sz w:val="32"/>
          <w:szCs w:val="32"/>
        </w:rPr>
        <w:t>安全事故，造成人民生命和财产重大损失的。</w:t>
      </w:r>
    </w:p>
    <w:p>
      <w:pPr>
        <w:pStyle w:val="8"/>
        <w:wordWrap w:val="0"/>
        <w:spacing w:before="100" w:after="100" w:line="560" w:lineRule="atLeast"/>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（三）生产假冒伪劣产品，经市场监管部门查实并给予处罚的。</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（四）环保不达标，经环保部门查实并给予处罚的。</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（五）市农业农村局通过正式文件要求企业提供经营情况、财务报表，没有正当理由拒绝提供的。</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（六）在提供有关材料时存在严重的造假行为的。</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（七）严重违反国家法律、法规和政策行为的。</w:t>
      </w: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p>
    <w:p>
      <w:pPr>
        <w:pStyle w:val="8"/>
        <w:wordWrap w:val="0"/>
        <w:spacing w:before="100" w:after="100" w:line="560" w:lineRule="atLeast"/>
        <w:ind w:firstLine="482"/>
        <w:jc w:val="left"/>
        <w:rPr>
          <w:rFonts w:ascii="仿宋_GB2312" w:hAnsi="宋体" w:eastAsia="仿宋_GB2312" w:cs="宋体"/>
          <w:color w:val="000000" w:themeColor="text1"/>
          <w:sz w:val="32"/>
          <w:szCs w:val="32"/>
        </w:rPr>
      </w:pPr>
    </w:p>
    <w:p>
      <w:pPr>
        <w:pStyle w:val="8"/>
        <w:wordWrap w:val="0"/>
        <w:spacing w:before="100" w:after="100" w:line="560" w:lineRule="atLeast"/>
        <w:jc w:val="left"/>
        <w:rPr>
          <w:rFonts w:ascii="仿宋_GB2312" w:hAnsi="宋体" w:eastAsia="仿宋_GB2312" w:cs="宋体"/>
          <w:color w:val="000000" w:themeColor="text1"/>
          <w:sz w:val="32"/>
          <w:szCs w:val="32"/>
        </w:rPr>
      </w:pPr>
    </w:p>
    <w:p>
      <w:pPr>
        <w:pStyle w:val="8"/>
        <w:wordWrap w:val="0"/>
        <w:spacing w:before="100" w:after="100" w:line="540" w:lineRule="exact"/>
        <w:jc w:val="center"/>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第五章  附   则</w:t>
      </w:r>
    </w:p>
    <w:p>
      <w:pPr>
        <w:pStyle w:val="8"/>
        <w:wordWrap w:val="0"/>
        <w:spacing w:before="100" w:after="100" w:line="540" w:lineRule="exact"/>
        <w:ind w:firstLine="48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第十二条</w:t>
      </w:r>
      <w:r>
        <w:rPr>
          <w:rFonts w:hint="eastAsia" w:ascii="仿宋_GB2312" w:hAnsi="宋体" w:eastAsia="仿宋_GB2312" w:cs="宋体"/>
          <w:color w:val="000000" w:themeColor="text1"/>
          <w:sz w:val="32"/>
          <w:szCs w:val="32"/>
        </w:rPr>
        <w:t xml:space="preserve"> 县级重点农业龙头企业更改企业名称，需要对其县级重点农业龙头企业称号予以重新确认的，企业应出具市场监管部门的营业执照更名材料，由市农业农村局审核小组审核确认。</w:t>
      </w:r>
    </w:p>
    <w:p>
      <w:pPr>
        <w:pStyle w:val="8"/>
        <w:wordWrap w:val="0"/>
        <w:spacing w:before="100" w:after="100" w:line="540" w:lineRule="exact"/>
        <w:ind w:firstLine="472"/>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第十三条</w:t>
      </w:r>
      <w:r>
        <w:rPr>
          <w:rFonts w:hint="eastAsia" w:ascii="仿宋_GB2312" w:hAnsi="宋体" w:eastAsia="仿宋_GB2312" w:cs="宋体"/>
          <w:color w:val="000000" w:themeColor="text1"/>
          <w:sz w:val="32"/>
          <w:szCs w:val="32"/>
        </w:rPr>
        <w:t xml:space="preserve"> 本办法由市农业农村局负责解释。</w:t>
      </w:r>
    </w:p>
    <w:p>
      <w:pPr>
        <w:pStyle w:val="10"/>
        <w:wordWrap w:val="0"/>
        <w:spacing w:before="100" w:after="100" w:line="540" w:lineRule="exact"/>
        <w:ind w:left="149" w:hanging="160"/>
        <w:jc w:val="left"/>
        <w:rPr>
          <w:rFonts w:ascii="仿宋_GB2312" w:hAnsi="宋体" w:eastAsia="仿宋_GB2312" w:cs="宋体"/>
          <w:color w:val="000000" w:themeColor="text1"/>
          <w:sz w:val="32"/>
          <w:szCs w:val="32"/>
        </w:rPr>
      </w:pPr>
      <w:r>
        <w:rPr>
          <w:rFonts w:hint="eastAsia" w:ascii="仿宋_GB2312" w:hAnsi="宋体" w:eastAsia="仿宋_GB2312" w:cs="宋体"/>
          <w:b/>
          <w:bCs/>
          <w:color w:val="000000" w:themeColor="text1"/>
          <w:sz w:val="32"/>
          <w:szCs w:val="32"/>
        </w:rPr>
        <w:t xml:space="preserve">    第十四条</w:t>
      </w:r>
      <w:r>
        <w:rPr>
          <w:rFonts w:hint="eastAsia" w:ascii="仿宋_GB2312" w:hAnsi="宋体" w:eastAsia="仿宋_GB2312" w:cs="宋体"/>
          <w:color w:val="000000" w:themeColor="text1"/>
          <w:sz w:val="32"/>
          <w:szCs w:val="32"/>
        </w:rPr>
        <w:t xml:space="preserve"> 本办法自发布之日起试行。</w:t>
      </w:r>
    </w:p>
    <w:p>
      <w:pPr>
        <w:spacing w:line="540" w:lineRule="exact"/>
        <w:rPr>
          <w:rFonts w:ascii="仿宋_GB2312" w:hAnsi="宋体" w:eastAsia="仿宋_GB2312" w:cs="宋体"/>
          <w:color w:val="000000" w:themeColor="text1"/>
          <w:sz w:val="32"/>
          <w:szCs w:val="32"/>
        </w:rPr>
      </w:pPr>
    </w:p>
    <w:p>
      <w:pPr>
        <w:pStyle w:val="8"/>
        <w:wordWrap w:val="0"/>
        <w:autoSpaceDN w:val="0"/>
        <w:spacing w:before="100" w:after="100" w:line="540" w:lineRule="exact"/>
        <w:ind w:firstLine="482"/>
        <w:jc w:val="left"/>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 xml:space="preserve">  附件：1．雷州市重点农业龙头企业申报表</w:t>
      </w:r>
    </w:p>
    <w:p>
      <w:pPr>
        <w:pStyle w:val="8"/>
        <w:wordWrap w:val="0"/>
        <w:autoSpaceDN w:val="0"/>
        <w:spacing w:before="100" w:after="100" w:line="540" w:lineRule="exact"/>
        <w:ind w:firstLine="482"/>
        <w:jc w:val="left"/>
        <w:rPr>
          <w:rFonts w:ascii="仿宋_GB2312" w:hAnsi="宋体" w:eastAsia="仿宋_GB2312" w:cs="宋体"/>
          <w:color w:val="000000" w:themeColor="text1"/>
          <w:sz w:val="32"/>
          <w:szCs w:val="32"/>
          <w:shd w:val="clear" w:color="auto" w:fill="FFFFFF"/>
        </w:rPr>
      </w:pPr>
      <w:r>
        <w:rPr>
          <w:rFonts w:hint="eastAsia" w:ascii="仿宋_GB2312" w:hAnsi="宋体" w:eastAsia="仿宋_GB2312" w:cs="宋体"/>
          <w:color w:val="000000" w:themeColor="text1"/>
          <w:sz w:val="32"/>
          <w:szCs w:val="32"/>
        </w:rPr>
        <w:t xml:space="preserve">        2．雷州市重点农业龙头企业</w:t>
      </w:r>
      <w:r>
        <w:rPr>
          <w:rFonts w:hint="eastAsia" w:ascii="仿宋_GB2312" w:hAnsi="宋体" w:eastAsia="仿宋_GB2312" w:cs="宋体"/>
          <w:color w:val="000000" w:themeColor="text1"/>
          <w:sz w:val="32"/>
          <w:szCs w:val="32"/>
          <w:shd w:val="clear" w:color="auto" w:fill="FFFFFF"/>
        </w:rPr>
        <w:t>带动农户名册</w:t>
      </w:r>
    </w:p>
    <w:p>
      <w:pPr>
        <w:adjustRightInd w:val="0"/>
        <w:snapToGrid w:val="0"/>
        <w:spacing w:line="520" w:lineRule="exact"/>
        <w:rPr>
          <w:rFonts w:ascii="仿宋_GB2312" w:hAnsi="黑体" w:eastAsia="仿宋_GB2312"/>
          <w:snapToGrid w:val="0"/>
          <w:color w:val="000000" w:themeColor="text1"/>
          <w:kern w:val="0"/>
          <w:sz w:val="32"/>
          <w:szCs w:val="32"/>
        </w:rPr>
      </w:pPr>
      <w:r>
        <w:rPr>
          <w:rFonts w:hint="eastAsia" w:ascii="仿宋_GB2312" w:hAnsi="黑体" w:eastAsia="仿宋_GB2312"/>
          <w:snapToGrid w:val="0"/>
          <w:color w:val="000000" w:themeColor="text1"/>
          <w:kern w:val="0"/>
          <w:sz w:val="32"/>
          <w:szCs w:val="32"/>
        </w:rPr>
        <w:br w:type="page"/>
      </w:r>
    </w:p>
    <w:p>
      <w:pPr>
        <w:adjustRightInd w:val="0"/>
        <w:snapToGrid w:val="0"/>
        <w:spacing w:line="520" w:lineRule="exact"/>
        <w:rPr>
          <w:rFonts w:ascii="黑体" w:hAnsi="黑体" w:eastAsia="黑体"/>
          <w:snapToGrid w:val="0"/>
          <w:color w:val="000000" w:themeColor="text1"/>
          <w:kern w:val="0"/>
          <w:sz w:val="32"/>
          <w:szCs w:val="32"/>
        </w:rPr>
      </w:pPr>
      <w:r>
        <w:rPr>
          <w:rFonts w:hint="eastAsia" w:ascii="黑体" w:hAnsi="黑体" w:eastAsia="黑体"/>
          <w:snapToGrid w:val="0"/>
          <w:color w:val="000000" w:themeColor="text1"/>
          <w:kern w:val="0"/>
          <w:sz w:val="32"/>
          <w:szCs w:val="32"/>
        </w:rPr>
        <w:t>附件1：</w:t>
      </w: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1000" w:lineRule="exact"/>
        <w:jc w:val="center"/>
        <w:rPr>
          <w:rFonts w:ascii="华文中宋" w:hAnsi="华文中宋" w:eastAsia="华文中宋"/>
          <w:b/>
          <w:snapToGrid w:val="0"/>
          <w:color w:val="000000" w:themeColor="text1"/>
          <w:kern w:val="0"/>
          <w:sz w:val="64"/>
          <w:szCs w:val="64"/>
        </w:rPr>
      </w:pPr>
      <w:r>
        <w:rPr>
          <w:rFonts w:hint="eastAsia" w:ascii="华文中宋" w:hAnsi="华文中宋" w:eastAsia="华文中宋"/>
          <w:b/>
          <w:snapToGrid w:val="0"/>
          <w:color w:val="000000" w:themeColor="text1"/>
          <w:kern w:val="0"/>
          <w:sz w:val="64"/>
          <w:szCs w:val="64"/>
        </w:rPr>
        <w:t>雷州市重点农业龙头企业</w:t>
      </w: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1300" w:lineRule="exact"/>
        <w:jc w:val="center"/>
        <w:rPr>
          <w:rFonts w:ascii="华文中宋" w:hAnsi="华文中宋" w:eastAsia="华文中宋"/>
          <w:b/>
          <w:snapToGrid w:val="0"/>
          <w:color w:val="000000" w:themeColor="text1"/>
          <w:kern w:val="0"/>
          <w:sz w:val="64"/>
          <w:szCs w:val="64"/>
        </w:rPr>
      </w:pPr>
      <w:r>
        <w:rPr>
          <w:rFonts w:hint="eastAsia" w:ascii="华文中宋" w:hAnsi="华文中宋" w:eastAsia="华文中宋"/>
          <w:b/>
          <w:snapToGrid w:val="0"/>
          <w:color w:val="000000" w:themeColor="text1"/>
          <w:kern w:val="0"/>
          <w:sz w:val="64"/>
          <w:szCs w:val="64"/>
        </w:rPr>
        <w:t>申</w:t>
      </w:r>
    </w:p>
    <w:p>
      <w:pPr>
        <w:adjustRightInd w:val="0"/>
        <w:snapToGrid w:val="0"/>
        <w:spacing w:line="1300" w:lineRule="exact"/>
        <w:jc w:val="center"/>
        <w:rPr>
          <w:rFonts w:ascii="华文中宋" w:hAnsi="华文中宋" w:eastAsia="华文中宋"/>
          <w:b/>
          <w:snapToGrid w:val="0"/>
          <w:color w:val="000000" w:themeColor="text1"/>
          <w:kern w:val="0"/>
          <w:sz w:val="64"/>
          <w:szCs w:val="64"/>
        </w:rPr>
      </w:pPr>
      <w:r>
        <w:rPr>
          <w:rFonts w:hint="eastAsia" w:ascii="华文中宋" w:hAnsi="华文中宋" w:eastAsia="华文中宋"/>
          <w:b/>
          <w:snapToGrid w:val="0"/>
          <w:color w:val="000000" w:themeColor="text1"/>
          <w:kern w:val="0"/>
          <w:sz w:val="64"/>
          <w:szCs w:val="64"/>
        </w:rPr>
        <w:t>报</w:t>
      </w:r>
    </w:p>
    <w:p>
      <w:pPr>
        <w:adjustRightInd w:val="0"/>
        <w:snapToGrid w:val="0"/>
        <w:spacing w:line="1300" w:lineRule="exact"/>
        <w:jc w:val="center"/>
        <w:rPr>
          <w:rFonts w:ascii="华文中宋" w:hAnsi="华文中宋" w:eastAsia="华文中宋"/>
          <w:b/>
          <w:snapToGrid w:val="0"/>
          <w:color w:val="000000" w:themeColor="text1"/>
          <w:kern w:val="0"/>
          <w:sz w:val="64"/>
          <w:szCs w:val="64"/>
        </w:rPr>
      </w:pPr>
      <w:r>
        <w:rPr>
          <w:rFonts w:hint="eastAsia" w:ascii="华文中宋" w:hAnsi="华文中宋" w:eastAsia="华文中宋"/>
          <w:b/>
          <w:snapToGrid w:val="0"/>
          <w:color w:val="000000" w:themeColor="text1"/>
          <w:kern w:val="0"/>
          <w:sz w:val="64"/>
          <w:szCs w:val="64"/>
        </w:rPr>
        <w:t>表</w:t>
      </w: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590" w:lineRule="exact"/>
        <w:rPr>
          <w:rFonts w:ascii="仿宋_GB2312" w:eastAsia="仿宋_GB2312"/>
          <w:snapToGrid w:val="0"/>
          <w:color w:val="000000" w:themeColor="text1"/>
          <w:kern w:val="0"/>
          <w:szCs w:val="32"/>
        </w:rPr>
      </w:pPr>
    </w:p>
    <w:p>
      <w:pPr>
        <w:adjustRightInd w:val="0"/>
        <w:snapToGrid w:val="0"/>
        <w:spacing w:line="590" w:lineRule="exact"/>
        <w:jc w:val="center"/>
        <w:rPr>
          <w:rFonts w:ascii="宋体" w:hAnsi="宋体" w:cs="宋体"/>
          <w:snapToGrid w:val="0"/>
          <w:color w:val="000000" w:themeColor="text1"/>
          <w:kern w:val="0"/>
          <w:sz w:val="32"/>
          <w:szCs w:val="32"/>
        </w:rPr>
      </w:pPr>
      <w:r>
        <w:rPr>
          <w:rFonts w:hint="eastAsia" w:ascii="宋体" w:hAnsi="宋体" w:cs="宋体"/>
          <w:snapToGrid w:val="0"/>
          <w:color w:val="000000" w:themeColor="text1"/>
          <w:kern w:val="0"/>
          <w:sz w:val="32"/>
          <w:szCs w:val="32"/>
        </w:rPr>
        <w:t>填报单位：            （盖章）</w:t>
      </w:r>
    </w:p>
    <w:p>
      <w:pPr>
        <w:adjustRightInd w:val="0"/>
        <w:snapToGrid w:val="0"/>
        <w:spacing w:line="590" w:lineRule="exact"/>
        <w:jc w:val="center"/>
        <w:rPr>
          <w:rFonts w:ascii="宋体" w:hAnsi="宋体" w:cs="宋体"/>
          <w:snapToGrid w:val="0"/>
          <w:color w:val="000000" w:themeColor="text1"/>
          <w:kern w:val="0"/>
          <w:sz w:val="32"/>
          <w:szCs w:val="32"/>
        </w:rPr>
      </w:pPr>
    </w:p>
    <w:p>
      <w:pPr>
        <w:adjustRightInd w:val="0"/>
        <w:snapToGrid w:val="0"/>
        <w:spacing w:line="590" w:lineRule="exact"/>
        <w:jc w:val="center"/>
        <w:rPr>
          <w:rFonts w:hint="eastAsia" w:ascii="宋体" w:hAnsi="宋体" w:cs="宋体"/>
          <w:snapToGrid w:val="0"/>
          <w:color w:val="000000" w:themeColor="text1"/>
          <w:kern w:val="0"/>
          <w:sz w:val="32"/>
          <w:szCs w:val="32"/>
        </w:rPr>
      </w:pPr>
      <w:r>
        <w:rPr>
          <w:rFonts w:hint="eastAsia" w:ascii="宋体" w:hAnsi="宋体" w:cs="宋体"/>
          <w:snapToGrid w:val="0"/>
          <w:color w:val="000000" w:themeColor="text1"/>
          <w:kern w:val="0"/>
          <w:sz w:val="32"/>
          <w:szCs w:val="32"/>
        </w:rPr>
        <w:t>填报日期：     年     月    日</w:t>
      </w:r>
    </w:p>
    <w:p>
      <w:pPr>
        <w:adjustRightInd w:val="0"/>
        <w:snapToGrid w:val="0"/>
        <w:spacing w:line="590" w:lineRule="exact"/>
        <w:jc w:val="center"/>
        <w:rPr>
          <w:rFonts w:hint="eastAsia" w:ascii="宋体" w:hAnsi="宋体" w:cs="宋体"/>
          <w:snapToGrid w:val="0"/>
          <w:color w:val="000000" w:themeColor="text1"/>
          <w:kern w:val="0"/>
          <w:sz w:val="32"/>
          <w:szCs w:val="32"/>
        </w:rPr>
      </w:pPr>
    </w:p>
    <w:p>
      <w:pPr>
        <w:adjustRightInd w:val="0"/>
        <w:snapToGrid w:val="0"/>
        <w:spacing w:line="590" w:lineRule="exact"/>
        <w:jc w:val="center"/>
        <w:rPr>
          <w:rFonts w:hint="eastAsia" w:ascii="宋体" w:hAnsi="宋体" w:cs="宋体"/>
          <w:snapToGrid w:val="0"/>
          <w:color w:val="000000" w:themeColor="text1"/>
          <w:kern w:val="0"/>
          <w:sz w:val="32"/>
          <w:szCs w:val="32"/>
        </w:rPr>
      </w:pPr>
    </w:p>
    <w:p>
      <w:pPr>
        <w:adjustRightInd w:val="0"/>
        <w:snapToGrid w:val="0"/>
        <w:spacing w:line="590" w:lineRule="exact"/>
        <w:rPr>
          <w:rFonts w:ascii="方正小标宋简体" w:eastAsia="方正小标宋简体"/>
          <w:bCs/>
          <w:color w:val="000000" w:themeColor="text1"/>
          <w:sz w:val="44"/>
          <w:szCs w:val="44"/>
        </w:rPr>
      </w:pPr>
    </w:p>
    <w:p>
      <w:pPr>
        <w:adjustRightInd w:val="0"/>
        <w:snapToGrid w:val="0"/>
        <w:spacing w:line="590" w:lineRule="exact"/>
        <w:jc w:val="center"/>
        <w:rPr>
          <w:rFonts w:hint="eastAsia" w:ascii="方正小标宋简体" w:eastAsia="方正小标宋简体"/>
          <w:b/>
          <w:bCs/>
          <w:color w:val="000000" w:themeColor="text1"/>
          <w:sz w:val="44"/>
          <w:szCs w:val="44"/>
        </w:rPr>
      </w:pPr>
    </w:p>
    <w:p>
      <w:pPr>
        <w:adjustRightInd w:val="0"/>
        <w:snapToGrid w:val="0"/>
        <w:spacing w:line="590" w:lineRule="exact"/>
        <w:jc w:val="center"/>
        <w:rPr>
          <w:rFonts w:ascii="仿宋_GB2312" w:hAnsi="仿宋_GB2312" w:eastAsia="仿宋_GB2312" w:cs="仿宋_GB2312"/>
          <w:b/>
          <w:snapToGrid w:val="0"/>
          <w:color w:val="000000" w:themeColor="text1"/>
          <w:kern w:val="0"/>
          <w:szCs w:val="32"/>
        </w:rPr>
      </w:pPr>
      <w:r>
        <w:rPr>
          <w:rFonts w:hint="eastAsia" w:ascii="方正小标宋简体" w:eastAsia="方正小标宋简体"/>
          <w:b/>
          <w:bCs/>
          <w:color w:val="000000" w:themeColor="text1"/>
          <w:sz w:val="44"/>
          <w:szCs w:val="44"/>
        </w:rPr>
        <w:t>雷州市重点农业龙头企业申报表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341"/>
        <w:gridCol w:w="918"/>
        <w:gridCol w:w="1261"/>
        <w:gridCol w:w="125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企  业  名  称</w:t>
            </w:r>
          </w:p>
        </w:tc>
        <w:tc>
          <w:tcPr>
            <w:tcW w:w="2520" w:type="dxa"/>
            <w:gridSpan w:val="3"/>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企业性质</w:t>
            </w: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企  业  地  址</w:t>
            </w:r>
          </w:p>
        </w:tc>
        <w:tc>
          <w:tcPr>
            <w:tcW w:w="5171" w:type="dxa"/>
            <w:gridSpan w:val="5"/>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创  办  时  间</w:t>
            </w:r>
          </w:p>
        </w:tc>
        <w:tc>
          <w:tcPr>
            <w:tcW w:w="2520" w:type="dxa"/>
            <w:gridSpan w:val="3"/>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邮政编码</w:t>
            </w: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联  系  电  话</w:t>
            </w:r>
          </w:p>
        </w:tc>
        <w:tc>
          <w:tcPr>
            <w:tcW w:w="2520" w:type="dxa"/>
            <w:gridSpan w:val="3"/>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E-mail:</w:t>
            </w: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法人代表及联系电话</w:t>
            </w:r>
          </w:p>
        </w:tc>
        <w:tc>
          <w:tcPr>
            <w:tcW w:w="5171" w:type="dxa"/>
            <w:gridSpan w:val="5"/>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项          目</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单位</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代号</w:t>
            </w:r>
          </w:p>
        </w:tc>
        <w:tc>
          <w:tcPr>
            <w:tcW w:w="1259"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20  年</w:t>
            </w:r>
          </w:p>
        </w:tc>
        <w:tc>
          <w:tcPr>
            <w:tcW w:w="1392"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bCs/>
                <w:color w:val="000000" w:themeColor="text1"/>
                <w:sz w:val="24"/>
              </w:rPr>
            </w:pPr>
            <w:r>
              <w:rPr>
                <w:rFonts w:hint="eastAsia" w:ascii="仿宋_GB2312" w:eastAsia="仿宋_GB2312"/>
                <w:bCs/>
                <w:color w:val="000000" w:themeColor="text1"/>
                <w:sz w:val="24"/>
              </w:rPr>
              <w:t>一、企业经营情况</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261" w:type="dxa"/>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1.注册资本金</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2.总资产</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ind w:firstLine="235" w:firstLineChars="98"/>
              <w:rPr>
                <w:rFonts w:ascii="仿宋_GB2312" w:eastAsia="仿宋_GB2312"/>
                <w:color w:val="000000" w:themeColor="text1"/>
                <w:sz w:val="24"/>
              </w:rPr>
            </w:pPr>
            <w:r>
              <w:rPr>
                <w:rFonts w:hint="eastAsia" w:ascii="仿宋_GB2312" w:eastAsia="仿宋_GB2312"/>
                <w:color w:val="000000" w:themeColor="text1"/>
                <w:sz w:val="24"/>
              </w:rPr>
              <w:t>其中：固定资产</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3.总负债</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4.资产负债率</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5</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5.企业销售收入（市场交易额）</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6</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ind w:firstLine="235" w:firstLineChars="98"/>
              <w:rPr>
                <w:rFonts w:ascii="仿宋_GB2312" w:eastAsia="仿宋_GB2312"/>
                <w:color w:val="000000" w:themeColor="text1"/>
                <w:sz w:val="24"/>
              </w:rPr>
            </w:pPr>
            <w:r>
              <w:rPr>
                <w:rFonts w:hint="eastAsia" w:ascii="仿宋_GB2312" w:eastAsia="仿宋_GB2312"/>
                <w:color w:val="000000" w:themeColor="text1"/>
                <w:sz w:val="24"/>
              </w:rPr>
              <w:t>其中：农产品销售收入</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7</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6.净利润（税后利润）</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8</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7.上交税金</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9</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8.农产品及其加工产品出口创汇</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万美元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10</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9.实际利用外资额度</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万美元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11</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10.农产品加工量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吨</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12</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11.农产品销售率</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13</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bCs/>
                <w:color w:val="000000" w:themeColor="text1"/>
                <w:sz w:val="24"/>
              </w:rPr>
            </w:pPr>
            <w:r>
              <w:rPr>
                <w:rFonts w:hint="eastAsia" w:ascii="仿宋_GB2312" w:eastAsia="仿宋_GB2312"/>
                <w:bCs/>
                <w:color w:val="000000" w:themeColor="text1"/>
                <w:sz w:val="24"/>
              </w:rPr>
              <w:t>二、基地情况</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261" w:type="dxa"/>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1.自有基地种植面积</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亩</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14</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2.带动农户种植面积</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亩</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15</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3.自有基地水产养殖面积</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亩</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16</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4.带动农户水产养殖面积</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亩</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17</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5.自有基地家禽饲养量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18</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6.带动农户家禽饲养量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19</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7.自有基地牲畜饲养量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万头</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20</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8.带动农户牲畜饲养量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万头</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21</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bCs/>
                <w:color w:val="000000" w:themeColor="text1"/>
                <w:sz w:val="24"/>
              </w:rPr>
            </w:pPr>
            <w:r>
              <w:rPr>
                <w:rFonts w:hint="eastAsia" w:ascii="仿宋_GB2312" w:eastAsia="仿宋_GB2312"/>
                <w:bCs/>
                <w:color w:val="000000" w:themeColor="text1"/>
                <w:sz w:val="24"/>
              </w:rPr>
              <w:t>三、带动农户情况</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261" w:type="dxa"/>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1.带动农户数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户</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22</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pacing w:val="-20"/>
                <w:sz w:val="24"/>
              </w:rPr>
            </w:pPr>
            <w:r>
              <w:rPr>
                <w:rFonts w:hint="eastAsia" w:ascii="仿宋_GB2312" w:eastAsia="仿宋_GB2312"/>
                <w:color w:val="000000" w:themeColor="text1"/>
                <w:sz w:val="24"/>
              </w:rPr>
              <w:t xml:space="preserve"> </w:t>
            </w:r>
            <w:r>
              <w:rPr>
                <w:rFonts w:hint="eastAsia" w:ascii="仿宋_GB2312" w:eastAsia="仿宋_GB2312"/>
                <w:color w:val="000000" w:themeColor="text1"/>
                <w:spacing w:val="-20"/>
                <w:sz w:val="24"/>
              </w:rPr>
              <w:t>其中：⑴合同关系（含“订单”方式）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户</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23</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ind w:firstLine="352" w:firstLineChars="147"/>
              <w:rPr>
                <w:rFonts w:ascii="仿宋_GB2312" w:eastAsia="仿宋_GB2312"/>
                <w:color w:val="000000" w:themeColor="text1"/>
                <w:sz w:val="24"/>
              </w:rPr>
            </w:pPr>
            <w:r>
              <w:rPr>
                <w:rFonts w:hint="eastAsia" w:ascii="仿宋_GB2312" w:eastAsia="仿宋_GB2312"/>
                <w:color w:val="000000" w:themeColor="text1"/>
                <w:sz w:val="24"/>
              </w:rPr>
              <w:t>⑵合作方式按利润返还</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户</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24</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ind w:firstLine="352" w:firstLineChars="147"/>
              <w:rPr>
                <w:rFonts w:ascii="仿宋_GB2312" w:eastAsia="仿宋_GB2312"/>
                <w:color w:val="000000" w:themeColor="text1"/>
                <w:sz w:val="24"/>
              </w:rPr>
            </w:pPr>
            <w:r>
              <w:rPr>
                <w:rFonts w:hint="eastAsia" w:ascii="仿宋_GB2312" w:eastAsia="仿宋_GB2312"/>
                <w:color w:val="000000" w:themeColor="text1"/>
                <w:sz w:val="24"/>
              </w:rPr>
              <w:t>⑶股份合作方式按股分红</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户</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25</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ind w:firstLine="352" w:firstLineChars="147"/>
              <w:rPr>
                <w:rFonts w:ascii="仿宋_GB2312" w:eastAsia="仿宋_GB2312"/>
                <w:color w:val="000000" w:themeColor="text1"/>
                <w:sz w:val="24"/>
              </w:rPr>
            </w:pPr>
            <w:r>
              <w:rPr>
                <w:rFonts w:hint="eastAsia" w:ascii="仿宋_GB2312" w:eastAsia="仿宋_GB2312"/>
                <w:color w:val="000000" w:themeColor="text1"/>
                <w:sz w:val="24"/>
              </w:rPr>
              <w:t>⑷其它方式</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户</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26</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2.带动农户增收</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27</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3.平均每户增收</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28</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bCs/>
                <w:color w:val="000000" w:themeColor="text1"/>
                <w:sz w:val="24"/>
              </w:rPr>
            </w:pPr>
            <w:r>
              <w:rPr>
                <w:rFonts w:hint="eastAsia" w:ascii="仿宋_GB2312" w:eastAsia="仿宋_GB2312"/>
                <w:bCs/>
                <w:color w:val="000000" w:themeColor="text1"/>
                <w:sz w:val="24"/>
              </w:rPr>
              <w:t>四、企业在岗人数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261" w:type="dxa"/>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1.小计</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29</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pacing w:val="-20"/>
                <w:sz w:val="24"/>
              </w:rPr>
            </w:pPr>
            <w:r>
              <w:rPr>
                <w:rFonts w:hint="eastAsia" w:ascii="仿宋_GB2312" w:eastAsia="仿宋_GB2312"/>
                <w:color w:val="000000" w:themeColor="text1"/>
                <w:sz w:val="24"/>
              </w:rPr>
              <w:t xml:space="preserve"> </w:t>
            </w:r>
            <w:r>
              <w:rPr>
                <w:rFonts w:hint="eastAsia" w:ascii="仿宋_GB2312" w:eastAsia="仿宋_GB2312"/>
                <w:color w:val="000000" w:themeColor="text1"/>
                <w:spacing w:val="-20"/>
                <w:sz w:val="24"/>
              </w:rPr>
              <w:t>其中：⑴签订合同职工数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30</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ind w:firstLine="352" w:firstLineChars="147"/>
              <w:rPr>
                <w:rFonts w:ascii="仿宋_GB2312" w:eastAsia="仿宋_GB2312"/>
                <w:color w:val="000000" w:themeColor="text1"/>
                <w:sz w:val="24"/>
              </w:rPr>
            </w:pPr>
            <w:r>
              <w:rPr>
                <w:rFonts w:hint="eastAsia" w:ascii="仿宋_GB2312" w:eastAsia="仿宋_GB2312"/>
                <w:color w:val="000000" w:themeColor="text1"/>
                <w:sz w:val="24"/>
              </w:rPr>
              <w:t xml:space="preserve">   ⑵季节性临时工人</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31</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bCs/>
                <w:color w:val="000000" w:themeColor="text1"/>
                <w:sz w:val="24"/>
              </w:rPr>
            </w:pPr>
            <w:r>
              <w:rPr>
                <w:rFonts w:hint="eastAsia" w:ascii="仿宋_GB2312" w:eastAsia="仿宋_GB2312"/>
                <w:bCs/>
                <w:color w:val="000000" w:themeColor="text1"/>
                <w:sz w:val="24"/>
              </w:rPr>
              <w:t>五、企业竞争力指标</w:t>
            </w:r>
          </w:p>
        </w:tc>
        <w:tc>
          <w:tcPr>
            <w:tcW w:w="1259" w:type="dxa"/>
            <w:gridSpan w:val="2"/>
            <w:vAlign w:val="center"/>
          </w:tcPr>
          <w:p>
            <w:pPr>
              <w:adjustRightInd w:val="0"/>
              <w:snapToGrid w:val="0"/>
              <w:jc w:val="center"/>
              <w:rPr>
                <w:rFonts w:ascii="仿宋_GB2312" w:eastAsia="仿宋_GB2312"/>
                <w:color w:val="000000" w:themeColor="text1"/>
                <w:sz w:val="24"/>
              </w:rPr>
            </w:pPr>
          </w:p>
        </w:tc>
        <w:tc>
          <w:tcPr>
            <w:tcW w:w="1261" w:type="dxa"/>
            <w:vAlign w:val="center"/>
          </w:tcPr>
          <w:p>
            <w:pPr>
              <w:adjustRightInd w:val="0"/>
              <w:snapToGrid w:val="0"/>
              <w:jc w:val="center"/>
              <w:rPr>
                <w:rFonts w:ascii="仿宋_GB2312" w:eastAsia="仿宋_GB2312"/>
                <w:color w:val="000000" w:themeColor="text1"/>
                <w:sz w:val="24"/>
              </w:rPr>
            </w:pP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1.有专门研发机构</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32</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2.专门研发人员数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33</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3.当年投入研发经费</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万元</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34</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4.被市级以上认定的高科技企业</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35</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5.建有专门质检机构</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36</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6.建有企业质量管理制度</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项</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37</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w w:val="90"/>
                <w:sz w:val="24"/>
              </w:rPr>
            </w:pPr>
            <w:r>
              <w:rPr>
                <w:rFonts w:hint="eastAsia" w:ascii="仿宋_GB2312" w:eastAsia="仿宋_GB2312"/>
                <w:color w:val="000000" w:themeColor="text1"/>
                <w:w w:val="90"/>
                <w:sz w:val="24"/>
              </w:rPr>
              <w:t>7.获得市级以上名牌产品或优质奖数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38</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8.获得市级以上科技进步奖数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39</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9.获得商标数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40</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10.获得专利数</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41</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11.GMP认证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42</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12.HACCP认证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43</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13.ISO系列认证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44</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14.FDA认证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45</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15.有机产品认证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46</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16.绿色食品认证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47</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17.无公害产品认证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48</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vAlign w:val="center"/>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18.农产品产地认证</w:t>
            </w:r>
          </w:p>
        </w:tc>
        <w:tc>
          <w:tcPr>
            <w:tcW w:w="1259" w:type="dxa"/>
            <w:gridSpan w:val="2"/>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个</w:t>
            </w:r>
          </w:p>
        </w:tc>
        <w:tc>
          <w:tcPr>
            <w:tcW w:w="1261"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49</w:t>
            </w:r>
          </w:p>
        </w:tc>
        <w:tc>
          <w:tcPr>
            <w:tcW w:w="1259" w:type="dxa"/>
            <w:vAlign w:val="center"/>
          </w:tcPr>
          <w:p>
            <w:pPr>
              <w:adjustRightInd w:val="0"/>
              <w:snapToGrid w:val="0"/>
              <w:jc w:val="center"/>
              <w:rPr>
                <w:rFonts w:ascii="仿宋_GB2312" w:eastAsia="仿宋_GB2312"/>
                <w:color w:val="000000" w:themeColor="text1"/>
                <w:sz w:val="24"/>
              </w:rPr>
            </w:pPr>
          </w:p>
        </w:tc>
        <w:tc>
          <w:tcPr>
            <w:tcW w:w="1392" w:type="dxa"/>
            <w:vAlign w:val="center"/>
          </w:tcPr>
          <w:p>
            <w:pPr>
              <w:adjustRightInd w:val="0"/>
              <w:snapToGrid w:val="0"/>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9060" w:type="dxa"/>
            <w:gridSpan w:val="6"/>
          </w:tcPr>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4230" w:type="dxa"/>
            <w:gridSpan w:val="2"/>
          </w:tcPr>
          <w:p>
            <w:pPr>
              <w:adjustRightInd w:val="0"/>
              <w:snapToGrid w:val="0"/>
              <w:rPr>
                <w:rFonts w:ascii="仿宋_GB2312" w:eastAsia="仿宋_GB2312"/>
                <w:color w:val="000000" w:themeColor="text1"/>
                <w:sz w:val="24"/>
              </w:rPr>
            </w:pPr>
          </w:p>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市农业农村局意见：</w:t>
            </w:r>
          </w:p>
        </w:tc>
        <w:tc>
          <w:tcPr>
            <w:tcW w:w="4830" w:type="dxa"/>
            <w:gridSpan w:val="4"/>
          </w:tcPr>
          <w:p>
            <w:pPr>
              <w:adjustRightInd w:val="0"/>
              <w:snapToGrid w:val="0"/>
              <w:rPr>
                <w:rFonts w:ascii="仿宋_GB2312" w:eastAsia="仿宋_GB2312"/>
                <w:color w:val="000000" w:themeColor="text1"/>
                <w:sz w:val="24"/>
              </w:rPr>
            </w:pPr>
          </w:p>
          <w:p>
            <w:pPr>
              <w:adjustRightInd w:val="0"/>
              <w:snapToGrid w:val="0"/>
              <w:rPr>
                <w:rFonts w:ascii="仿宋_GB2312" w:eastAsia="仿宋_GB2312"/>
                <w:color w:val="000000" w:themeColor="text1"/>
                <w:sz w:val="24"/>
              </w:rPr>
            </w:pPr>
            <w:r>
              <w:rPr>
                <w:rFonts w:hint="eastAsia" w:ascii="仿宋_GB2312" w:eastAsia="仿宋_GB2312"/>
                <w:color w:val="000000" w:themeColor="text1"/>
                <w:sz w:val="24"/>
              </w:rPr>
              <w:t xml:space="preserve">  市政府意见：</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themeColor="text1"/>
          <w:kern w:val="0"/>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指标解释：1.销售收入是指当年企业实现的销售收入总额。</w:t>
      </w:r>
    </w:p>
    <w:p>
      <w:pPr>
        <w:keepNext w:val="0"/>
        <w:keepLines w:val="0"/>
        <w:pageBreakBefore w:val="0"/>
        <w:widowControl w:val="0"/>
        <w:kinsoku/>
        <w:wordWrap/>
        <w:overflowPunct/>
        <w:topLinePunct w:val="0"/>
        <w:autoSpaceDE/>
        <w:autoSpaceDN/>
        <w:bidi w:val="0"/>
        <w:adjustRightInd w:val="0"/>
        <w:snapToGrid w:val="0"/>
        <w:spacing w:line="240" w:lineRule="auto"/>
        <w:ind w:firstLine="1100" w:firstLineChars="5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2.交易额是指全年进场交易的各类产品成交额之和。</w:t>
      </w:r>
    </w:p>
    <w:p>
      <w:pPr>
        <w:keepNext w:val="0"/>
        <w:keepLines w:val="0"/>
        <w:pageBreakBefore w:val="0"/>
        <w:widowControl w:val="0"/>
        <w:kinsoku/>
        <w:wordWrap/>
        <w:overflowPunct/>
        <w:topLinePunct w:val="0"/>
        <w:autoSpaceDE/>
        <w:autoSpaceDN/>
        <w:bidi w:val="0"/>
        <w:adjustRightInd w:val="0"/>
        <w:snapToGrid w:val="0"/>
        <w:spacing w:line="240" w:lineRule="auto"/>
        <w:ind w:firstLine="1100" w:firstLineChars="5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3.实际利用外资额度是指外商对企业投资的实际资金数额。</w:t>
      </w:r>
    </w:p>
    <w:p>
      <w:pPr>
        <w:keepNext w:val="0"/>
        <w:keepLines w:val="0"/>
        <w:pageBreakBefore w:val="0"/>
        <w:widowControl w:val="0"/>
        <w:kinsoku/>
        <w:wordWrap/>
        <w:overflowPunct/>
        <w:topLinePunct w:val="0"/>
        <w:autoSpaceDE/>
        <w:autoSpaceDN/>
        <w:bidi w:val="0"/>
        <w:adjustRightInd w:val="0"/>
        <w:snapToGrid w:val="0"/>
        <w:spacing w:line="240" w:lineRule="auto"/>
        <w:ind w:firstLine="1100" w:firstLineChars="5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4.合同关系是指以合同、订单等契约方式向农户收购农产品、提供生产资料</w:t>
      </w:r>
    </w:p>
    <w:p>
      <w:pPr>
        <w:keepNext w:val="0"/>
        <w:keepLines w:val="0"/>
        <w:pageBreakBefore w:val="0"/>
        <w:widowControl w:val="0"/>
        <w:kinsoku/>
        <w:wordWrap/>
        <w:overflowPunct/>
        <w:topLinePunct w:val="0"/>
        <w:autoSpaceDE/>
        <w:autoSpaceDN/>
        <w:bidi w:val="0"/>
        <w:adjustRightInd w:val="0"/>
        <w:snapToGrid w:val="0"/>
        <w:spacing w:line="240" w:lineRule="auto"/>
        <w:ind w:firstLine="1320" w:firstLineChars="6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等，合同双方具有明确的权利、义务关系，合同具有法律效力。</w:t>
      </w:r>
    </w:p>
    <w:p>
      <w:pPr>
        <w:keepNext w:val="0"/>
        <w:keepLines w:val="0"/>
        <w:pageBreakBefore w:val="0"/>
        <w:widowControl w:val="0"/>
        <w:kinsoku/>
        <w:wordWrap/>
        <w:overflowPunct/>
        <w:topLinePunct w:val="0"/>
        <w:autoSpaceDE/>
        <w:autoSpaceDN/>
        <w:bidi w:val="0"/>
        <w:adjustRightInd w:val="0"/>
        <w:snapToGrid w:val="0"/>
        <w:spacing w:line="240" w:lineRule="auto"/>
        <w:ind w:firstLine="1100" w:firstLineChars="5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5.合作方式按利润返还是指企业将农副产品加工、运输等增值的一部利润按</w:t>
      </w:r>
    </w:p>
    <w:p>
      <w:pPr>
        <w:keepNext w:val="0"/>
        <w:keepLines w:val="0"/>
        <w:pageBreakBefore w:val="0"/>
        <w:widowControl w:val="0"/>
        <w:kinsoku/>
        <w:wordWrap/>
        <w:overflowPunct/>
        <w:topLinePunct w:val="0"/>
        <w:autoSpaceDE/>
        <w:autoSpaceDN/>
        <w:bidi w:val="0"/>
        <w:adjustRightInd w:val="0"/>
        <w:snapToGrid w:val="0"/>
        <w:spacing w:line="240" w:lineRule="auto"/>
        <w:ind w:firstLine="1320" w:firstLineChars="6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一定的方式（如按交易量）返还给农户,也包括实行二次分配。</w:t>
      </w:r>
    </w:p>
    <w:p>
      <w:pPr>
        <w:keepNext w:val="0"/>
        <w:keepLines w:val="0"/>
        <w:pageBreakBefore w:val="0"/>
        <w:widowControl w:val="0"/>
        <w:kinsoku/>
        <w:wordWrap/>
        <w:overflowPunct/>
        <w:topLinePunct w:val="0"/>
        <w:autoSpaceDE/>
        <w:autoSpaceDN/>
        <w:bidi w:val="0"/>
        <w:adjustRightInd w:val="0"/>
        <w:snapToGrid w:val="0"/>
        <w:spacing w:line="240" w:lineRule="auto"/>
        <w:ind w:firstLine="1100" w:firstLineChars="5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6.股份合作方式按股份分红是指按股金比例进行利润分红。</w:t>
      </w:r>
    </w:p>
    <w:p>
      <w:pPr>
        <w:keepNext w:val="0"/>
        <w:keepLines w:val="0"/>
        <w:pageBreakBefore w:val="0"/>
        <w:widowControl w:val="0"/>
        <w:kinsoku/>
        <w:wordWrap/>
        <w:overflowPunct/>
        <w:topLinePunct w:val="0"/>
        <w:autoSpaceDE/>
        <w:autoSpaceDN/>
        <w:bidi w:val="0"/>
        <w:adjustRightInd w:val="0"/>
        <w:snapToGrid w:val="0"/>
        <w:spacing w:line="240" w:lineRule="auto"/>
        <w:ind w:firstLine="1100" w:firstLineChars="5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7.带动农户增收是指带动的农户比从事其他生产或不参加产业化生</w:t>
      </w:r>
    </w:p>
    <w:p>
      <w:pPr>
        <w:keepNext w:val="0"/>
        <w:keepLines w:val="0"/>
        <w:pageBreakBefore w:val="0"/>
        <w:widowControl w:val="0"/>
        <w:kinsoku/>
        <w:wordWrap/>
        <w:overflowPunct/>
        <w:topLinePunct w:val="0"/>
        <w:autoSpaceDE/>
        <w:autoSpaceDN/>
        <w:bidi w:val="0"/>
        <w:adjustRightInd w:val="0"/>
        <w:snapToGrid w:val="0"/>
        <w:spacing w:line="240" w:lineRule="auto"/>
        <w:ind w:firstLine="1320" w:firstLineChars="600"/>
        <w:jc w:val="left"/>
        <w:textAlignment w:val="auto"/>
        <w:rPr>
          <w:rFonts w:hint="eastAsia" w:ascii="仿宋_GB2312" w:hAnsi="仿宋_GB2312" w:eastAsia="仿宋_GB2312" w:cs="仿宋_GB2312"/>
          <w:snapToGrid w:val="0"/>
          <w:color w:val="000000" w:themeColor="text1"/>
          <w:kern w:val="0"/>
          <w:sz w:val="22"/>
          <w:szCs w:val="22"/>
        </w:rPr>
      </w:pPr>
      <w:r>
        <w:rPr>
          <w:rFonts w:hint="eastAsia" w:ascii="仿宋_GB2312" w:hAnsi="仿宋_GB2312" w:eastAsia="仿宋_GB2312" w:cs="仿宋_GB2312"/>
          <w:snapToGrid w:val="0"/>
          <w:color w:val="000000" w:themeColor="text1"/>
          <w:kern w:val="0"/>
          <w:sz w:val="22"/>
          <w:szCs w:val="22"/>
        </w:rPr>
        <w:t>产当年多增加的收入。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themeColor="text1"/>
          <w:kern w:val="0"/>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themeColor="text1"/>
          <w:kern w:val="0"/>
          <w:sz w:val="22"/>
          <w:szCs w:val="22"/>
        </w:rPr>
        <w:sectPr>
          <w:footerReference r:id="rId4" w:type="default"/>
          <w:pgSz w:w="11906" w:h="16838"/>
          <w:pgMar w:top="1440" w:right="1800" w:bottom="1440" w:left="1800" w:header="851" w:footer="1417" w:gutter="0"/>
          <w:pgNumType w:fmt="numberInDash" w:start="1"/>
          <w:cols w:space="720" w:num="1"/>
          <w:docGrid w:type="lines" w:linePitch="595" w:charSpace="0"/>
        </w:sectPr>
      </w:pPr>
      <w:r>
        <w:rPr>
          <w:rFonts w:hint="eastAsia" w:ascii="仿宋_GB2312" w:hAnsi="仿宋_GB2312" w:eastAsia="仿宋_GB2312" w:cs="仿宋_GB2312"/>
          <w:snapToGrid w:val="0"/>
          <w:color w:val="000000" w:themeColor="text1"/>
          <w:kern w:val="0"/>
          <w:sz w:val="22"/>
          <w:szCs w:val="22"/>
        </w:rPr>
        <w:t>注：表内平衡关系22=23+24+25+26，28=27/22×10000。</w:t>
      </w:r>
    </w:p>
    <w:p>
      <w:pPr>
        <w:adjustRightInd w:val="0"/>
        <w:snapToGrid w:val="0"/>
        <w:spacing w:line="590" w:lineRule="exact"/>
        <w:rPr>
          <w:rFonts w:ascii="黑体" w:hAnsi="仿宋_GB2312" w:eastAsia="黑体" w:cs="仿宋_GB2312"/>
          <w:snapToGrid w:val="0"/>
          <w:color w:val="000000" w:themeColor="text1"/>
          <w:kern w:val="0"/>
          <w:sz w:val="32"/>
          <w:szCs w:val="32"/>
        </w:rPr>
      </w:pPr>
      <w:r>
        <w:rPr>
          <w:rFonts w:hint="eastAsia" w:ascii="黑体" w:hAnsi="仿宋_GB2312" w:eastAsia="黑体" w:cs="仿宋_GB2312"/>
          <w:snapToGrid w:val="0"/>
          <w:color w:val="000000" w:themeColor="text1"/>
          <w:kern w:val="0"/>
          <w:sz w:val="32"/>
          <w:szCs w:val="32"/>
        </w:rPr>
        <w:t>附件2：</w:t>
      </w:r>
    </w:p>
    <w:p>
      <w:pPr>
        <w:adjustRightInd w:val="0"/>
        <w:snapToGrid w:val="0"/>
        <w:spacing w:line="590" w:lineRule="exact"/>
        <w:rPr>
          <w:rFonts w:ascii="黑体" w:hAnsi="仿宋_GB2312" w:eastAsia="黑体" w:cs="仿宋_GB2312"/>
          <w:snapToGrid w:val="0"/>
          <w:color w:val="000000" w:themeColor="text1"/>
          <w:kern w:val="0"/>
          <w:sz w:val="32"/>
          <w:szCs w:val="32"/>
        </w:rPr>
      </w:pPr>
    </w:p>
    <w:p>
      <w:pPr>
        <w:jc w:val="center"/>
        <w:rPr>
          <w:rFonts w:ascii="华文中宋" w:hAnsi="华文中宋" w:eastAsia="华文中宋" w:cs="宋体"/>
          <w:b/>
          <w:color w:val="000000" w:themeColor="text1"/>
          <w:sz w:val="44"/>
          <w:szCs w:val="44"/>
          <w:shd w:val="clear" w:color="auto" w:fill="FFFFFF"/>
        </w:rPr>
      </w:pPr>
      <w:r>
        <w:rPr>
          <w:rFonts w:hint="eastAsia" w:ascii="华文中宋" w:hAnsi="华文中宋" w:eastAsia="华文中宋" w:cs="宋体"/>
          <w:b/>
          <w:color w:val="000000" w:themeColor="text1"/>
          <w:sz w:val="44"/>
          <w:szCs w:val="44"/>
        </w:rPr>
        <w:t>雷州市重点农业龙头企业</w:t>
      </w:r>
      <w:r>
        <w:rPr>
          <w:rFonts w:hint="eastAsia" w:ascii="华文中宋" w:hAnsi="华文中宋" w:eastAsia="华文中宋" w:cs="宋体"/>
          <w:b/>
          <w:color w:val="000000" w:themeColor="text1"/>
          <w:sz w:val="44"/>
          <w:szCs w:val="44"/>
          <w:shd w:val="clear" w:color="auto" w:fill="FFFFFF"/>
        </w:rPr>
        <w:t>带动农户名册</w:t>
      </w:r>
    </w:p>
    <w:p>
      <w:pPr>
        <w:jc w:val="left"/>
        <w:rPr>
          <w:rFonts w:ascii="宋体" w:hAnsi="宋体" w:cs="宋体"/>
          <w:bCs/>
          <w:color w:val="000000" w:themeColor="text1"/>
          <w:sz w:val="28"/>
          <w:szCs w:val="28"/>
          <w:shd w:val="clear" w:color="auto" w:fill="FFFFFF"/>
        </w:rPr>
      </w:pPr>
    </w:p>
    <w:p>
      <w:pPr>
        <w:jc w:val="left"/>
        <w:rPr>
          <w:rFonts w:ascii="宋体" w:hAnsi="宋体" w:cs="宋体"/>
          <w:b/>
          <w:color w:val="000000" w:themeColor="text1"/>
          <w:sz w:val="28"/>
          <w:szCs w:val="28"/>
          <w:shd w:val="clear" w:color="auto" w:fill="FFFFFF"/>
        </w:rPr>
      </w:pPr>
      <w:r>
        <w:rPr>
          <w:rFonts w:hint="eastAsia" w:ascii="宋体" w:hAnsi="宋体" w:cs="宋体"/>
          <w:bCs/>
          <w:color w:val="000000" w:themeColor="text1"/>
          <w:sz w:val="28"/>
          <w:szCs w:val="28"/>
          <w:shd w:val="clear" w:color="auto" w:fill="FFFFFF"/>
        </w:rPr>
        <w:t>填报单位（盖章）：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90"/>
        <w:gridCol w:w="3240"/>
        <w:gridCol w:w="187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rPr>
              <w:t>序号</w:t>
            </w:r>
          </w:p>
        </w:tc>
        <w:tc>
          <w:tcPr>
            <w:tcW w:w="1290" w:type="dxa"/>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rPr>
              <w:t>姓 名</w:t>
            </w:r>
          </w:p>
        </w:tc>
        <w:tc>
          <w:tcPr>
            <w:tcW w:w="3240" w:type="dxa"/>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shd w:val="clear" w:color="auto" w:fill="FFFFFF"/>
              </w:rPr>
              <w:t>住    址</w:t>
            </w:r>
          </w:p>
        </w:tc>
        <w:tc>
          <w:tcPr>
            <w:tcW w:w="1875" w:type="dxa"/>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shd w:val="clear" w:color="auto" w:fill="FFFFFF"/>
              </w:rPr>
              <w:t>联系电话</w:t>
            </w:r>
          </w:p>
        </w:tc>
        <w:tc>
          <w:tcPr>
            <w:tcW w:w="1367" w:type="dxa"/>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96" w:type="dxa"/>
          </w:tcPr>
          <w:p>
            <w:pPr>
              <w:rPr>
                <w:color w:val="000000" w:themeColor="text1"/>
              </w:rPr>
            </w:pPr>
          </w:p>
        </w:tc>
        <w:tc>
          <w:tcPr>
            <w:tcW w:w="1290" w:type="dxa"/>
          </w:tcPr>
          <w:p>
            <w:pPr>
              <w:rPr>
                <w:color w:val="000000" w:themeColor="text1"/>
              </w:rPr>
            </w:pPr>
          </w:p>
        </w:tc>
        <w:tc>
          <w:tcPr>
            <w:tcW w:w="3240" w:type="dxa"/>
          </w:tcPr>
          <w:p>
            <w:pPr>
              <w:rPr>
                <w:color w:val="000000" w:themeColor="text1"/>
              </w:rPr>
            </w:pPr>
          </w:p>
        </w:tc>
        <w:tc>
          <w:tcPr>
            <w:tcW w:w="1875" w:type="dxa"/>
          </w:tcPr>
          <w:p>
            <w:pPr>
              <w:rPr>
                <w:color w:val="000000" w:themeColor="text1"/>
              </w:rPr>
            </w:pPr>
          </w:p>
        </w:tc>
        <w:tc>
          <w:tcPr>
            <w:tcW w:w="1367" w:type="dxa"/>
          </w:tcPr>
          <w:p>
            <w:pPr>
              <w:rPr>
                <w:color w:val="000000" w:themeColor="text1"/>
              </w:rPr>
            </w:pPr>
          </w:p>
        </w:tc>
      </w:tr>
    </w:tbl>
    <w:p>
      <w:pPr>
        <w:rPr>
          <w:color w:val="000000" w:themeColor="text1"/>
        </w:rPr>
      </w:pPr>
    </w:p>
    <w:p>
      <w:pPr>
        <w:rPr>
          <w:color w:val="000000" w:themeColor="text1"/>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- 12 -</w:t>
                </w:r>
                <w:r>
                  <w:rPr>
                    <w:rFonts w:hint="eastAsia"/>
                    <w:sz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4FCB"/>
    <w:rsid w:val="00042DC3"/>
    <w:rsid w:val="00155CDF"/>
    <w:rsid w:val="003F78B9"/>
    <w:rsid w:val="005543D6"/>
    <w:rsid w:val="00734385"/>
    <w:rsid w:val="00751C55"/>
    <w:rsid w:val="007B07D9"/>
    <w:rsid w:val="00B24FCB"/>
    <w:rsid w:val="00BA2BBA"/>
    <w:rsid w:val="00C11193"/>
    <w:rsid w:val="00E63404"/>
    <w:rsid w:val="00E9262E"/>
    <w:rsid w:val="00EE31CB"/>
    <w:rsid w:val="017B2B09"/>
    <w:rsid w:val="02F10B2F"/>
    <w:rsid w:val="065B45ED"/>
    <w:rsid w:val="093622D5"/>
    <w:rsid w:val="095F77F6"/>
    <w:rsid w:val="0A152AD2"/>
    <w:rsid w:val="0B5F3B1F"/>
    <w:rsid w:val="0BAE1071"/>
    <w:rsid w:val="0BC748E9"/>
    <w:rsid w:val="0C5C4B97"/>
    <w:rsid w:val="0C6932B1"/>
    <w:rsid w:val="0CF838AC"/>
    <w:rsid w:val="0F8828E1"/>
    <w:rsid w:val="106D6C1B"/>
    <w:rsid w:val="10C71102"/>
    <w:rsid w:val="10EE3208"/>
    <w:rsid w:val="12C952C5"/>
    <w:rsid w:val="135E720C"/>
    <w:rsid w:val="141E6040"/>
    <w:rsid w:val="14CF3EEC"/>
    <w:rsid w:val="15393D10"/>
    <w:rsid w:val="16741BBE"/>
    <w:rsid w:val="16F66A37"/>
    <w:rsid w:val="18810042"/>
    <w:rsid w:val="194E1C57"/>
    <w:rsid w:val="1A786F42"/>
    <w:rsid w:val="1AD35432"/>
    <w:rsid w:val="1B59664E"/>
    <w:rsid w:val="1B7008EA"/>
    <w:rsid w:val="1C9504BC"/>
    <w:rsid w:val="1CD778F4"/>
    <w:rsid w:val="1DCB79CD"/>
    <w:rsid w:val="1E6F6CF0"/>
    <w:rsid w:val="1F171882"/>
    <w:rsid w:val="1F680361"/>
    <w:rsid w:val="20607AA0"/>
    <w:rsid w:val="209D7FF7"/>
    <w:rsid w:val="20DB796C"/>
    <w:rsid w:val="212D17C2"/>
    <w:rsid w:val="212E2B69"/>
    <w:rsid w:val="21DC48D2"/>
    <w:rsid w:val="21FE1918"/>
    <w:rsid w:val="26D909CC"/>
    <w:rsid w:val="276500BD"/>
    <w:rsid w:val="27CE290F"/>
    <w:rsid w:val="28557590"/>
    <w:rsid w:val="29FE6A04"/>
    <w:rsid w:val="29FF6021"/>
    <w:rsid w:val="2A0473FE"/>
    <w:rsid w:val="2C257D50"/>
    <w:rsid w:val="2C924C58"/>
    <w:rsid w:val="2CB630F2"/>
    <w:rsid w:val="2D951803"/>
    <w:rsid w:val="2E9C2B41"/>
    <w:rsid w:val="2E9D73DE"/>
    <w:rsid w:val="2EBA6776"/>
    <w:rsid w:val="304E3B4B"/>
    <w:rsid w:val="332123F2"/>
    <w:rsid w:val="34490DBF"/>
    <w:rsid w:val="34684226"/>
    <w:rsid w:val="36E6435A"/>
    <w:rsid w:val="37656F8D"/>
    <w:rsid w:val="3882412D"/>
    <w:rsid w:val="38947B2A"/>
    <w:rsid w:val="38A73A5E"/>
    <w:rsid w:val="3A7232EA"/>
    <w:rsid w:val="3A7660F7"/>
    <w:rsid w:val="3C445246"/>
    <w:rsid w:val="3C462AAF"/>
    <w:rsid w:val="3CB41D79"/>
    <w:rsid w:val="3FA268B8"/>
    <w:rsid w:val="405C3EE4"/>
    <w:rsid w:val="41D1059C"/>
    <w:rsid w:val="41D57747"/>
    <w:rsid w:val="43004091"/>
    <w:rsid w:val="431C46DE"/>
    <w:rsid w:val="44DD3D0B"/>
    <w:rsid w:val="45B100AF"/>
    <w:rsid w:val="47A32E41"/>
    <w:rsid w:val="47B74EAC"/>
    <w:rsid w:val="486A4C91"/>
    <w:rsid w:val="48BC00DB"/>
    <w:rsid w:val="49E317FB"/>
    <w:rsid w:val="4BA5320B"/>
    <w:rsid w:val="4DDE54B1"/>
    <w:rsid w:val="4E235D6C"/>
    <w:rsid w:val="4E967B32"/>
    <w:rsid w:val="4F355233"/>
    <w:rsid w:val="4F9E1719"/>
    <w:rsid w:val="4FCF2D10"/>
    <w:rsid w:val="4FE6453B"/>
    <w:rsid w:val="511B09A2"/>
    <w:rsid w:val="51A60F02"/>
    <w:rsid w:val="52255219"/>
    <w:rsid w:val="53162773"/>
    <w:rsid w:val="53A77258"/>
    <w:rsid w:val="548C5FDA"/>
    <w:rsid w:val="55DE173A"/>
    <w:rsid w:val="56D1015B"/>
    <w:rsid w:val="57EE52C9"/>
    <w:rsid w:val="592F4472"/>
    <w:rsid w:val="594C0D52"/>
    <w:rsid w:val="5A834A9A"/>
    <w:rsid w:val="5ACF161A"/>
    <w:rsid w:val="5BBB38DB"/>
    <w:rsid w:val="5F2A4318"/>
    <w:rsid w:val="5F795F49"/>
    <w:rsid w:val="618818A7"/>
    <w:rsid w:val="62254C1F"/>
    <w:rsid w:val="62E27E16"/>
    <w:rsid w:val="651A534C"/>
    <w:rsid w:val="65C531CA"/>
    <w:rsid w:val="66030900"/>
    <w:rsid w:val="664C7327"/>
    <w:rsid w:val="664E0828"/>
    <w:rsid w:val="67693EA9"/>
    <w:rsid w:val="689B7D05"/>
    <w:rsid w:val="68DB69BE"/>
    <w:rsid w:val="6961330F"/>
    <w:rsid w:val="6B6B39BA"/>
    <w:rsid w:val="6BF335E8"/>
    <w:rsid w:val="6CC1398E"/>
    <w:rsid w:val="6CFF2835"/>
    <w:rsid w:val="6E020ED6"/>
    <w:rsid w:val="6E1A01E9"/>
    <w:rsid w:val="6F92663D"/>
    <w:rsid w:val="718E39E6"/>
    <w:rsid w:val="73AA71E7"/>
    <w:rsid w:val="73C85667"/>
    <w:rsid w:val="73F97913"/>
    <w:rsid w:val="7421406D"/>
    <w:rsid w:val="74CB018E"/>
    <w:rsid w:val="75001CDD"/>
    <w:rsid w:val="7529324B"/>
    <w:rsid w:val="75CE7B84"/>
    <w:rsid w:val="75DF5C4D"/>
    <w:rsid w:val="763A353E"/>
    <w:rsid w:val="77593810"/>
    <w:rsid w:val="77970627"/>
    <w:rsid w:val="78B1268E"/>
    <w:rsid w:val="7A496EC5"/>
    <w:rsid w:val="7CEC0BBC"/>
    <w:rsid w:val="7D4146F1"/>
    <w:rsid w:val="7E4E3120"/>
    <w:rsid w:val="7E97331A"/>
    <w:rsid w:val="7EC30043"/>
    <w:rsid w:val="7F674757"/>
    <w:rsid w:val="7F930072"/>
    <w:rsid w:val="7FC6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kern w:val="0"/>
      <w:sz w:val="24"/>
      <w:szCs w:val="24"/>
    </w:rPr>
  </w:style>
  <w:style w:type="character" w:customStyle="1" w:styleId="7">
    <w:name w:val="页脚 Char"/>
    <w:basedOn w:val="6"/>
    <w:link w:val="2"/>
    <w:qFormat/>
    <w:uiPriority w:val="0"/>
    <w:rPr>
      <w:rFonts w:ascii="Times New Roman" w:hAnsi="Times New Roman" w:eastAsia="宋体" w:cs="Times New Roman"/>
      <w:sz w:val="18"/>
      <w:szCs w:val="24"/>
    </w:rPr>
  </w:style>
  <w:style w:type="paragraph" w:customStyle="1" w:styleId="8">
    <w:name w:val="p15"/>
    <w:basedOn w:val="1"/>
    <w:qFormat/>
    <w:uiPriority w:val="0"/>
    <w:pPr>
      <w:widowControl/>
    </w:pPr>
    <w:rPr>
      <w:kern w:val="0"/>
      <w:szCs w:val="21"/>
    </w:rPr>
  </w:style>
  <w:style w:type="paragraph" w:customStyle="1" w:styleId="9">
    <w:name w:val="p0"/>
    <w:basedOn w:val="1"/>
    <w:qFormat/>
    <w:uiPriority w:val="0"/>
    <w:pPr>
      <w:widowControl/>
    </w:pPr>
    <w:rPr>
      <w:kern w:val="0"/>
      <w:szCs w:val="21"/>
    </w:rPr>
  </w:style>
  <w:style w:type="paragraph" w:customStyle="1" w:styleId="10">
    <w:name w:val="p16"/>
    <w:basedOn w:val="1"/>
    <w:qFormat/>
    <w:uiPriority w:val="0"/>
    <w:pPr>
      <w:widowControl/>
    </w:pPr>
    <w:rPr>
      <w:kern w:val="0"/>
      <w:szCs w:val="21"/>
    </w:rPr>
  </w:style>
  <w:style w:type="character" w:customStyle="1" w:styleId="11">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958</Words>
  <Characters>5464</Characters>
  <Lines>45</Lines>
  <Paragraphs>12</Paragraphs>
  <TotalTime>38</TotalTime>
  <ScaleCrop>false</ScaleCrop>
  <LinksUpToDate>false</LinksUpToDate>
  <CharactersWithSpaces>6410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2020-07-08T03:18:00Z</dcterms:created>
  <dc:creator>PC</dc:creator>
  <cp:lastModifiedBy>Administrator</cp:lastModifiedBy>
  <cp:lastPrinted>2020-11-03T04:11:00Z</cp:lastPrinted>
  <dcterms:modified xsi:type="dcterms:W3CDTF">2022-01-04T02:14:18Z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FF0BC65709B840909256583DDF420B94</vt:lpwstr>
  </property>
</Properties>
</file>